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88" w:rsidRDefault="007C2D88" w:rsidP="007C2D88">
      <w:pPr>
        <w:pStyle w:val="Beschriftung"/>
      </w:pPr>
      <w:bookmarkStart w:id="0" w:name="_Toc467776624"/>
      <w:r>
        <w:t xml:space="preserve">Table </w:t>
      </w:r>
      <w:r w:rsidR="009277DE">
        <w:t>S5</w:t>
      </w:r>
      <w:r>
        <w:t xml:space="preserve"> </w:t>
      </w:r>
      <w:r w:rsidR="009277DE">
        <w:t>D</w:t>
      </w:r>
      <w:r>
        <w:t xml:space="preserve">ifferentially expressed genes (DEGs) </w:t>
      </w:r>
      <w:r w:rsidR="009277DE">
        <w:t xml:space="preserve">shared </w:t>
      </w:r>
      <w:r>
        <w:t>between AtFRh2 and AtBG11</w:t>
      </w:r>
      <w:bookmarkEnd w:id="0"/>
      <w:r w:rsidR="009277DE">
        <w:t xml:space="preserve"> (see also Fig. 3)</w:t>
      </w:r>
      <w:r>
        <w:t>.</w:t>
      </w:r>
    </w:p>
    <w:p w:rsidR="007C2D88" w:rsidRDefault="005C5AA3" w:rsidP="007C2D88">
      <w:pPr>
        <w:pStyle w:val="Zitat"/>
      </w:pPr>
      <w:r>
        <w:t>Red</w:t>
      </w:r>
      <w:r w:rsidR="007C2D88" w:rsidRPr="0045760B">
        <w:t xml:space="preserve"> and </w:t>
      </w:r>
      <w:r>
        <w:t>blue</w:t>
      </w:r>
      <w:r w:rsidR="007C2D88" w:rsidRPr="0045760B">
        <w:t xml:space="preserve"> boxes </w:t>
      </w:r>
      <w:r w:rsidR="009277DE">
        <w:t xml:space="preserve">show up- </w:t>
      </w:r>
      <w:r w:rsidR="007C2D88" w:rsidRPr="0045760B">
        <w:t xml:space="preserve">and </w:t>
      </w:r>
      <w:proofErr w:type="spellStart"/>
      <w:r w:rsidR="007C2D88" w:rsidRPr="0045760B">
        <w:t>downregulated</w:t>
      </w:r>
      <w:proofErr w:type="spellEnd"/>
      <w:r w:rsidR="007C2D88" w:rsidRPr="0045760B">
        <w:t xml:space="preserve"> DEGs, respectively. Expression levels for each DEG shown as </w:t>
      </w:r>
      <w:proofErr w:type="spellStart"/>
      <w:r w:rsidR="007C2D88" w:rsidRPr="0045760B">
        <w:t>LogFC</w:t>
      </w:r>
      <w:proofErr w:type="spellEnd"/>
      <w:r w:rsidR="007C2D88" w:rsidRPr="0045760B">
        <w:t>= log2 fold change &gt;1 and &lt;-1. AtFRh2 = DEGs resulting from the comparative transcriptome study for AtCO_vs_AtFRh2 and AtBG11 = DEGs resulting from the comparative transcriptome study for AtCO_vs_AtBG11</w:t>
      </w:r>
      <w:r w:rsidR="007C2D88">
        <w:t>.</w:t>
      </w:r>
    </w:p>
    <w:p w:rsidR="007C2D88" w:rsidRPr="006B5F37" w:rsidRDefault="007C2D88" w:rsidP="007C2D88">
      <w:pPr>
        <w:pStyle w:val="Textkrper"/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1168"/>
        <w:gridCol w:w="3916"/>
        <w:gridCol w:w="1310"/>
        <w:gridCol w:w="1276"/>
      </w:tblGrid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proofErr w:type="spellStart"/>
            <w:r w:rsidRPr="00CA0F16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LogFC</w:t>
            </w:r>
            <w:proofErr w:type="spellEnd"/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ID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 xml:space="preserve">Symbols/Description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AtFRh2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At</w:t>
            </w:r>
            <w:r w:rsidRPr="00CA0F16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BG11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at1g61560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MLO6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1.041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at4g18430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RABA1e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1.059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at1g33030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O-</w:t>
            </w:r>
            <w:proofErr w:type="spellStart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methyltransferase</w:t>
            </w:r>
            <w:proofErr w:type="spellEnd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 family 2 protein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1.001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at1g61800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GPT2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1.53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at2g18660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EXLB3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1.178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at2g25440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AtRLP20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1.178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at1g69930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GSTU11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1.226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at1g04980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PDIL2-2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1.007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at4g25110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AtMC2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1.008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at3g61390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U-box domain-containing protein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1.351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at5g62150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proofErr w:type="spellStart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LysM</w:t>
            </w:r>
            <w:proofErr w:type="spellEnd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 domain-containing protein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1.141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at4g09300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unknown protein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1.053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at5g13080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WRKY75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1.663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at5g22530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unknown protein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1.004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at4g25070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unknown protein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1.006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at1g36640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unknown protein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1.633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1.335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at5g67310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CYP81G1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1.453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at1g47890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RLP7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1.331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at1g21310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EXT3,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1.694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1.312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at1g66960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proofErr w:type="spellStart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lupeol</w:t>
            </w:r>
            <w:proofErr w:type="spellEnd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 synthase, putative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1.765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1.054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at2g13810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ALD1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1.785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at1g21240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WAK3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1.807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1.178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at3g28580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AAA-type ATPase family protein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1.842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1.034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at5g38900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DSBA oxidoreductase family protein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1.002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at3g22600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lipid transfer protein (LTP) family protein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1.248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at2g43570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proofErr w:type="spellStart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chitinase</w:t>
            </w:r>
            <w:proofErr w:type="spellEnd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, putative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1.374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at3g63380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calcium-transporting </w:t>
            </w:r>
            <w:proofErr w:type="spellStart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ATPase,putative</w:t>
            </w:r>
            <w:proofErr w:type="spellEnd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2.004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1.661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at4g11170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disease resistance protein, putative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1.124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at5g11210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GLR2.5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2.371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1.06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at4g23700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CHX17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2.409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1.002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at1g44130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proofErr w:type="spellStart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nucellin</w:t>
            </w:r>
            <w:proofErr w:type="spellEnd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 protein, putative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2.51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1.429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at3g11340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UDP-</w:t>
            </w:r>
            <w:proofErr w:type="spellStart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glucoronosyl</w:t>
            </w:r>
            <w:proofErr w:type="spellEnd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 family protein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2.595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1.801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at1g19250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SFMO1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2.982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7C2D88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7C2D88">
              <w:rPr>
                <w:rFonts w:ascii="Calibri" w:hAnsi="Calibri"/>
                <w:color w:val="FF0000"/>
                <w:szCs w:val="22"/>
                <w:lang w:val="en-US" w:eastAsia="en-US"/>
              </w:rPr>
              <w:t>1.648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at5g45920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carboxylesterase/ hydrolase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-1.32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at5g63160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BT1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-1.711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at3g48115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other RNA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-1.073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at4g02810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unknown protein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-1.248</w:t>
            </w:r>
          </w:p>
        </w:tc>
      </w:tr>
      <w:tr w:rsidR="007C2D88" w:rsidRPr="00CA0F16" w:rsidTr="00AB17B1">
        <w:trPr>
          <w:trHeight w:val="29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at5g35525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unknown protein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-2.467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-1.485</w:t>
            </w:r>
          </w:p>
        </w:tc>
      </w:tr>
    </w:tbl>
    <w:p w:rsidR="00AB17B1" w:rsidRDefault="00AB17B1">
      <w:r>
        <w:br w:type="page"/>
      </w:r>
      <w:bookmarkStart w:id="1" w:name="_GoBack"/>
      <w:bookmarkEnd w:id="1"/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168"/>
        <w:gridCol w:w="4115"/>
        <w:gridCol w:w="1536"/>
        <w:gridCol w:w="1418"/>
      </w:tblGrid>
      <w:tr w:rsidR="007C2D88" w:rsidRPr="00CA0F16" w:rsidTr="007C2D88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proofErr w:type="spellStart"/>
            <w:r w:rsidRPr="00CA0F16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LogFC</w:t>
            </w:r>
            <w:proofErr w:type="spellEnd"/>
          </w:p>
        </w:tc>
      </w:tr>
      <w:tr w:rsidR="007C2D88" w:rsidRPr="00CA0F16" w:rsidTr="007C2D88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ID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Symbols/</w:t>
            </w:r>
            <w:r w:rsidRPr="00766902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Description</w:t>
            </w:r>
            <w:r w:rsidRPr="00CA0F16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AtFRh2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At</w:t>
            </w:r>
            <w:r w:rsidRPr="00CA0F16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BG11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at3g28180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CSLC04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-1.064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1.084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at1g32540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LOL1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-1.433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1.055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at4g13564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MIR841A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1.216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at5g62280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unknown protein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-1.333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1.444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at5g53410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unknown protein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1.049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at1g40089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putative fructose-2,6-bisphosphatase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-1.039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at2g36750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UGT73C1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1.815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-1.826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at1g05680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UDP-</w:t>
            </w:r>
            <w:proofErr w:type="spellStart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glucosyl</w:t>
            </w:r>
            <w:proofErr w:type="spellEnd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transferase</w:t>
            </w:r>
            <w:proofErr w:type="spellEnd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 family protein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1.793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-1.413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at2g36760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UGT73C2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1.336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-1.321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at1g05530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UGT75B2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-1.282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at5g42760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unknown protein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-1.887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at3g21890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zinc finger (B-box type) family protein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-1.782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at5g08070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TCP17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-1.396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at1g68150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WRKY9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1.338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-1.162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at4g15248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zinc ion binding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1.145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-1.803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at5g15500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proofErr w:type="spellStart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ankyrin</w:t>
            </w:r>
            <w:proofErr w:type="spellEnd"/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 repeat family protein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2.62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-1.08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at1g04570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membrane transporter family protein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-1.498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at5g58770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DEDOL-PP synthase, putative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1.539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-1.379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at4g29770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Target of trans acting-siR480/255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-1.543</w:t>
            </w:r>
          </w:p>
        </w:tc>
      </w:tr>
      <w:tr w:rsidR="007C2D88" w:rsidRPr="00CA0F16" w:rsidTr="008632B2">
        <w:trPr>
          <w:trHeight w:val="302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>at1g31300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CA0F16" w:rsidRDefault="007C2D88" w:rsidP="00696C7E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CA0F16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unknown protein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FF000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FF0000"/>
                <w:szCs w:val="22"/>
                <w:lang w:val="en-US" w:eastAsia="en-US"/>
              </w:rPr>
              <w:t>1.568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88" w:rsidRPr="008632B2" w:rsidRDefault="007C2D88" w:rsidP="00696C7E">
            <w:pPr>
              <w:jc w:val="center"/>
              <w:rPr>
                <w:rFonts w:ascii="Calibri" w:hAnsi="Calibri"/>
                <w:color w:val="0070C0"/>
                <w:szCs w:val="22"/>
                <w:lang w:val="en-US" w:eastAsia="en-US"/>
              </w:rPr>
            </w:pPr>
            <w:r w:rsidRPr="008632B2">
              <w:rPr>
                <w:rFonts w:ascii="Calibri" w:hAnsi="Calibri"/>
                <w:color w:val="0070C0"/>
                <w:szCs w:val="22"/>
                <w:lang w:val="en-US" w:eastAsia="en-US"/>
              </w:rPr>
              <w:t>-1.086</w:t>
            </w:r>
          </w:p>
        </w:tc>
      </w:tr>
    </w:tbl>
    <w:p w:rsidR="007C2D88" w:rsidRDefault="007C2D88" w:rsidP="007C2D88">
      <w:pPr>
        <w:pStyle w:val="Textkrper"/>
      </w:pPr>
    </w:p>
    <w:p w:rsidR="00EF712B" w:rsidRDefault="00EF712B"/>
    <w:sectPr w:rsidR="00EF71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88"/>
    <w:rsid w:val="005C5AA3"/>
    <w:rsid w:val="007C2D88"/>
    <w:rsid w:val="008632B2"/>
    <w:rsid w:val="009277DE"/>
    <w:rsid w:val="00AB17B1"/>
    <w:rsid w:val="00BF679E"/>
    <w:rsid w:val="00E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5" w:qFormat="1"/>
    <w:lsdException w:name="Title" w:semiHidden="0" w:uiPriority="16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D88"/>
    <w:pPr>
      <w:spacing w:after="0" w:line="240" w:lineRule="auto"/>
    </w:pPr>
    <w:rPr>
      <w:rFonts w:eastAsia="Times New Roman" w:cs="Times New Roman"/>
      <w:szCs w:val="24"/>
      <w:lang w:val="en-NZ" w:eastAsia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7C2D88"/>
    <w:pPr>
      <w:spacing w:after="240" w:line="360" w:lineRule="auto"/>
    </w:pPr>
    <w:rPr>
      <w:rFonts w:ascii="Calibri" w:hAnsi="Calibri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2D88"/>
    <w:rPr>
      <w:rFonts w:ascii="Calibri" w:eastAsia="Times New Roman" w:hAnsi="Calibri" w:cs="Times New Roman"/>
      <w:szCs w:val="24"/>
      <w:lang w:val="en-NZ" w:eastAsia="en-AU"/>
    </w:rPr>
  </w:style>
  <w:style w:type="paragraph" w:styleId="Beschriftung">
    <w:name w:val="caption"/>
    <w:basedOn w:val="Standard"/>
    <w:next w:val="Textkrper"/>
    <w:autoRedefine/>
    <w:uiPriority w:val="5"/>
    <w:qFormat/>
    <w:rsid w:val="007C2D88"/>
    <w:pPr>
      <w:jc w:val="both"/>
    </w:pPr>
    <w:rPr>
      <w:rFonts w:ascii="Calibri" w:hAnsi="Calibri"/>
      <w:szCs w:val="20"/>
    </w:rPr>
  </w:style>
  <w:style w:type="paragraph" w:styleId="Titel">
    <w:name w:val="Title"/>
    <w:basedOn w:val="Standard"/>
    <w:link w:val="TitelZchn"/>
    <w:uiPriority w:val="16"/>
    <w:qFormat/>
    <w:rsid w:val="007C2D88"/>
    <w:pPr>
      <w:spacing w:before="240" w:after="240" w:line="360" w:lineRule="auto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6"/>
    <w:rsid w:val="007C2D88"/>
    <w:rPr>
      <w:rFonts w:ascii="Calibri" w:eastAsia="Times New Roman" w:hAnsi="Calibri" w:cs="Calibri"/>
      <w:b/>
      <w:bCs/>
      <w:sz w:val="32"/>
      <w:szCs w:val="32"/>
      <w:lang w:val="en-NZ" w:eastAsia="en-AU"/>
    </w:rPr>
  </w:style>
  <w:style w:type="paragraph" w:styleId="Zitat">
    <w:name w:val="Quote"/>
    <w:aliases w:val="legend"/>
    <w:basedOn w:val="Standard"/>
    <w:next w:val="Textkrper"/>
    <w:link w:val="ZitatZchn"/>
    <w:uiPriority w:val="5"/>
    <w:qFormat/>
    <w:rsid w:val="007C2D88"/>
    <w:pPr>
      <w:ind w:right="-143"/>
    </w:pPr>
    <w:rPr>
      <w:rFonts w:ascii="Calibri" w:hAnsi="Calibri"/>
    </w:rPr>
  </w:style>
  <w:style w:type="character" w:customStyle="1" w:styleId="ZitatZchn">
    <w:name w:val="Zitat Zchn"/>
    <w:aliases w:val="legend Zchn"/>
    <w:basedOn w:val="Absatz-Standardschriftart"/>
    <w:link w:val="Zitat"/>
    <w:uiPriority w:val="5"/>
    <w:rsid w:val="007C2D88"/>
    <w:rPr>
      <w:rFonts w:ascii="Calibri" w:eastAsia="Times New Roman" w:hAnsi="Calibri" w:cs="Times New Roman"/>
      <w:szCs w:val="24"/>
      <w:lang w:val="en-NZ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5" w:qFormat="1"/>
    <w:lsdException w:name="Title" w:semiHidden="0" w:uiPriority="16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D88"/>
    <w:pPr>
      <w:spacing w:after="0" w:line="240" w:lineRule="auto"/>
    </w:pPr>
    <w:rPr>
      <w:rFonts w:eastAsia="Times New Roman" w:cs="Times New Roman"/>
      <w:szCs w:val="24"/>
      <w:lang w:val="en-NZ" w:eastAsia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7C2D88"/>
    <w:pPr>
      <w:spacing w:after="240" w:line="360" w:lineRule="auto"/>
    </w:pPr>
    <w:rPr>
      <w:rFonts w:ascii="Calibri" w:hAnsi="Calibri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2D88"/>
    <w:rPr>
      <w:rFonts w:ascii="Calibri" w:eastAsia="Times New Roman" w:hAnsi="Calibri" w:cs="Times New Roman"/>
      <w:szCs w:val="24"/>
      <w:lang w:val="en-NZ" w:eastAsia="en-AU"/>
    </w:rPr>
  </w:style>
  <w:style w:type="paragraph" w:styleId="Beschriftung">
    <w:name w:val="caption"/>
    <w:basedOn w:val="Standard"/>
    <w:next w:val="Textkrper"/>
    <w:autoRedefine/>
    <w:uiPriority w:val="5"/>
    <w:qFormat/>
    <w:rsid w:val="007C2D88"/>
    <w:pPr>
      <w:jc w:val="both"/>
    </w:pPr>
    <w:rPr>
      <w:rFonts w:ascii="Calibri" w:hAnsi="Calibri"/>
      <w:szCs w:val="20"/>
    </w:rPr>
  </w:style>
  <w:style w:type="paragraph" w:styleId="Titel">
    <w:name w:val="Title"/>
    <w:basedOn w:val="Standard"/>
    <w:link w:val="TitelZchn"/>
    <w:uiPriority w:val="16"/>
    <w:qFormat/>
    <w:rsid w:val="007C2D88"/>
    <w:pPr>
      <w:spacing w:before="240" w:after="240" w:line="360" w:lineRule="auto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6"/>
    <w:rsid w:val="007C2D88"/>
    <w:rPr>
      <w:rFonts w:ascii="Calibri" w:eastAsia="Times New Roman" w:hAnsi="Calibri" w:cs="Calibri"/>
      <w:b/>
      <w:bCs/>
      <w:sz w:val="32"/>
      <w:szCs w:val="32"/>
      <w:lang w:val="en-NZ" w:eastAsia="en-AU"/>
    </w:rPr>
  </w:style>
  <w:style w:type="paragraph" w:styleId="Zitat">
    <w:name w:val="Quote"/>
    <w:aliases w:val="legend"/>
    <w:basedOn w:val="Standard"/>
    <w:next w:val="Textkrper"/>
    <w:link w:val="ZitatZchn"/>
    <w:uiPriority w:val="5"/>
    <w:qFormat/>
    <w:rsid w:val="007C2D88"/>
    <w:pPr>
      <w:ind w:right="-143"/>
    </w:pPr>
    <w:rPr>
      <w:rFonts w:ascii="Calibri" w:hAnsi="Calibri"/>
    </w:rPr>
  </w:style>
  <w:style w:type="character" w:customStyle="1" w:styleId="ZitatZchn">
    <w:name w:val="Zitat Zchn"/>
    <w:aliases w:val="legend Zchn"/>
    <w:basedOn w:val="Absatz-Standardschriftart"/>
    <w:link w:val="Zitat"/>
    <w:uiPriority w:val="5"/>
    <w:rsid w:val="007C2D88"/>
    <w:rPr>
      <w:rFonts w:ascii="Calibri" w:eastAsia="Times New Roman" w:hAnsi="Calibri" w:cs="Times New Roman"/>
      <w:szCs w:val="24"/>
      <w:lang w:val="en-NZ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Goettingen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Rostás, Michael Georg</dc:creator>
  <cp:lastModifiedBy>Rostás, Michael </cp:lastModifiedBy>
  <cp:revision>3</cp:revision>
  <dcterms:created xsi:type="dcterms:W3CDTF">2019-02-17T17:37:00Z</dcterms:created>
  <dcterms:modified xsi:type="dcterms:W3CDTF">2019-02-17T17:38:00Z</dcterms:modified>
</cp:coreProperties>
</file>