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47" w:rsidRDefault="00422292" w:rsidP="00376433">
      <w:pPr>
        <w:spacing w:line="480" w:lineRule="auto"/>
        <w:jc w:val="both"/>
        <w:rPr>
          <w:rFonts w:ascii="Times New Roman" w:hAnsi="Times New Roman" w:cs="Times New Roman"/>
          <w:b/>
          <w:caps/>
          <w:szCs w:val="22"/>
          <w:lang w:val="en-GB"/>
        </w:rPr>
      </w:pPr>
      <w:r w:rsidRPr="00422292">
        <w:rPr>
          <w:rFonts w:ascii="Times New Roman" w:hAnsi="Times New Roman" w:cs="Times New Roman"/>
          <w:b/>
          <w:caps/>
          <w:szCs w:val="22"/>
          <w:lang w:val="en-GB"/>
        </w:rPr>
        <w:t>Supplementary material</w:t>
      </w:r>
    </w:p>
    <w:p w:rsidR="003149C9" w:rsidRDefault="00540D2E" w:rsidP="00376433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caps/>
          <w:szCs w:val="22"/>
          <w:lang w:val="en-GB"/>
        </w:rPr>
        <w:t xml:space="preserve"> </w:t>
      </w:r>
      <w:bookmarkStart w:id="0" w:name="_GoBack"/>
      <w:bookmarkEnd w:id="0"/>
      <w:r w:rsidR="00A67B47" w:rsidRPr="00376433">
        <w:rPr>
          <w:rFonts w:ascii="Times New Roman" w:hAnsi="Times New Roman" w:cs="Times New Roman"/>
          <w:b/>
          <w:sz w:val="22"/>
          <w:szCs w:val="22"/>
          <w:lang w:val="en-GB"/>
        </w:rPr>
        <w:t>Materials and methods</w:t>
      </w:r>
    </w:p>
    <w:p w:rsidR="00937B80" w:rsidRPr="00376433" w:rsidRDefault="00937B80" w:rsidP="00376433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A67B47" w:rsidRPr="00376433" w:rsidRDefault="003C24BF" w:rsidP="00376433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376433">
        <w:rPr>
          <w:rFonts w:ascii="Times New Roman" w:hAnsi="Times New Roman" w:cs="Times New Roman"/>
          <w:b/>
          <w:sz w:val="22"/>
          <w:szCs w:val="22"/>
          <w:lang w:val="en-GB"/>
        </w:rPr>
        <w:t>Microsatellite PCR</w:t>
      </w:r>
    </w:p>
    <w:p w:rsidR="00A67B47" w:rsidRDefault="00A67B47" w:rsidP="0037643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76433">
        <w:rPr>
          <w:rFonts w:ascii="Times New Roman" w:hAnsi="Times New Roman" w:cs="Times New Roman"/>
          <w:b/>
          <w:sz w:val="22"/>
          <w:szCs w:val="22"/>
          <w:lang w:val="en-GB"/>
        </w:rPr>
        <w:t>F22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>: forward primer was labelled with TAMRA; reaction mix (10 µl) contained 10</w:t>
      </w:r>
      <w:r w:rsidR="007B0693" w:rsidRPr="00376433">
        <w:rPr>
          <w:rFonts w:ascii="Times New Roman" w:hAnsi="Times New Roman" w:cs="Times New Roman"/>
          <w:sz w:val="22"/>
          <w:szCs w:val="22"/>
          <w:lang w:val="en-GB"/>
        </w:rPr>
        <w:t>-20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ng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/µl of DNA, </w:t>
      </w:r>
      <w:r w:rsidR="009F1E09"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0.25 µM of each primer, 2 </w:t>
      </w:r>
      <w:proofErr w:type="spellStart"/>
      <w:r w:rsidR="009F1E09" w:rsidRPr="00376433">
        <w:rPr>
          <w:rFonts w:ascii="Times New Roman" w:hAnsi="Times New Roman" w:cs="Times New Roman"/>
          <w:sz w:val="22"/>
          <w:szCs w:val="22"/>
          <w:lang w:val="en-GB"/>
        </w:rPr>
        <w:t>mM</w:t>
      </w:r>
      <w:proofErr w:type="spellEnd"/>
      <w:r w:rsidR="009F1E09"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MgCl</w:t>
      </w:r>
      <w:r w:rsidR="009F1E09" w:rsidRPr="00376433">
        <w:rPr>
          <w:rFonts w:ascii="Times New Roman" w:hAnsi="Times New Roman" w:cs="Times New Roman"/>
          <w:sz w:val="22"/>
          <w:szCs w:val="22"/>
          <w:vertAlign w:val="subscript"/>
          <w:lang w:val="en-GB"/>
        </w:rPr>
        <w:t>2</w:t>
      </w:r>
      <w:r w:rsidR="009F1E09"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, 0.2 </w:t>
      </w:r>
      <w:proofErr w:type="spellStart"/>
      <w:r w:rsidR="009F1E09" w:rsidRPr="00376433">
        <w:rPr>
          <w:rFonts w:ascii="Times New Roman" w:hAnsi="Times New Roman" w:cs="Times New Roman"/>
          <w:sz w:val="22"/>
          <w:szCs w:val="22"/>
          <w:lang w:val="en-GB"/>
        </w:rPr>
        <w:t>mM</w:t>
      </w:r>
      <w:proofErr w:type="spellEnd"/>
      <w:r w:rsidR="009F1E09"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of each </w:t>
      </w:r>
      <w:proofErr w:type="spellStart"/>
      <w:r w:rsidR="009F1E09" w:rsidRPr="00376433">
        <w:rPr>
          <w:rFonts w:ascii="Times New Roman" w:hAnsi="Times New Roman" w:cs="Times New Roman"/>
          <w:sz w:val="22"/>
          <w:szCs w:val="22"/>
          <w:lang w:val="en-GB"/>
        </w:rPr>
        <w:t>dNTP</w:t>
      </w:r>
      <w:proofErr w:type="spellEnd"/>
      <w:r w:rsidR="009F1E09" w:rsidRPr="00376433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7868F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9F1E09" w:rsidRPr="00376433">
        <w:rPr>
          <w:rFonts w:ascii="Times New Roman" w:hAnsi="Times New Roman" w:cs="Times New Roman"/>
          <w:sz w:val="22"/>
          <w:szCs w:val="22"/>
          <w:lang w:val="en-GB"/>
        </w:rPr>
        <w:t>GoTaq</w:t>
      </w:r>
      <w:proofErr w:type="spellEnd"/>
      <w:r w:rsidR="009F1E09"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Flexi Buffer 1X and 0.5 U of </w:t>
      </w:r>
      <w:proofErr w:type="spellStart"/>
      <w:r w:rsidR="009F1E09" w:rsidRPr="00376433">
        <w:rPr>
          <w:rFonts w:ascii="Times New Roman" w:hAnsi="Times New Roman" w:cs="Times New Roman"/>
          <w:sz w:val="22"/>
          <w:szCs w:val="22"/>
          <w:lang w:val="en-GB"/>
        </w:rPr>
        <w:t>GoTaq</w:t>
      </w:r>
      <w:proofErr w:type="spellEnd"/>
      <w:r w:rsidR="009F1E09"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DNA Polymerase (</w:t>
      </w:r>
      <w:proofErr w:type="spellStart"/>
      <w:r w:rsidR="009F1E09" w:rsidRPr="00376433">
        <w:rPr>
          <w:rFonts w:ascii="Times New Roman" w:hAnsi="Times New Roman" w:cs="Times New Roman"/>
          <w:sz w:val="22"/>
          <w:szCs w:val="22"/>
          <w:lang w:val="en-GB"/>
        </w:rPr>
        <w:t>Promega</w:t>
      </w:r>
      <w:proofErr w:type="spellEnd"/>
      <w:r w:rsidR="009F1E09"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); </w:t>
      </w:r>
      <w:r w:rsidR="007B0693" w:rsidRPr="00376433">
        <w:rPr>
          <w:rFonts w:ascii="Times New Roman" w:hAnsi="Times New Roman" w:cs="Times New Roman"/>
          <w:sz w:val="22"/>
          <w:szCs w:val="22"/>
          <w:lang w:val="en-GB"/>
        </w:rPr>
        <w:t>PCR cycling included an initial denaturation at 95° C for 2 min, 35 cycles of 30 sec at 95° C, 30 sec at 47° C, 30 sec at 72° C and a final extension at 72° C for 15 min.</w:t>
      </w:r>
    </w:p>
    <w:p w:rsidR="00376433" w:rsidRPr="00376433" w:rsidRDefault="00376433" w:rsidP="0037643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7B0693" w:rsidRDefault="007B0693" w:rsidP="0037643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76433">
        <w:rPr>
          <w:rFonts w:ascii="Times New Roman" w:hAnsi="Times New Roman" w:cs="Times New Roman"/>
          <w:b/>
          <w:sz w:val="22"/>
          <w:szCs w:val="22"/>
          <w:lang w:val="en-GB"/>
        </w:rPr>
        <w:t>9H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: forward primer was labelled with 6-FAM; reaction mix (10 µl) contained 10-20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ng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/µl of DNA, 0.25 µM of each primer, 2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mM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MgCl</w:t>
      </w:r>
      <w:r w:rsidRPr="00376433">
        <w:rPr>
          <w:rFonts w:ascii="Times New Roman" w:hAnsi="Times New Roman" w:cs="Times New Roman"/>
          <w:sz w:val="22"/>
          <w:szCs w:val="22"/>
          <w:vertAlign w:val="subscript"/>
          <w:lang w:val="en-GB"/>
        </w:rPr>
        <w:t>2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, 0.2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mM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of each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dNTP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7868F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GoTaq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Flexi Buffer 1X and 0.5 U of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GoTaq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DNA Polymerase (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Promega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>); PCR cycling included an initial denaturation at 95° C for 2 min, 35 cycles of 30 sec at 95° C, 30 sec at 52° C, 30 sec at 72° C and a final extension at 72° C for 15 min.</w:t>
      </w:r>
    </w:p>
    <w:p w:rsidR="00376433" w:rsidRPr="00376433" w:rsidRDefault="00376433" w:rsidP="0037643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7B0693" w:rsidRDefault="003033B1" w:rsidP="0037643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76433">
        <w:rPr>
          <w:rFonts w:ascii="Times New Roman" w:hAnsi="Times New Roman" w:cs="Times New Roman"/>
          <w:b/>
          <w:sz w:val="22"/>
          <w:szCs w:val="22"/>
          <w:lang w:val="en-GB"/>
        </w:rPr>
        <w:t>5F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: forward primer was labelled with 6-FAM; reaction mix (10 µl) contained 10-20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ng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/µl of DNA, 0.25 µM of each primer, 2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mM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MgCl</w:t>
      </w:r>
      <w:r w:rsidRPr="00376433">
        <w:rPr>
          <w:rFonts w:ascii="Times New Roman" w:hAnsi="Times New Roman" w:cs="Times New Roman"/>
          <w:sz w:val="22"/>
          <w:szCs w:val="22"/>
          <w:vertAlign w:val="subscript"/>
          <w:lang w:val="en-GB"/>
        </w:rPr>
        <w:t>2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, 0.2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mM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of each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dNTP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GoTaq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Flexi Buffer 1X and 0.5 U of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GoTaq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DNA Polymerase (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Promega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>); PCR cycling included an ini</w:t>
      </w:r>
      <w:r w:rsidR="00474DF6" w:rsidRPr="00376433">
        <w:rPr>
          <w:rFonts w:ascii="Times New Roman" w:hAnsi="Times New Roman" w:cs="Times New Roman"/>
          <w:sz w:val="22"/>
          <w:szCs w:val="22"/>
          <w:lang w:val="en-GB"/>
        </w:rPr>
        <w:t>tial denaturation at 95° C for 5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min, 35 cycles </w:t>
      </w:r>
      <w:r w:rsidR="00474DF6" w:rsidRPr="00376433">
        <w:rPr>
          <w:rFonts w:ascii="Times New Roman" w:hAnsi="Times New Roman" w:cs="Times New Roman"/>
          <w:sz w:val="22"/>
          <w:szCs w:val="22"/>
          <w:lang w:val="en-GB"/>
        </w:rPr>
        <w:t>of 30 sec at 95° C, 30 sec at 50° C, 45 sec at 65° C and a final extension at 60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>° C for 15 min.</w:t>
      </w:r>
    </w:p>
    <w:p w:rsidR="00376433" w:rsidRPr="00376433" w:rsidRDefault="00376433" w:rsidP="0037643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3033B1" w:rsidRDefault="003033B1" w:rsidP="0037643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76433">
        <w:rPr>
          <w:rFonts w:ascii="Times New Roman" w:hAnsi="Times New Roman" w:cs="Times New Roman"/>
          <w:b/>
          <w:sz w:val="22"/>
          <w:szCs w:val="22"/>
          <w:lang w:val="en-GB"/>
        </w:rPr>
        <w:t>Bv11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: forward primer was labelled with 6-FAM; reaction mix (10 µl) contained 10-20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ng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/µl of DNA, 0.25 µM of each primer, 2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mM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MgCl</w:t>
      </w:r>
      <w:r w:rsidRPr="00376433">
        <w:rPr>
          <w:rFonts w:ascii="Times New Roman" w:hAnsi="Times New Roman" w:cs="Times New Roman"/>
          <w:sz w:val="22"/>
          <w:szCs w:val="22"/>
          <w:vertAlign w:val="subscript"/>
          <w:lang w:val="en-GB"/>
        </w:rPr>
        <w:t>2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, 0.2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mM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of each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dNTP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GoTaq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Flexi Buffer 1X and 0.5 U of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GoTaq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DNA Polymerase (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Promega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); PCR cycling included an initial denaturation at 95° C for </w:t>
      </w:r>
      <w:r w:rsidR="00474DF6"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5 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min, 35 cycles </w:t>
      </w:r>
      <w:r w:rsidR="00474DF6" w:rsidRPr="00376433">
        <w:rPr>
          <w:rFonts w:ascii="Times New Roman" w:hAnsi="Times New Roman" w:cs="Times New Roman"/>
          <w:sz w:val="22"/>
          <w:szCs w:val="22"/>
          <w:lang w:val="en-GB"/>
        </w:rPr>
        <w:t>of 30 sec at 95° C, 30 sec at 53° C, 45 sec at 65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>° C and a fin</w:t>
      </w:r>
      <w:r w:rsidR="00474DF6" w:rsidRPr="00376433">
        <w:rPr>
          <w:rFonts w:ascii="Times New Roman" w:hAnsi="Times New Roman" w:cs="Times New Roman"/>
          <w:sz w:val="22"/>
          <w:szCs w:val="22"/>
          <w:lang w:val="en-GB"/>
        </w:rPr>
        <w:t>al extension at 60° C for 15 min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376433" w:rsidRPr="00376433" w:rsidRDefault="00376433" w:rsidP="0037643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9264EF" w:rsidRDefault="009264EF" w:rsidP="0037643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76433">
        <w:rPr>
          <w:rFonts w:ascii="Times New Roman" w:hAnsi="Times New Roman" w:cs="Times New Roman"/>
          <w:b/>
          <w:sz w:val="22"/>
          <w:szCs w:val="22"/>
          <w:lang w:val="en-GB"/>
        </w:rPr>
        <w:t>1A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: forward primer was labelled with TAMRA; reaction mix (10 µl) contained 10-20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ng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/µl of DNA, 0.25 µM of each primer, 2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mM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MgCl</w:t>
      </w:r>
      <w:r w:rsidRPr="00376433">
        <w:rPr>
          <w:rFonts w:ascii="Times New Roman" w:hAnsi="Times New Roman" w:cs="Times New Roman"/>
          <w:sz w:val="22"/>
          <w:szCs w:val="22"/>
          <w:vertAlign w:val="subscript"/>
          <w:lang w:val="en-GB"/>
        </w:rPr>
        <w:t>2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, 0.2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mM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of each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dNTP,GoTaq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Flexi Buffer 1X and 0.5 U of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GoTaq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DNA Polymerase (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Promega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>); PCR cycling included an initial denaturation at 95° C for 2 min, 35 cycles of 30 sec at 95° C, 30 sec at 56° C, 30 sec at 72° C and a final extension at 72° C for 15 min.</w:t>
      </w:r>
    </w:p>
    <w:p w:rsidR="00376433" w:rsidRPr="00376433" w:rsidRDefault="00376433" w:rsidP="0037643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9264EF" w:rsidRDefault="009264EF" w:rsidP="0037643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76433">
        <w:rPr>
          <w:rFonts w:ascii="Times New Roman" w:hAnsi="Times New Roman" w:cs="Times New Roman"/>
          <w:b/>
          <w:sz w:val="22"/>
          <w:szCs w:val="22"/>
          <w:lang w:val="en-GB"/>
        </w:rPr>
        <w:t>8A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: forward primer was labelled with HEX; reaction mix (10 µl) contained 10-20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ng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/µl of DNA, 0.25 µM of each primer, 2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mM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MgCl</w:t>
      </w:r>
      <w:r w:rsidRPr="00376433">
        <w:rPr>
          <w:rFonts w:ascii="Times New Roman" w:hAnsi="Times New Roman" w:cs="Times New Roman"/>
          <w:sz w:val="22"/>
          <w:szCs w:val="22"/>
          <w:vertAlign w:val="subscript"/>
          <w:lang w:val="en-GB"/>
        </w:rPr>
        <w:t>2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, 0.2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mM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of each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dNTP,GoTaq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Flexi Buffer 1X and 0.5 U of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GoTaq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DNA Polymerase (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Promega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>); PCR cycling included an initial denaturation at 95° C for 2 min, 35 cycles of 30 sec at 95° C, 30 sec at 55° C, 30 sec at 72° C and a final extension at 72° C for 15 min.</w:t>
      </w:r>
    </w:p>
    <w:p w:rsidR="00376433" w:rsidRPr="00376433" w:rsidRDefault="00376433" w:rsidP="0037643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3033B1" w:rsidRPr="00376433" w:rsidRDefault="009264EF" w:rsidP="0037643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76433">
        <w:rPr>
          <w:rFonts w:ascii="Times New Roman" w:hAnsi="Times New Roman" w:cs="Times New Roman"/>
          <w:b/>
          <w:sz w:val="22"/>
          <w:szCs w:val="22"/>
          <w:lang w:val="en-GB"/>
        </w:rPr>
        <w:t>10F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: forward primer was labelled with 6-FAM; reaction mix (10 µl) contained 10-20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ng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/µl of DNA, 0.25 µM of each primer, 2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mM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MgCl</w:t>
      </w:r>
      <w:r w:rsidRPr="00376433">
        <w:rPr>
          <w:rFonts w:ascii="Times New Roman" w:hAnsi="Times New Roman" w:cs="Times New Roman"/>
          <w:sz w:val="22"/>
          <w:szCs w:val="22"/>
          <w:vertAlign w:val="subscript"/>
          <w:lang w:val="en-GB"/>
        </w:rPr>
        <w:t>2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, 0.2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mM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of each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dNTP,GoTaq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Flexi Buffer 1X and 0.5 U of 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GoTaq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DNA Polymerase (</w:t>
      </w:r>
      <w:proofErr w:type="spellStart"/>
      <w:r w:rsidRPr="00376433">
        <w:rPr>
          <w:rFonts w:ascii="Times New Roman" w:hAnsi="Times New Roman" w:cs="Times New Roman"/>
          <w:sz w:val="22"/>
          <w:szCs w:val="22"/>
          <w:lang w:val="en-GB"/>
        </w:rPr>
        <w:t>Promega</w:t>
      </w:r>
      <w:proofErr w:type="spellEnd"/>
      <w:r w:rsidRPr="00376433">
        <w:rPr>
          <w:rFonts w:ascii="Times New Roman" w:hAnsi="Times New Roman" w:cs="Times New Roman"/>
          <w:sz w:val="22"/>
          <w:szCs w:val="22"/>
          <w:lang w:val="en-GB"/>
        </w:rPr>
        <w:t>); PCR cycling included an initial denaturation at 95° C for 2 min, 35 cycles of 30 sec at 95° C, 30 sec at 58° C, 30 sec at 72° C and a final extension at 72° C for 15 min.</w:t>
      </w:r>
    </w:p>
    <w:p w:rsidR="003C24BF" w:rsidRPr="00376433" w:rsidRDefault="003C24BF" w:rsidP="0037643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76433">
        <w:rPr>
          <w:rFonts w:ascii="Times New Roman" w:hAnsi="Times New Roman" w:cs="Times New Roman"/>
          <w:sz w:val="22"/>
          <w:szCs w:val="22"/>
          <w:lang w:val="en-GB"/>
        </w:rPr>
        <w:t>PCR products were assembled i</w:t>
      </w:r>
      <w:r w:rsidR="00C63C97" w:rsidRPr="00376433">
        <w:rPr>
          <w:rFonts w:ascii="Times New Roman" w:hAnsi="Times New Roman" w:cs="Times New Roman"/>
          <w:sz w:val="22"/>
          <w:szCs w:val="22"/>
          <w:lang w:val="en-GB"/>
        </w:rPr>
        <w:t>n</w:t>
      </w:r>
      <w:r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 multiplex pos</w:t>
      </w:r>
      <w:r w:rsidR="00C63C97" w:rsidRPr="00376433">
        <w:rPr>
          <w:rFonts w:ascii="Times New Roman" w:hAnsi="Times New Roman" w:cs="Times New Roman"/>
          <w:sz w:val="22"/>
          <w:szCs w:val="22"/>
          <w:lang w:val="en-GB"/>
        </w:rPr>
        <w:t xml:space="preserve">t-PCR: one including 10F, 1A and Bv11 and another including 9H, 8A and F22; 5F was </w:t>
      </w:r>
      <w:r w:rsidR="003C1B00" w:rsidRPr="00376433">
        <w:rPr>
          <w:rFonts w:ascii="Times New Roman" w:hAnsi="Times New Roman" w:cs="Times New Roman"/>
          <w:sz w:val="22"/>
          <w:szCs w:val="22"/>
          <w:lang w:val="en-GB"/>
        </w:rPr>
        <w:t>genotyped alone.</w:t>
      </w:r>
    </w:p>
    <w:p w:rsidR="003149C9" w:rsidRPr="00376433" w:rsidRDefault="003149C9" w:rsidP="0037643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3149C9" w:rsidRPr="00376433" w:rsidRDefault="003149C9" w:rsidP="00376433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376433">
        <w:rPr>
          <w:rFonts w:ascii="Times New Roman" w:hAnsi="Times New Roman" w:cs="Times New Roman"/>
          <w:b/>
          <w:sz w:val="22"/>
          <w:szCs w:val="22"/>
          <w:lang w:val="en-US"/>
        </w:rPr>
        <w:t>Spatial thinning of the occurrence database</w:t>
      </w:r>
    </w:p>
    <w:p w:rsidR="003149C9" w:rsidRPr="00376433" w:rsidRDefault="003149C9" w:rsidP="0037643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76433">
        <w:rPr>
          <w:rFonts w:ascii="Times New Roman" w:hAnsi="Times New Roman" w:cs="Times New Roman"/>
          <w:sz w:val="22"/>
          <w:szCs w:val="22"/>
          <w:lang w:val="en-US"/>
        </w:rPr>
        <w:t>To limit the effect of spatial clustering of the occurrences used to calibrate the different algorithms, we applied a spatial thinning in the geographical space to the original 361 occurrence points (</w:t>
      </w:r>
      <w:r w:rsidR="00376433" w:rsidRPr="00376433">
        <w:rPr>
          <w:rFonts w:ascii="Times New Roman" w:hAnsi="Times New Roman" w:cs="Times New Roman"/>
          <w:sz w:val="22"/>
          <w:szCs w:val="22"/>
          <w:lang w:val="en-GB"/>
        </w:rPr>
        <w:t>Aiello-</w:t>
      </w:r>
      <w:proofErr w:type="spellStart"/>
      <w:r w:rsidR="00376433" w:rsidRPr="00376433">
        <w:rPr>
          <w:rFonts w:ascii="Times New Roman" w:hAnsi="Times New Roman" w:cs="Times New Roman"/>
          <w:sz w:val="22"/>
          <w:szCs w:val="22"/>
          <w:lang w:val="en-GB"/>
        </w:rPr>
        <w:t>Lammens</w:t>
      </w:r>
      <w:proofErr w:type="spellEnd"/>
      <w:r w:rsidR="007868F1">
        <w:rPr>
          <w:rFonts w:ascii="Times New Roman" w:hAnsi="Times New Roman" w:cs="Times New Roman"/>
          <w:sz w:val="22"/>
          <w:szCs w:val="22"/>
          <w:lang w:val="en-GB"/>
        </w:rPr>
        <w:t xml:space="preserve"> et al.</w:t>
      </w:r>
      <w:r w:rsidR="00376433">
        <w:rPr>
          <w:rFonts w:ascii="Times New Roman" w:hAnsi="Times New Roman" w:cs="Times New Roman"/>
          <w:sz w:val="22"/>
          <w:szCs w:val="22"/>
          <w:lang w:val="en-GB"/>
        </w:rPr>
        <w:t xml:space="preserve"> 2015</w:t>
      </w:r>
      <w:r w:rsidR="007868F1">
        <w:rPr>
          <w:rFonts w:ascii="Times New Roman" w:hAnsi="Times New Roman" w:cs="Times New Roman"/>
          <w:sz w:val="22"/>
          <w:szCs w:val="22"/>
          <w:lang w:val="en-US"/>
        </w:rPr>
        <w:t xml:space="preserve">). We used the R package </w:t>
      </w:r>
      <w:r w:rsidRPr="007868F1">
        <w:rPr>
          <w:rFonts w:ascii="Times New Roman" w:hAnsi="Times New Roman" w:cs="Times New Roman"/>
          <w:caps/>
          <w:sz w:val="22"/>
          <w:szCs w:val="22"/>
          <w:lang w:val="en-US"/>
        </w:rPr>
        <w:t>spThin</w:t>
      </w:r>
      <w:r w:rsidRPr="00376433">
        <w:rPr>
          <w:rFonts w:ascii="Times New Roman" w:hAnsi="Times New Roman" w:cs="Times New Roman"/>
          <w:sz w:val="22"/>
          <w:szCs w:val="22"/>
          <w:lang w:val="en-US"/>
        </w:rPr>
        <w:t xml:space="preserve"> which requires the definition of a minimum distance used to randomly remove occurrence records that are closer than the same distance. To empirically determine the thi</w:t>
      </w:r>
      <w:r w:rsidR="007868F1">
        <w:rPr>
          <w:rFonts w:ascii="Times New Roman" w:hAnsi="Times New Roman" w:cs="Times New Roman"/>
          <w:sz w:val="22"/>
          <w:szCs w:val="22"/>
          <w:lang w:val="en-US"/>
        </w:rPr>
        <w:t>nning distance, we generated 10.</w:t>
      </w:r>
      <w:r w:rsidRPr="00376433">
        <w:rPr>
          <w:rFonts w:ascii="Times New Roman" w:hAnsi="Times New Roman" w:cs="Times New Roman"/>
          <w:sz w:val="22"/>
          <w:szCs w:val="22"/>
          <w:lang w:val="en-US"/>
        </w:rPr>
        <w:t>000 sets of 361 random points (same number as the available species’ occurrences) covering the calibration area (i.e., the area sampled by the occurrence points); for each of the 10</w:t>
      </w:r>
      <w:r w:rsidR="007868F1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376433">
        <w:rPr>
          <w:rFonts w:ascii="Times New Roman" w:hAnsi="Times New Roman" w:cs="Times New Roman"/>
          <w:sz w:val="22"/>
          <w:szCs w:val="22"/>
          <w:lang w:val="en-US"/>
        </w:rPr>
        <w:t>000 sets we calculated the mean distance between nearest neighbor points, and then we calculated the mean over all 10,000 sets of random poi</w:t>
      </w:r>
      <w:r w:rsidR="007868F1">
        <w:rPr>
          <w:rFonts w:ascii="Times New Roman" w:hAnsi="Times New Roman" w:cs="Times New Roman"/>
          <w:sz w:val="22"/>
          <w:szCs w:val="22"/>
          <w:lang w:val="en-US"/>
        </w:rPr>
        <w:t>nts, corresponding to 11.</w:t>
      </w:r>
      <w:r w:rsidRPr="00376433">
        <w:rPr>
          <w:rFonts w:ascii="Times New Roman" w:hAnsi="Times New Roman" w:cs="Times New Roman"/>
          <w:sz w:val="22"/>
          <w:szCs w:val="22"/>
          <w:lang w:val="en-US"/>
        </w:rPr>
        <w:t>277 meters. Using the same distance, we obtained five alternative datasets with 182 occurr</w:t>
      </w:r>
      <w:r w:rsidR="007868F1">
        <w:rPr>
          <w:rFonts w:ascii="Times New Roman" w:hAnsi="Times New Roman" w:cs="Times New Roman"/>
          <w:sz w:val="22"/>
          <w:szCs w:val="22"/>
          <w:lang w:val="en-US"/>
        </w:rPr>
        <w:t>ences (each distant at least 11.</w:t>
      </w:r>
      <w:r w:rsidRPr="00376433">
        <w:rPr>
          <w:rFonts w:ascii="Times New Roman" w:hAnsi="Times New Roman" w:cs="Times New Roman"/>
          <w:sz w:val="22"/>
          <w:szCs w:val="22"/>
          <w:lang w:val="en-US"/>
        </w:rPr>
        <w:t>277 meters from the closest one) used for model calibration and 179 occurrences used for model evaluation.</w:t>
      </w:r>
    </w:p>
    <w:p w:rsidR="003149C9" w:rsidRPr="00376433" w:rsidRDefault="003149C9" w:rsidP="0037643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sectPr w:rsidR="003149C9" w:rsidRPr="00376433" w:rsidSect="00103C6F">
      <w:footerReference w:type="default" r:id="rId8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EB" w:rsidRDefault="003361EB" w:rsidP="00376433">
      <w:r>
        <w:separator/>
      </w:r>
    </w:p>
  </w:endnote>
  <w:endnote w:type="continuationSeparator" w:id="0">
    <w:p w:rsidR="003361EB" w:rsidRDefault="003361EB" w:rsidP="0037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1767"/>
      <w:docPartObj>
        <w:docPartGallery w:val="Page Numbers (Bottom of Page)"/>
        <w:docPartUnique/>
      </w:docPartObj>
    </w:sdtPr>
    <w:sdtEndPr/>
    <w:sdtContent>
      <w:p w:rsidR="00376433" w:rsidRDefault="00A96D3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D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6433" w:rsidRDefault="003764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EB" w:rsidRDefault="003361EB" w:rsidP="00376433">
      <w:r>
        <w:separator/>
      </w:r>
    </w:p>
  </w:footnote>
  <w:footnote w:type="continuationSeparator" w:id="0">
    <w:p w:rsidR="003361EB" w:rsidRDefault="003361EB" w:rsidP="00376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B47"/>
    <w:rsid w:val="00036531"/>
    <w:rsid w:val="000C14CB"/>
    <w:rsid w:val="000E2CE8"/>
    <w:rsid w:val="00103C6F"/>
    <w:rsid w:val="001C67B4"/>
    <w:rsid w:val="002B36B8"/>
    <w:rsid w:val="003033B1"/>
    <w:rsid w:val="003149C9"/>
    <w:rsid w:val="003361EB"/>
    <w:rsid w:val="00376433"/>
    <w:rsid w:val="003C1B00"/>
    <w:rsid w:val="003C24BF"/>
    <w:rsid w:val="00422292"/>
    <w:rsid w:val="00474DF6"/>
    <w:rsid w:val="00501E43"/>
    <w:rsid w:val="00540D2E"/>
    <w:rsid w:val="00605616"/>
    <w:rsid w:val="00751851"/>
    <w:rsid w:val="007868F1"/>
    <w:rsid w:val="007B0693"/>
    <w:rsid w:val="009264EF"/>
    <w:rsid w:val="00937B80"/>
    <w:rsid w:val="00987BEE"/>
    <w:rsid w:val="009F1E09"/>
    <w:rsid w:val="00A67B47"/>
    <w:rsid w:val="00A96D30"/>
    <w:rsid w:val="00BD51D8"/>
    <w:rsid w:val="00C63C97"/>
    <w:rsid w:val="00CD7439"/>
    <w:rsid w:val="00E3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4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376433"/>
  </w:style>
  <w:style w:type="paragraph" w:styleId="Intestazione">
    <w:name w:val="header"/>
    <w:basedOn w:val="Normale"/>
    <w:link w:val="IntestazioneCarattere"/>
    <w:uiPriority w:val="99"/>
    <w:semiHidden/>
    <w:unhideWhenUsed/>
    <w:rsid w:val="003764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6433"/>
  </w:style>
  <w:style w:type="paragraph" w:styleId="Pidipagina">
    <w:name w:val="footer"/>
    <w:basedOn w:val="Normale"/>
    <w:link w:val="PidipaginaCarattere"/>
    <w:uiPriority w:val="99"/>
    <w:unhideWhenUsed/>
    <w:rsid w:val="003764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EEFA-B98C-4398-A8EF-AF82E2B1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Microsoft</cp:lastModifiedBy>
  <cp:revision>8</cp:revision>
  <dcterms:created xsi:type="dcterms:W3CDTF">2018-01-29T15:10:00Z</dcterms:created>
  <dcterms:modified xsi:type="dcterms:W3CDTF">2018-11-07T13:53:00Z</dcterms:modified>
</cp:coreProperties>
</file>