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MS Mincho" w:cs="Arial"/>
          <w:b/>
          <w:sz w:val="24"/>
          <w:szCs w:val="24"/>
          <w:lang w:eastAsia="en-US"/>
        </w:rPr>
        <w:t>Supplementary figure legends</w:t>
      </w:r>
    </w:p>
    <w:p>
      <w:pPr>
        <w:spacing w:line="480" w:lineRule="auto"/>
        <w:rPr>
          <w:rFonts w:ascii="Arial" w:hAnsi="Arial" w:eastAsia="MS Mincho" w:cs="Arial"/>
          <w:sz w:val="24"/>
          <w:szCs w:val="24"/>
          <w:lang w:eastAsia="en-US"/>
        </w:rPr>
      </w:pPr>
    </w:p>
    <w:p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eastAsia="MS Mincho" w:cs="Arial"/>
          <w:b/>
          <w:sz w:val="24"/>
          <w:szCs w:val="24"/>
          <w:lang w:eastAsia="en-US"/>
        </w:rPr>
        <w:t>Fig.S1. The localization of S protein from sC69* mutan</w:t>
      </w:r>
      <w:r>
        <w:rPr>
          <w:rFonts w:ascii="Arial" w:hAnsi="Arial" w:eastAsia="MS Mincho" w:cs="Arial"/>
          <w:sz w:val="24"/>
          <w:szCs w:val="24"/>
          <w:lang w:eastAsia="en-US"/>
        </w:rPr>
        <w:t xml:space="preserve">t. To visualize the cellular localization of the truncated S protein of sC69*, we transfected the WT and sC69* with HA tag into the HepG2 cells. 72 hours later, HBV related markers were detected. (A) </w:t>
      </w:r>
      <w:r>
        <w:rPr>
          <w:rFonts w:ascii="Arial" w:hAnsi="Arial" w:cs="Arial"/>
          <w:sz w:val="24"/>
          <w:szCs w:val="24"/>
        </w:rPr>
        <w:t xml:space="preserve">The co-existence of sC69* substitution (TGA) and WT (TGT) in HBV </w:t>
      </w:r>
      <w:r>
        <w:rPr>
          <w:rFonts w:hint="eastAsia" w:ascii="Arial" w:hAnsi="Arial" w:cs="Arial"/>
          <w:sz w:val="24"/>
          <w:szCs w:val="24"/>
        </w:rPr>
        <w:t>SHBs</w:t>
      </w:r>
      <w:r>
        <w:rPr>
          <w:rFonts w:ascii="Arial" w:hAnsi="Arial" w:cs="Arial"/>
          <w:sz w:val="24"/>
          <w:szCs w:val="24"/>
        </w:rPr>
        <w:t xml:space="preserve"> sequence</w:t>
      </w:r>
      <w:r>
        <w:rPr>
          <w:rFonts w:hint="eastAsia" w:ascii="Arial" w:hAnsi="Arial" w:cs="Arial"/>
          <w:sz w:val="24"/>
          <w:szCs w:val="24"/>
        </w:rPr>
        <w:t xml:space="preserve"> from a patient</w:t>
      </w:r>
      <w:r>
        <w:rPr>
          <w:rFonts w:ascii="Arial" w:hAnsi="Arial" w:cs="Arial"/>
          <w:sz w:val="24"/>
          <w:szCs w:val="24"/>
        </w:rPr>
        <w:t>’</w:t>
      </w:r>
      <w:r>
        <w:rPr>
          <w:rFonts w:hint="eastAsia" w:ascii="Arial" w:hAnsi="Arial" w:cs="Arial"/>
          <w:sz w:val="24"/>
          <w:szCs w:val="24"/>
        </w:rPr>
        <w:t>s serum</w:t>
      </w:r>
      <w:r>
        <w:rPr>
          <w:rFonts w:ascii="Arial" w:hAnsi="Arial" w:cs="Arial"/>
          <w:sz w:val="24"/>
          <w:szCs w:val="24"/>
        </w:rPr>
        <w:t>. (B) CLIA detection of the extracellular HBsAg. (C) qPCR detection of extracellular HBV DNA. (D) Immunofluorescence microscopy observation</w:t>
      </w:r>
      <w:r>
        <w:rPr>
          <w:rFonts w:hint="eastAsia"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detect the location of HBsAg-HA, scale bars: 100</w:t>
      </w:r>
      <w:r>
        <w:rPr>
          <w:rFonts w:hint="eastAsia"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6D"/>
      </w:r>
      <w:r>
        <w:rPr>
          <w:rFonts w:ascii="Arial" w:hAnsi="Arial" w:cs="Arial"/>
          <w:sz w:val="24"/>
          <w:szCs w:val="24"/>
        </w:rPr>
        <w:t>m. Data from three biological replicates are shown as means ± s.d. Statistical analysis was performed by a</w:t>
      </w:r>
      <w:r>
        <w:rPr>
          <w:rFonts w:hint="eastAsia"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Student’s t test *: </w:t>
      </w:r>
      <w:r>
        <w:rPr>
          <w:rFonts w:ascii="Arial" w:hAnsi="Arial" w:cs="Arial"/>
          <w:i/>
          <w:sz w:val="24"/>
          <w:szCs w:val="24"/>
        </w:rPr>
        <w:t>p</w:t>
      </w:r>
      <w:r>
        <w:rPr>
          <w:rFonts w:hint="eastAsia" w:ascii="Arial" w:hAnsi="Arial" w:cs="Arial"/>
          <w:i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sz w:val="24"/>
          <w:szCs w:val="24"/>
        </w:rPr>
        <w:t>&lt;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sz w:val="24"/>
          <w:szCs w:val="24"/>
        </w:rPr>
        <w:t>0.05.</w:t>
      </w:r>
    </w:p>
    <w:p>
      <w:pPr>
        <w:spacing w:line="480" w:lineRule="auto"/>
        <w:rPr>
          <w:rFonts w:ascii="Arial" w:hAnsi="Arial" w:eastAsia="MS Mincho" w:cs="Arial"/>
          <w:sz w:val="24"/>
          <w:szCs w:val="24"/>
          <w:lang w:eastAsia="en-US"/>
        </w:rPr>
      </w:pPr>
    </w:p>
    <w:p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eastAsia="MS Mincho" w:cs="Arial"/>
          <w:b/>
          <w:sz w:val="24"/>
          <w:szCs w:val="24"/>
          <w:lang w:eastAsia="en-US"/>
        </w:rPr>
        <w:t xml:space="preserve">Fig. S2. The establishment of HepG2-NTCP cells for HBV infection. </w:t>
      </w:r>
      <w:r>
        <w:rPr>
          <w:rFonts w:ascii="Arial" w:hAnsi="Arial" w:eastAsia="MS Mincho" w:cs="Arial"/>
          <w:sz w:val="24"/>
          <w:szCs w:val="24"/>
          <w:lang w:eastAsia="en-US"/>
        </w:rPr>
        <w:t xml:space="preserve">(A) Schematic workflow of HBV infection in HepG2-NTCP cells. Briefly, </w:t>
      </w:r>
      <w:r>
        <w:rPr>
          <w:rFonts w:ascii="Arial" w:hAnsi="Arial" w:cs="Arial"/>
          <w:sz w:val="24"/>
          <w:szCs w:val="24"/>
        </w:rPr>
        <w:t>one day before 100 geq/cell of HBV infection, the cells were treated with 2% DMSO. The entry inhibitor MyrB was used to treat the cells at concentration of 500 nM.</w:t>
      </w:r>
      <w:r>
        <w:rPr>
          <w:rFonts w:hint="eastAsia"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next day, the cells were washed with PBS for 5 times to wash the left virus</w:t>
      </w:r>
      <w:r>
        <w:rPr>
          <w:rFonts w:hint="eastAsia"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away. Then, HBV related markers were measured after 7 days infection. </w:t>
      </w:r>
      <w:r>
        <w:rPr>
          <w:rFonts w:hint="eastAsia"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epresentative expression of (B) HBsAg and </w:t>
      </w:r>
      <w:r>
        <w:rPr>
          <w:rFonts w:hint="eastAsia" w:ascii="Arial" w:hAnsi="Arial" w:cs="Arial"/>
          <w:sz w:val="24"/>
          <w:szCs w:val="24"/>
        </w:rPr>
        <w:t xml:space="preserve">(C) </w:t>
      </w:r>
      <w:r>
        <w:rPr>
          <w:rFonts w:ascii="Arial" w:hAnsi="Arial" w:cs="Arial"/>
          <w:sz w:val="24"/>
          <w:szCs w:val="24"/>
        </w:rPr>
        <w:t xml:space="preserve">HBV DNA levels were </w:t>
      </w:r>
      <w:r>
        <w:rPr>
          <w:rFonts w:hint="eastAsia" w:ascii="Arial" w:hAnsi="Arial" w:cs="Arial"/>
          <w:sz w:val="24"/>
          <w:szCs w:val="24"/>
        </w:rPr>
        <w:t>tested</w:t>
      </w:r>
      <w:r>
        <w:rPr>
          <w:rFonts w:ascii="Arial" w:hAnsi="Arial" w:cs="Arial"/>
          <w:sz w:val="24"/>
          <w:szCs w:val="24"/>
        </w:rPr>
        <w:t xml:space="preserve"> by C</w:t>
      </w:r>
      <w:r>
        <w:rPr>
          <w:rFonts w:hint="eastAsia"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IA and qPCR. (</w:t>
      </w:r>
      <w:r>
        <w:rPr>
          <w:rFonts w:hint="eastAsia"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hint="eastAsia"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epresentative image of HepG2-NTCP cells</w:t>
      </w:r>
      <w:r>
        <w:rPr>
          <w:rFonts w:hint="eastAsia"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seven</w:t>
      </w:r>
      <w:r>
        <w:rPr>
          <w:rFonts w:hint="eastAsia" w:ascii="Arial" w:hAnsi="Arial" w:cs="Arial"/>
          <w:sz w:val="24"/>
          <w:szCs w:val="24"/>
        </w:rPr>
        <w:t xml:space="preserve"> days after infection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hint="eastAsia"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ells were stained with anti-HBc antibody and analyzed by immun</w:t>
      </w:r>
      <w:r>
        <w:rPr>
          <w:rFonts w:hint="eastAsia"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fluorescence assay. Data from three biological replicates are shown as means ± s.d. Statistical analysis was performed by a</w:t>
      </w:r>
      <w:r>
        <w:rPr>
          <w:rFonts w:hint="eastAsia"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Student’s t test *:</w:t>
      </w:r>
      <w:r>
        <w:rPr>
          <w:rFonts w:ascii="Arial" w:hAnsi="Arial" w:cs="Arial"/>
          <w:i/>
          <w:sz w:val="24"/>
          <w:szCs w:val="24"/>
        </w:rPr>
        <w:t xml:space="preserve"> p</w:t>
      </w:r>
      <w:r>
        <w:rPr>
          <w:rFonts w:hint="eastAsia" w:ascii="Arial" w:hAnsi="Arial" w:cs="Arial"/>
          <w:i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sz w:val="24"/>
          <w:szCs w:val="24"/>
        </w:rPr>
        <w:t>&lt;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sz w:val="24"/>
          <w:szCs w:val="24"/>
        </w:rPr>
        <w:t>0.05.</w:t>
      </w:r>
    </w:p>
    <w:p>
      <w:pPr>
        <w:spacing w:line="480" w:lineRule="auto"/>
        <w:rPr>
          <w:rFonts w:ascii="Arial" w:hAnsi="Arial" w:eastAsia="MS Mincho" w:cs="Arial"/>
          <w:sz w:val="24"/>
          <w:szCs w:val="24"/>
          <w:lang w:eastAsia="en-US"/>
        </w:rPr>
      </w:pPr>
    </w:p>
    <w:p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Fig. S3. HepG2-NTCP cells were stimulated by poly (I:C) with high ISGs expression</w:t>
      </w:r>
      <w:r>
        <w:rPr>
          <w:rFonts w:ascii="Arial" w:hAnsi="Arial" w:cs="Arial"/>
          <w:sz w:val="24"/>
          <w:szCs w:val="24"/>
        </w:rPr>
        <w:t xml:space="preserve">. HepG2-NTCP cells were treated with 10 </w:t>
      </w:r>
      <w:r>
        <w:rPr>
          <w:rFonts w:ascii="Arial" w:hAnsi="Arial" w:cs="Arial"/>
          <w:sz w:val="24"/>
          <w:szCs w:val="24"/>
        </w:rPr>
        <w:sym w:font="Symbol" w:char="F06D"/>
      </w:r>
      <w:r>
        <w:rPr>
          <w:rFonts w:ascii="Arial" w:hAnsi="Arial" w:cs="Arial"/>
          <w:sz w:val="24"/>
          <w:szCs w:val="24"/>
        </w:rPr>
        <w:t>g/ml poly (I:C) for 24h. The ISGs related markers were measured by RT-qPCR. Data from three biological replicates are shown as means ± s.d.</w:t>
      </w:r>
    </w:p>
    <w:p>
      <w:pPr>
        <w:spacing w:line="480" w:lineRule="auto"/>
        <w:rPr>
          <w:rFonts w:ascii="Arial" w:hAnsi="Arial" w:eastAsia="MS Mincho" w:cs="Arial"/>
          <w:sz w:val="24"/>
          <w:szCs w:val="24"/>
          <w:lang w:eastAsia="en-US"/>
        </w:rPr>
      </w:pPr>
    </w:p>
    <w:p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eastAsia="MS Mincho" w:cs="Arial"/>
          <w:b/>
          <w:sz w:val="24"/>
          <w:szCs w:val="24"/>
          <w:lang w:eastAsia="en-US"/>
        </w:rPr>
        <w:t>Fig.S4. The less immune response of sC69* is not caused by the deficient replication.</w:t>
      </w:r>
      <w:r>
        <w:rPr>
          <w:rFonts w:ascii="Arial" w:hAnsi="Arial" w:eastAsia="MS Mincho" w:cs="Arial"/>
          <w:sz w:val="24"/>
          <w:szCs w:val="24"/>
          <w:lang w:eastAsia="en-US"/>
        </w:rPr>
        <w:t xml:space="preserve"> (A) </w:t>
      </w:r>
      <w:r>
        <w:rPr>
          <w:rFonts w:hint="eastAsia" w:ascii="Arial" w:hAnsi="Arial" w:cs="Arial"/>
          <w:sz w:val="24"/>
          <w:szCs w:val="24"/>
        </w:rPr>
        <w:t>T</w:t>
      </w:r>
      <w:r>
        <w:rPr>
          <w:rFonts w:ascii="Arial" w:hAnsi="Arial" w:eastAsia="MS Mincho" w:cs="Arial"/>
          <w:sz w:val="24"/>
          <w:szCs w:val="24"/>
          <w:lang w:eastAsia="en-US"/>
        </w:rPr>
        <w:t>he schem</w:t>
      </w:r>
      <w:r>
        <w:rPr>
          <w:rFonts w:hint="eastAsia" w:ascii="Arial" w:hAnsi="Arial" w:cs="Arial"/>
          <w:sz w:val="24"/>
          <w:szCs w:val="24"/>
        </w:rPr>
        <w:t>at</w:t>
      </w:r>
      <w:r>
        <w:rPr>
          <w:rFonts w:ascii="Arial" w:hAnsi="Arial" w:eastAsia="MS Mincho" w:cs="Arial"/>
          <w:sz w:val="24"/>
          <w:szCs w:val="24"/>
          <w:lang w:eastAsia="en-US"/>
        </w:rPr>
        <w:t xml:space="preserve">ic </w:t>
      </w:r>
      <w:r>
        <w:rPr>
          <w:rFonts w:hint="eastAsia" w:ascii="Arial" w:hAnsi="Arial" w:cs="Arial"/>
          <w:sz w:val="24"/>
          <w:szCs w:val="24"/>
        </w:rPr>
        <w:t xml:space="preserve">workflow </w:t>
      </w:r>
      <w:r>
        <w:rPr>
          <w:rFonts w:ascii="Arial" w:hAnsi="Arial" w:eastAsia="MS Mincho" w:cs="Arial"/>
          <w:sz w:val="24"/>
          <w:szCs w:val="24"/>
          <w:lang w:eastAsia="en-US"/>
        </w:rPr>
        <w:t xml:space="preserve">of HBV WT and sC69* reverse transcriptase mutation from YMDD to YMHD. (B) The plasmids of WT-YMHD and sC69*-YMHD were transfected into HepG2 cells. The expression of HBV pgRNA and TNFα, IL29, ISG15, RIG-I, </w:t>
      </w:r>
      <w:r>
        <w:rPr>
          <w:rFonts w:hint="eastAsia" w:ascii="Arial" w:hAnsi="Arial" w:cs="Arial"/>
          <w:sz w:val="24"/>
          <w:szCs w:val="24"/>
        </w:rPr>
        <w:t>v</w:t>
      </w:r>
      <w:r>
        <w:rPr>
          <w:rFonts w:ascii="Arial" w:hAnsi="Arial" w:eastAsia="MS Mincho" w:cs="Arial"/>
          <w:sz w:val="24"/>
          <w:szCs w:val="24"/>
          <w:lang w:eastAsia="en-US"/>
        </w:rPr>
        <w:t xml:space="preserve">iperin, IL1β and IL32 were detected by RT-qPCR at different days post-transfection. </w:t>
      </w:r>
      <w:r>
        <w:rPr>
          <w:rFonts w:ascii="Arial" w:hAnsi="Arial" w:cs="Arial"/>
          <w:sz w:val="24"/>
          <w:szCs w:val="24"/>
        </w:rPr>
        <w:t>Data from three biological replicates are shown as means ± s.d. Statistical analysis was performed by a</w:t>
      </w:r>
      <w:r>
        <w:rPr>
          <w:rFonts w:hint="eastAsia"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Student’s t test *: </w:t>
      </w:r>
      <w:r>
        <w:rPr>
          <w:rFonts w:ascii="Arial" w:hAnsi="Arial" w:cs="Arial"/>
          <w:i/>
          <w:iCs/>
          <w:sz w:val="24"/>
          <w:szCs w:val="24"/>
        </w:rPr>
        <w:t>p</w:t>
      </w:r>
      <w:r>
        <w:rPr>
          <w:rFonts w:hint="eastAsia" w:ascii="Arial" w:hAnsi="Arial" w:cs="Arial"/>
          <w:i/>
          <w:iCs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sz w:val="24"/>
          <w:szCs w:val="24"/>
        </w:rPr>
        <w:t>&lt;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0.05. </w:t>
      </w:r>
    </w:p>
    <w:p>
      <w:pPr>
        <w:spacing w:line="480" w:lineRule="auto"/>
        <w:rPr>
          <w:rFonts w:ascii="Arial" w:hAnsi="Arial" w:eastAsia="等线" w:cs="Arial"/>
          <w:sz w:val="24"/>
          <w:szCs w:val="24"/>
        </w:rPr>
      </w:pPr>
    </w:p>
    <w:p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eastAsia="等线" w:cs="Arial"/>
          <w:b/>
          <w:sz w:val="24"/>
          <w:szCs w:val="24"/>
        </w:rPr>
        <w:t>Fig. S5. Poly (I:C) induce cytokines triggering ISGs expression in specific HepG2-NTCP cells</w:t>
      </w:r>
      <w:r>
        <w:rPr>
          <w:rFonts w:ascii="Arial" w:hAnsi="Arial" w:eastAsia="等线" w:cs="Arial"/>
          <w:sz w:val="24"/>
          <w:szCs w:val="24"/>
        </w:rPr>
        <w:t>. (A) Schematic strategy for testing HBV WT and sC69* inducing ISGs expression. Supernatant from HBV WT and sC69*+pLMS infected cells were transferred to new HepG</w:t>
      </w:r>
      <w:r>
        <w:rPr>
          <w:rFonts w:hint="eastAsia" w:ascii="Arial" w:hAnsi="Arial" w:eastAsia="等线" w:cs="Arial"/>
          <w:sz w:val="24"/>
          <w:szCs w:val="24"/>
        </w:rPr>
        <w:t xml:space="preserve">2-NTCP </w:t>
      </w:r>
      <w:r>
        <w:rPr>
          <w:rFonts w:ascii="Arial" w:hAnsi="Arial" w:eastAsia="等线" w:cs="Arial"/>
          <w:sz w:val="24"/>
          <w:szCs w:val="24"/>
        </w:rPr>
        <w:t>cells. Poly (I:C) was used as positive control for this experiment. The markers relating to</w:t>
      </w:r>
      <w:r>
        <w:rPr>
          <w:rFonts w:hint="eastAsia" w:ascii="Arial" w:hAnsi="Arial" w:eastAsia="等线" w:cs="Arial"/>
          <w:sz w:val="24"/>
          <w:szCs w:val="24"/>
        </w:rPr>
        <w:t xml:space="preserve"> </w:t>
      </w:r>
      <w:r>
        <w:rPr>
          <w:rFonts w:ascii="Arial" w:hAnsi="Arial" w:eastAsia="等线" w:cs="Arial"/>
          <w:sz w:val="24"/>
          <w:szCs w:val="24"/>
        </w:rPr>
        <w:t>innate immune response were measured by RT-qPCR at</w:t>
      </w:r>
      <w:r>
        <w:rPr>
          <w:rFonts w:hint="eastAsia" w:ascii="Arial" w:hAnsi="Arial" w:eastAsia="等线" w:cs="Arial"/>
          <w:sz w:val="24"/>
          <w:szCs w:val="24"/>
        </w:rPr>
        <w:t xml:space="preserve"> </w:t>
      </w:r>
      <w:r>
        <w:rPr>
          <w:rFonts w:ascii="Arial" w:hAnsi="Arial" w:eastAsia="等线" w:cs="Arial"/>
          <w:sz w:val="24"/>
          <w:szCs w:val="24"/>
        </w:rPr>
        <w:t>6, 12, 24 and 48 hours post transfer. (B) HBV pgRNA and HBV</w:t>
      </w:r>
      <w:r>
        <w:rPr>
          <w:rFonts w:hint="eastAsia" w:ascii="Arial" w:hAnsi="Arial" w:eastAsia="等线" w:cs="Arial"/>
          <w:sz w:val="24"/>
          <w:szCs w:val="24"/>
        </w:rPr>
        <w:t xml:space="preserve"> </w:t>
      </w:r>
      <w:r>
        <w:rPr>
          <w:rFonts w:ascii="Arial" w:hAnsi="Arial" w:eastAsia="等线" w:cs="Arial"/>
          <w:sz w:val="24"/>
          <w:szCs w:val="24"/>
        </w:rPr>
        <w:t>total</w:t>
      </w:r>
      <w:r>
        <w:rPr>
          <w:rFonts w:hint="eastAsia" w:ascii="Arial" w:hAnsi="Arial" w:eastAsia="等线" w:cs="Arial"/>
          <w:sz w:val="24"/>
          <w:szCs w:val="24"/>
        </w:rPr>
        <w:t xml:space="preserve"> </w:t>
      </w:r>
      <w:r>
        <w:rPr>
          <w:rFonts w:ascii="Arial" w:hAnsi="Arial" w:eastAsia="等线" w:cs="Arial"/>
          <w:sz w:val="24"/>
          <w:szCs w:val="24"/>
        </w:rPr>
        <w:t xml:space="preserve">RNA expression were measured by RT-qPCR. (C) Expression of ISGs was measured by RT-qPCR. </w:t>
      </w:r>
      <w:r>
        <w:rPr>
          <w:rFonts w:ascii="Arial" w:hAnsi="Arial" w:cs="Arial"/>
          <w:sz w:val="24"/>
          <w:szCs w:val="24"/>
        </w:rPr>
        <w:t>Data from three biological replicates are shown as means ± s.d. Statistical analysis was performed by a</w:t>
      </w:r>
      <w:r>
        <w:rPr>
          <w:rFonts w:hint="eastAsia"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Student’s t test *: </w:t>
      </w:r>
      <w:r>
        <w:rPr>
          <w:rFonts w:ascii="Arial" w:hAnsi="Arial" w:cs="Arial"/>
          <w:i/>
          <w:sz w:val="24"/>
          <w:szCs w:val="24"/>
        </w:rPr>
        <w:t>p</w:t>
      </w:r>
      <w:r>
        <w:rPr>
          <w:rFonts w:hint="eastAsia" w:ascii="Arial" w:hAnsi="Arial" w:cs="Arial"/>
          <w:i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sz w:val="24"/>
          <w:szCs w:val="24"/>
        </w:rPr>
        <w:t>&lt;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0.05. </w:t>
      </w:r>
    </w:p>
    <w:p>
      <w:pPr>
        <w:spacing w:line="480" w:lineRule="auto"/>
        <w:rPr>
          <w:rFonts w:ascii="Arial" w:hAnsi="Arial" w:cs="Arial"/>
          <w:sz w:val="24"/>
          <w:szCs w:val="24"/>
        </w:rPr>
      </w:pPr>
    </w:p>
    <w:p>
      <w:pPr>
        <w:spacing w:line="480" w:lineRule="auto"/>
        <w:rPr>
          <w:rFonts w:ascii="Arial" w:hAnsi="Arial" w:eastAsia="等线" w:cs="Arial"/>
          <w:sz w:val="24"/>
          <w:szCs w:val="24"/>
        </w:rPr>
      </w:pPr>
      <w:r>
        <w:rPr>
          <w:rFonts w:ascii="Arial" w:hAnsi="Arial" w:eastAsia="等线" w:cs="Arial"/>
          <w:b/>
          <w:sz w:val="24"/>
          <w:szCs w:val="24"/>
        </w:rPr>
        <w:t>Fig. S6. Schematic workflow for hESCs differentiation to HLCs</w:t>
      </w:r>
      <w:r>
        <w:rPr>
          <w:rFonts w:ascii="Arial" w:hAnsi="Arial" w:eastAsia="等线" w:cs="Arial"/>
          <w:sz w:val="24"/>
          <w:szCs w:val="24"/>
        </w:rPr>
        <w:t xml:space="preserve">. The hESCs cells were differentiated to </w:t>
      </w:r>
      <w:r>
        <w:rPr>
          <w:rFonts w:hint="eastAsia" w:ascii="Arial" w:hAnsi="Arial" w:eastAsia="等线" w:cs="Arial"/>
          <w:sz w:val="24"/>
          <w:szCs w:val="24"/>
        </w:rPr>
        <w:t>e</w:t>
      </w:r>
      <w:r>
        <w:rPr>
          <w:rFonts w:ascii="Arial" w:hAnsi="Arial" w:eastAsia="等线" w:cs="Arial"/>
          <w:sz w:val="24"/>
          <w:szCs w:val="24"/>
        </w:rPr>
        <w:t xml:space="preserve">ndoderm with special media for </w:t>
      </w:r>
      <w:r>
        <w:rPr>
          <w:rFonts w:hint="eastAsia" w:ascii="Arial" w:hAnsi="Arial" w:eastAsia="等线" w:cs="Arial"/>
          <w:sz w:val="24"/>
          <w:szCs w:val="24"/>
        </w:rPr>
        <w:t>five</w:t>
      </w:r>
      <w:r>
        <w:rPr>
          <w:rFonts w:ascii="Arial" w:hAnsi="Arial" w:eastAsia="等线" w:cs="Arial"/>
          <w:sz w:val="24"/>
          <w:szCs w:val="24"/>
        </w:rPr>
        <w:t xml:space="preserve"> days, and</w:t>
      </w:r>
      <w:r>
        <w:rPr>
          <w:rFonts w:hint="eastAsia" w:ascii="Arial" w:hAnsi="Arial" w:eastAsia="等线" w:cs="Arial"/>
          <w:sz w:val="24"/>
          <w:szCs w:val="24"/>
        </w:rPr>
        <w:t xml:space="preserve"> </w:t>
      </w:r>
      <w:r>
        <w:rPr>
          <w:rFonts w:ascii="Arial" w:hAnsi="Arial" w:eastAsia="等线" w:cs="Arial"/>
          <w:sz w:val="24"/>
          <w:szCs w:val="24"/>
        </w:rPr>
        <w:t xml:space="preserve">then another </w:t>
      </w:r>
      <w:r>
        <w:rPr>
          <w:rFonts w:hint="eastAsia" w:ascii="Arial" w:hAnsi="Arial" w:eastAsia="等线" w:cs="Arial"/>
          <w:sz w:val="24"/>
          <w:szCs w:val="24"/>
        </w:rPr>
        <w:t>five</w:t>
      </w:r>
      <w:r>
        <w:rPr>
          <w:rFonts w:ascii="Arial" w:hAnsi="Arial" w:eastAsia="等线" w:cs="Arial"/>
          <w:sz w:val="24"/>
          <w:szCs w:val="24"/>
        </w:rPr>
        <w:t xml:space="preserve"> days were used </w:t>
      </w:r>
      <w:r>
        <w:rPr>
          <w:rFonts w:hint="eastAsia" w:ascii="Arial" w:hAnsi="Arial" w:eastAsia="等线" w:cs="Arial"/>
          <w:sz w:val="24"/>
          <w:szCs w:val="24"/>
        </w:rPr>
        <w:t>for differentiation to</w:t>
      </w:r>
      <w:r>
        <w:rPr>
          <w:rFonts w:ascii="Arial" w:hAnsi="Arial" w:eastAsia="等线" w:cs="Arial"/>
          <w:sz w:val="24"/>
          <w:szCs w:val="24"/>
        </w:rPr>
        <w:t xml:space="preserve"> </w:t>
      </w:r>
      <w:r>
        <w:rPr>
          <w:rFonts w:hint="eastAsia" w:ascii="Arial" w:hAnsi="Arial" w:eastAsia="等线" w:cs="Arial"/>
          <w:sz w:val="24"/>
          <w:szCs w:val="24"/>
        </w:rPr>
        <w:t>h</w:t>
      </w:r>
      <w:r>
        <w:rPr>
          <w:rFonts w:ascii="Arial" w:hAnsi="Arial" w:eastAsia="等线" w:cs="Arial"/>
          <w:sz w:val="24"/>
          <w:szCs w:val="24"/>
        </w:rPr>
        <w:t xml:space="preserve">epatic progenitor. After that, hepatic related factors were used </w:t>
      </w:r>
      <w:r>
        <w:rPr>
          <w:rFonts w:hint="eastAsia" w:ascii="Arial" w:hAnsi="Arial" w:eastAsia="等线" w:cs="Arial"/>
          <w:sz w:val="24"/>
          <w:szCs w:val="24"/>
        </w:rPr>
        <w:t>for</w:t>
      </w:r>
      <w:r>
        <w:rPr>
          <w:rFonts w:ascii="Arial" w:hAnsi="Arial" w:eastAsia="等线" w:cs="Arial"/>
          <w:sz w:val="24"/>
          <w:szCs w:val="24"/>
        </w:rPr>
        <w:t xml:space="preserve"> differentiat</w:t>
      </w:r>
      <w:r>
        <w:rPr>
          <w:rFonts w:hint="eastAsia" w:ascii="Arial" w:hAnsi="Arial" w:eastAsia="等线" w:cs="Arial"/>
          <w:sz w:val="24"/>
          <w:szCs w:val="24"/>
        </w:rPr>
        <w:t>ing</w:t>
      </w:r>
      <w:r>
        <w:rPr>
          <w:rFonts w:ascii="Arial" w:hAnsi="Arial" w:eastAsia="等线" w:cs="Arial"/>
          <w:sz w:val="24"/>
          <w:szCs w:val="24"/>
        </w:rPr>
        <w:t xml:space="preserve"> to immature hepatocyte for </w:t>
      </w:r>
      <w:r>
        <w:rPr>
          <w:rFonts w:hint="eastAsia" w:ascii="Arial" w:hAnsi="Arial" w:eastAsia="等线" w:cs="Arial"/>
          <w:sz w:val="24"/>
          <w:szCs w:val="24"/>
        </w:rPr>
        <w:t>five</w:t>
      </w:r>
      <w:r>
        <w:rPr>
          <w:rFonts w:ascii="Arial" w:hAnsi="Arial" w:eastAsia="等线" w:cs="Arial"/>
          <w:sz w:val="24"/>
          <w:szCs w:val="24"/>
        </w:rPr>
        <w:t xml:space="preserve"> days then another </w:t>
      </w:r>
      <w:r>
        <w:rPr>
          <w:rFonts w:hint="eastAsia" w:ascii="Arial" w:hAnsi="Arial" w:eastAsia="等线" w:cs="Arial"/>
          <w:sz w:val="24"/>
          <w:szCs w:val="24"/>
        </w:rPr>
        <w:t>five</w:t>
      </w:r>
      <w:r>
        <w:rPr>
          <w:rFonts w:ascii="Arial" w:hAnsi="Arial" w:eastAsia="等线" w:cs="Arial"/>
          <w:sz w:val="24"/>
          <w:szCs w:val="24"/>
        </w:rPr>
        <w:t xml:space="preserve"> days to HLCs. The cells at different stages of differentiation were stained with indicated antibodies and an</w:t>
      </w:r>
      <w:r>
        <w:rPr>
          <w:rFonts w:hint="eastAsia" w:ascii="Arial" w:hAnsi="Arial" w:eastAsia="等线" w:cs="Arial"/>
          <w:sz w:val="24"/>
          <w:szCs w:val="24"/>
        </w:rPr>
        <w:t>a</w:t>
      </w:r>
      <w:r>
        <w:rPr>
          <w:rFonts w:ascii="Arial" w:hAnsi="Arial" w:eastAsia="等线" w:cs="Arial"/>
          <w:sz w:val="24"/>
          <w:szCs w:val="24"/>
        </w:rPr>
        <w:t xml:space="preserve">lyzed by immunofluorescence assay. </w:t>
      </w:r>
      <w:r>
        <w:rPr>
          <w:rFonts w:ascii="Arial" w:hAnsi="Arial" w:cs="Arial"/>
          <w:sz w:val="24"/>
          <w:szCs w:val="24"/>
        </w:rPr>
        <w:t>scale bars: 100</w:t>
      </w:r>
      <w:r>
        <w:rPr>
          <w:rFonts w:hint="eastAsia"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6D"/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eastAsia="等线" w:cs="Arial"/>
          <w:sz w:val="24"/>
          <w:szCs w:val="24"/>
        </w:rPr>
        <w:t xml:space="preserve">. </w:t>
      </w:r>
    </w:p>
    <w:p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240" w:line="480" w:lineRule="auto"/>
        <w:rPr>
          <w:rFonts w:ascii="Arial" w:hAnsi="Arial" w:eastAsia="黑体" w:cs="Arial"/>
          <w:sz w:val="24"/>
          <w:szCs w:val="24"/>
          <w:highlight w:val="none"/>
          <w:u w:val="none"/>
        </w:rPr>
      </w:pPr>
      <w:r>
        <w:rPr>
          <w:rFonts w:ascii="Arial" w:hAnsi="Arial" w:eastAsia="黑体" w:cs="Arial"/>
          <w:b/>
          <w:sz w:val="24"/>
          <w:szCs w:val="24"/>
          <w:highlight w:val="none"/>
          <w:u w:val="none"/>
        </w:rPr>
        <w:t>Fig.</w:t>
      </w:r>
      <w:r>
        <w:rPr>
          <w:rFonts w:hint="eastAsia" w:ascii="Arial" w:hAnsi="Arial" w:eastAsia="黑体" w:cs="Arial"/>
          <w:b/>
          <w:sz w:val="24"/>
          <w:szCs w:val="24"/>
          <w:highlight w:val="none"/>
          <w:u w:val="none"/>
        </w:rPr>
        <w:t xml:space="preserve"> </w:t>
      </w:r>
      <w:r>
        <w:rPr>
          <w:rFonts w:ascii="Arial" w:hAnsi="Arial" w:eastAsia="黑体" w:cs="Arial"/>
          <w:b/>
          <w:sz w:val="24"/>
          <w:szCs w:val="24"/>
          <w:highlight w:val="none"/>
          <w:u w:val="none"/>
        </w:rPr>
        <w:t>S7. Differentiated hepatocytes derived from human embryonic stems cells (hESCs) are permissive for HBV infection.</w:t>
      </w:r>
      <w:r>
        <w:rPr>
          <w:rFonts w:ascii="Arial" w:hAnsi="Arial" w:eastAsia="黑体" w:cs="Arial"/>
          <w:sz w:val="24"/>
          <w:szCs w:val="24"/>
          <w:highlight w:val="none"/>
          <w:u w:val="none"/>
        </w:rPr>
        <w:t xml:space="preserve"> The induced hepatocytes were infected with 500 geq/cell HBV viruses for seven days, then </w:t>
      </w:r>
      <w:r>
        <w:rPr>
          <w:rFonts w:hint="eastAsia" w:ascii="Arial" w:hAnsi="Arial" w:eastAsia="黑体" w:cs="Arial"/>
          <w:sz w:val="24"/>
          <w:szCs w:val="24"/>
          <w:highlight w:val="none"/>
          <w:u w:val="none"/>
        </w:rPr>
        <w:t>i</w:t>
      </w:r>
      <w:r>
        <w:rPr>
          <w:rFonts w:ascii="Arial" w:hAnsi="Arial" w:eastAsia="黑体" w:cs="Arial"/>
          <w:sz w:val="24"/>
          <w:szCs w:val="24"/>
          <w:highlight w:val="none"/>
          <w:u w:val="none"/>
        </w:rPr>
        <w:t xml:space="preserve">mmunofluorescent </w:t>
      </w:r>
      <w:r>
        <w:rPr>
          <w:rFonts w:hint="eastAsia" w:ascii="Arial" w:hAnsi="Arial" w:eastAsia="黑体" w:cs="Arial"/>
          <w:sz w:val="24"/>
          <w:szCs w:val="24"/>
          <w:highlight w:val="none"/>
          <w:u w:val="none"/>
        </w:rPr>
        <w:t>m</w:t>
      </w:r>
      <w:r>
        <w:rPr>
          <w:rFonts w:ascii="Arial" w:hAnsi="Arial" w:eastAsia="黑体" w:cs="Arial"/>
          <w:sz w:val="24"/>
          <w:szCs w:val="24"/>
          <w:highlight w:val="none"/>
          <w:u w:val="none"/>
        </w:rPr>
        <w:t xml:space="preserve">icroscopy </w:t>
      </w:r>
      <w:r>
        <w:rPr>
          <w:rFonts w:hint="eastAsia" w:ascii="Arial" w:hAnsi="Arial" w:eastAsia="黑体" w:cs="Arial"/>
          <w:sz w:val="24"/>
          <w:szCs w:val="24"/>
          <w:highlight w:val="none"/>
          <w:u w:val="none"/>
        </w:rPr>
        <w:t xml:space="preserve">observation </w:t>
      </w:r>
      <w:r>
        <w:rPr>
          <w:rFonts w:ascii="Arial" w:hAnsi="Arial" w:eastAsia="黑体" w:cs="Arial"/>
          <w:sz w:val="24"/>
          <w:szCs w:val="24"/>
          <w:highlight w:val="none"/>
          <w:u w:val="none"/>
        </w:rPr>
        <w:t>for detecting (A)</w:t>
      </w:r>
      <w:r>
        <w:rPr>
          <w:rFonts w:hint="eastAsia" w:ascii="Arial" w:hAnsi="Arial" w:eastAsia="黑体" w:cs="Arial"/>
          <w:sz w:val="24"/>
          <w:szCs w:val="24"/>
          <w:highlight w:val="none"/>
          <w:u w:val="none"/>
        </w:rPr>
        <w:t xml:space="preserve"> </w:t>
      </w:r>
      <w:r>
        <w:rPr>
          <w:rFonts w:ascii="Arial" w:hAnsi="Arial" w:eastAsia="黑体" w:cs="Arial"/>
          <w:sz w:val="24"/>
          <w:szCs w:val="24"/>
          <w:highlight w:val="none"/>
          <w:u w:val="none"/>
        </w:rPr>
        <w:t>NTCP  and (B)</w:t>
      </w:r>
      <w:r>
        <w:rPr>
          <w:rFonts w:hint="eastAsia" w:ascii="Arial" w:hAnsi="Arial" w:eastAsia="黑体" w:cs="Arial"/>
          <w:sz w:val="24"/>
          <w:szCs w:val="24"/>
          <w:highlight w:val="none"/>
          <w:u w:val="none"/>
        </w:rPr>
        <w:t xml:space="preserve"> </w:t>
      </w:r>
      <w:r>
        <w:rPr>
          <w:rFonts w:ascii="Arial" w:hAnsi="Arial" w:eastAsia="黑体" w:cs="Arial"/>
          <w:sz w:val="24"/>
          <w:szCs w:val="24"/>
          <w:highlight w:val="none"/>
          <w:u w:val="none"/>
        </w:rPr>
        <w:t>HBcAg, scale bars: 100</w:t>
      </w:r>
      <w:r>
        <w:rPr>
          <w:rFonts w:hint="eastAsia" w:ascii="Arial" w:hAnsi="Arial" w:eastAsia="黑体" w:cs="Arial"/>
          <w:sz w:val="24"/>
          <w:szCs w:val="24"/>
          <w:highlight w:val="none"/>
          <w:u w:val="none"/>
        </w:rPr>
        <w:t xml:space="preserve"> </w:t>
      </w:r>
      <w:r>
        <w:rPr>
          <w:rFonts w:ascii="Arial" w:hAnsi="Arial" w:eastAsia="黑体" w:cs="Arial"/>
          <w:sz w:val="24"/>
          <w:szCs w:val="24"/>
          <w:highlight w:val="none"/>
          <w:u w:val="none"/>
        </w:rPr>
        <w:sym w:font="Symbol" w:char="F06D"/>
      </w:r>
      <w:r>
        <w:rPr>
          <w:rFonts w:ascii="Arial" w:hAnsi="Arial" w:eastAsia="黑体" w:cs="Arial"/>
          <w:sz w:val="24"/>
          <w:szCs w:val="24"/>
          <w:highlight w:val="none"/>
          <w:u w:val="none"/>
        </w:rPr>
        <w:t>m and (C) RT-</w:t>
      </w:r>
      <w:r>
        <w:rPr>
          <w:rFonts w:hint="eastAsia" w:ascii="Arial" w:hAnsi="Arial" w:eastAsia="黑体" w:cs="Arial"/>
          <w:sz w:val="24"/>
          <w:szCs w:val="24"/>
          <w:highlight w:val="none"/>
          <w:u w:val="none"/>
        </w:rPr>
        <w:t>q</w:t>
      </w:r>
      <w:r>
        <w:rPr>
          <w:rFonts w:ascii="Arial" w:hAnsi="Arial" w:eastAsia="黑体" w:cs="Arial"/>
          <w:sz w:val="24"/>
          <w:szCs w:val="24"/>
          <w:highlight w:val="none"/>
          <w:u w:val="none"/>
        </w:rPr>
        <w:t>PCR for detecting HBV pgRNA seven days post</w:t>
      </w:r>
      <w:r>
        <w:rPr>
          <w:rFonts w:hint="eastAsia" w:ascii="Arial" w:hAnsi="Arial" w:eastAsia="黑体" w:cs="Arial"/>
          <w:sz w:val="24"/>
          <w:szCs w:val="24"/>
          <w:highlight w:val="none"/>
          <w:u w:val="none"/>
        </w:rPr>
        <w:t>-</w:t>
      </w:r>
      <w:r>
        <w:rPr>
          <w:rFonts w:ascii="Arial" w:hAnsi="Arial" w:eastAsia="黑体" w:cs="Arial"/>
          <w:sz w:val="24"/>
          <w:szCs w:val="24"/>
          <w:highlight w:val="none"/>
          <w:u w:val="none"/>
        </w:rPr>
        <w:t>infection. CLIA detection of (D) HBsAg and (E) HBeAg. (F) HBV DNA levels of HBV infection in differentiated hepatocytes. Data from three biological replicates are shown as means ± s.d. Statistical analysis was performed by a</w:t>
      </w:r>
      <w:r>
        <w:rPr>
          <w:rFonts w:hint="eastAsia" w:ascii="Arial" w:hAnsi="Arial" w:eastAsia="黑体" w:cs="Arial"/>
          <w:sz w:val="24"/>
          <w:szCs w:val="24"/>
          <w:highlight w:val="none"/>
          <w:u w:val="none"/>
        </w:rPr>
        <w:t xml:space="preserve"> </w:t>
      </w:r>
      <w:r>
        <w:rPr>
          <w:rFonts w:ascii="Arial" w:hAnsi="Arial" w:eastAsia="黑体" w:cs="Arial"/>
          <w:sz w:val="24"/>
          <w:szCs w:val="24"/>
          <w:highlight w:val="none"/>
          <w:u w:val="none"/>
        </w:rPr>
        <w:t xml:space="preserve">Student’s t test *: </w:t>
      </w:r>
      <w:r>
        <w:rPr>
          <w:rFonts w:ascii="Arial" w:hAnsi="Arial" w:eastAsia="黑体" w:cs="Arial"/>
          <w:i/>
          <w:sz w:val="24"/>
          <w:szCs w:val="24"/>
          <w:highlight w:val="none"/>
          <w:u w:val="none"/>
        </w:rPr>
        <w:t>p</w:t>
      </w:r>
      <w:r>
        <w:rPr>
          <w:rFonts w:hint="eastAsia" w:ascii="Arial" w:hAnsi="Arial" w:eastAsia="黑体" w:cs="Arial"/>
          <w:i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ascii="Arial" w:hAnsi="Arial" w:eastAsia="黑体" w:cs="Arial"/>
          <w:sz w:val="24"/>
          <w:szCs w:val="24"/>
          <w:highlight w:val="none"/>
          <w:u w:val="none"/>
        </w:rPr>
        <w:t>&lt;</w:t>
      </w:r>
      <w:r>
        <w:rPr>
          <w:rFonts w:hint="eastAsia" w:ascii="Arial" w:hAnsi="Arial" w:eastAsia="黑体" w:cs="Arial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ascii="Arial" w:hAnsi="Arial" w:eastAsia="黑体" w:cs="Arial"/>
          <w:sz w:val="24"/>
          <w:szCs w:val="24"/>
          <w:highlight w:val="none"/>
          <w:u w:val="none"/>
        </w:rPr>
        <w:t xml:space="preserve">0.05. **, </w:t>
      </w:r>
      <w:r>
        <w:rPr>
          <w:rFonts w:ascii="Arial" w:hAnsi="Arial" w:eastAsia="黑体" w:cs="Arial"/>
          <w:i/>
          <w:sz w:val="24"/>
          <w:szCs w:val="24"/>
          <w:highlight w:val="none"/>
          <w:u w:val="none"/>
        </w:rPr>
        <w:t>p</w:t>
      </w:r>
      <w:r>
        <w:rPr>
          <w:rFonts w:hint="eastAsia" w:ascii="Arial" w:hAnsi="Arial" w:eastAsia="黑体" w:cs="Arial"/>
          <w:i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ascii="Arial" w:hAnsi="Arial" w:eastAsia="黑体" w:cs="Arial"/>
          <w:sz w:val="24"/>
          <w:szCs w:val="24"/>
          <w:highlight w:val="none"/>
          <w:u w:val="none"/>
        </w:rPr>
        <w:t>&lt;</w:t>
      </w:r>
      <w:r>
        <w:rPr>
          <w:rFonts w:hint="eastAsia" w:ascii="Arial" w:hAnsi="Arial" w:eastAsia="黑体" w:cs="Arial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ascii="Arial" w:hAnsi="Arial" w:eastAsia="黑体" w:cs="Arial"/>
          <w:sz w:val="24"/>
          <w:szCs w:val="24"/>
          <w:highlight w:val="none"/>
          <w:u w:val="none"/>
        </w:rPr>
        <w:t>0.01.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Supplementary table 1. Primers used for RT-qPCR</w:t>
      </w:r>
    </w:p>
    <w:p>
      <w:pPr>
        <w:rPr>
          <w:rFonts w:ascii="Arial" w:hAnsi="Arial" w:cs="Arial"/>
        </w:rPr>
      </w:pPr>
    </w:p>
    <w:tbl>
      <w:tblPr>
        <w:tblStyle w:val="8"/>
        <w:tblW w:w="830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3529"/>
        <w:gridCol w:w="35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Gene</w:t>
            </w:r>
          </w:p>
        </w:tc>
        <w:tc>
          <w:tcPr>
            <w:tcW w:w="352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Forward primer (5’---3’)</w:t>
            </w:r>
          </w:p>
        </w:tc>
        <w:tc>
          <w:tcPr>
            <w:tcW w:w="356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Reverse primer (5’---3’)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pgRNA</w:t>
            </w:r>
          </w:p>
        </w:tc>
        <w:tc>
          <w:tcPr>
            <w:tcW w:w="3529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GAGTGTGGATTCGCACTCC</w:t>
            </w:r>
          </w:p>
        </w:tc>
        <w:tc>
          <w:tcPr>
            <w:tcW w:w="3565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GAGGCGAGGGAGTTCTTCT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tcBorders>
              <w:top w:val="nil"/>
            </w:tcBorders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HBV t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  <w:t>otal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  <w:t>RNA</w:t>
            </w:r>
          </w:p>
        </w:tc>
        <w:tc>
          <w:tcPr>
            <w:tcW w:w="3529" w:type="dxa"/>
            <w:tcBorders>
              <w:top w:val="nil"/>
            </w:tcBorders>
          </w:tcPr>
          <w:p>
            <w:pPr>
              <w:widowControl/>
              <w:rPr>
                <w:rFonts w:ascii="Arial" w:hAnsi="Arial" w:eastAsia="宋体" w:cs="Arial"/>
                <w:color w:val="000000"/>
                <w:kern w:val="0"/>
                <w:sz w:val="22"/>
                <w:szCs w:val="24"/>
                <w:lang w:eastAsia="en-US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  <w:lang w:eastAsia="en-US"/>
              </w:rPr>
              <w:t>AAGCCACCCAAGGCACAG</w:t>
            </w:r>
          </w:p>
        </w:tc>
        <w:tc>
          <w:tcPr>
            <w:tcW w:w="3565" w:type="dxa"/>
            <w:tcBorders>
              <w:top w:val="nil"/>
            </w:tcBorders>
          </w:tcPr>
          <w:p>
            <w:pPr>
              <w:widowControl/>
              <w:rPr>
                <w:rFonts w:ascii="Arial" w:hAnsi="Arial" w:eastAsia="宋体" w:cs="Arial"/>
                <w:color w:val="000000"/>
                <w:kern w:val="0"/>
                <w:sz w:val="22"/>
                <w:szCs w:val="24"/>
                <w:lang w:eastAsia="en-US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2"/>
                <w:szCs w:val="22"/>
                <w:lang w:eastAsia="en-US"/>
              </w:rPr>
              <w:t>GCACCAGCACCATGCAAC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RPS11</w:t>
            </w:r>
          </w:p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IL</w:t>
            </w: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28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  <w:t>β</w:t>
            </w:r>
          </w:p>
        </w:tc>
        <w:tc>
          <w:tcPr>
            <w:tcW w:w="3529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GCCGAGACTATCTGCACTAC</w:t>
            </w:r>
          </w:p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TAAGAGGGCCAAAGATGCCTT</w:t>
            </w:r>
          </w:p>
        </w:tc>
        <w:tc>
          <w:tcPr>
            <w:tcW w:w="3565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ATGTCCAGCCTCAGAACTTC</w:t>
            </w:r>
          </w:p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CTGGTCCAAGACATCCCCC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IL29</w:t>
            </w:r>
          </w:p>
        </w:tc>
        <w:tc>
          <w:tcPr>
            <w:tcW w:w="3529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GTGACTTTGGTGCTAGGCTTG</w:t>
            </w:r>
          </w:p>
        </w:tc>
        <w:tc>
          <w:tcPr>
            <w:tcW w:w="3565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GCCTCAGGTCCCAATTCCC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TNF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sym w:font="Symbol" w:char="F061"/>
            </w:r>
          </w:p>
        </w:tc>
        <w:tc>
          <w:tcPr>
            <w:tcW w:w="3529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ATGAGCACTGAAAGCATGATCC</w:t>
            </w:r>
          </w:p>
        </w:tc>
        <w:tc>
          <w:tcPr>
            <w:tcW w:w="3565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GAGGGCTGATTAGAGAGAGGTC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RIG-I</w:t>
            </w:r>
          </w:p>
        </w:tc>
        <w:tc>
          <w:tcPr>
            <w:tcW w:w="3529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 xml:space="preserve">GATGCCCTAGACCATGCAGG </w:t>
            </w:r>
          </w:p>
        </w:tc>
        <w:tc>
          <w:tcPr>
            <w:tcW w:w="3565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 xml:space="preserve">GCCATCATCCCCTTAGTAGAGC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IL32</w:t>
            </w:r>
          </w:p>
        </w:tc>
        <w:tc>
          <w:tcPr>
            <w:tcW w:w="3529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TGAGGAGCAGCACCCAGAGC</w:t>
            </w:r>
          </w:p>
        </w:tc>
        <w:tc>
          <w:tcPr>
            <w:tcW w:w="3565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CCGTAGGACTGGAAAGAGGA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Viperin (RSAD)</w:t>
            </w:r>
          </w:p>
        </w:tc>
        <w:tc>
          <w:tcPr>
            <w:tcW w:w="3529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 xml:space="preserve">TTCACTCGCCAGTGCAACTAC </w:t>
            </w:r>
          </w:p>
        </w:tc>
        <w:tc>
          <w:tcPr>
            <w:tcW w:w="3565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 xml:space="preserve">CGGTCTTGAAGAAATGGTCT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IL1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  <w:t>β</w:t>
            </w:r>
          </w:p>
        </w:tc>
        <w:tc>
          <w:tcPr>
            <w:tcW w:w="3529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TGTAATGAAAGACGGCACACC</w:t>
            </w:r>
          </w:p>
        </w:tc>
        <w:tc>
          <w:tcPr>
            <w:tcW w:w="3565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TCTTCTTTGGGTATTGCTTGG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Arial" w:hAnsi="Arial" w:eastAsia="宋体" w:cs="Arial"/>
                <w:kern w:val="0"/>
                <w:sz w:val="20"/>
                <w:szCs w:val="20"/>
                <w:lang w:eastAsia="zh-CN"/>
              </w:rPr>
              <w:t>I</w:t>
            </w: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zh-CN"/>
              </w:rPr>
              <w:t>SG15</w:t>
            </w:r>
          </w:p>
        </w:tc>
        <w:tc>
          <w:tcPr>
            <w:tcW w:w="3529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GCGCAGATCACCCAGAAGAT</w:t>
            </w:r>
          </w:p>
        </w:tc>
        <w:tc>
          <w:tcPr>
            <w:tcW w:w="3565" w:type="dxa"/>
          </w:tcPr>
          <w:p>
            <w:pP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  <w:lang w:eastAsia="en-US"/>
              </w:rPr>
              <w:t>GTTCGTCGCATTTGTCCACC</w:t>
            </w:r>
          </w:p>
        </w:tc>
      </w:tr>
    </w:tbl>
    <w:p>
      <w:pPr>
        <w:rPr>
          <w:rFonts w:ascii="Arial" w:hAnsi="Arial" w:cs="Arial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41"/>
    <w:rsid w:val="000005DC"/>
    <w:rsid w:val="00004E79"/>
    <w:rsid w:val="0001407A"/>
    <w:rsid w:val="0009204B"/>
    <w:rsid w:val="00113DFD"/>
    <w:rsid w:val="001601D7"/>
    <w:rsid w:val="00186110"/>
    <w:rsid w:val="001A4F99"/>
    <w:rsid w:val="00201CFF"/>
    <w:rsid w:val="00351FC7"/>
    <w:rsid w:val="0035726F"/>
    <w:rsid w:val="0040043A"/>
    <w:rsid w:val="004016EC"/>
    <w:rsid w:val="004377EE"/>
    <w:rsid w:val="0049203F"/>
    <w:rsid w:val="00496F10"/>
    <w:rsid w:val="004E6746"/>
    <w:rsid w:val="00576E73"/>
    <w:rsid w:val="00593C29"/>
    <w:rsid w:val="005963CE"/>
    <w:rsid w:val="00747B85"/>
    <w:rsid w:val="00753B83"/>
    <w:rsid w:val="00764906"/>
    <w:rsid w:val="00831BF3"/>
    <w:rsid w:val="009C0970"/>
    <w:rsid w:val="00A12913"/>
    <w:rsid w:val="00A137DF"/>
    <w:rsid w:val="00A7207F"/>
    <w:rsid w:val="00AA0CC0"/>
    <w:rsid w:val="00BA6E37"/>
    <w:rsid w:val="00C51ABB"/>
    <w:rsid w:val="00CD0699"/>
    <w:rsid w:val="00CE4467"/>
    <w:rsid w:val="00D11ADA"/>
    <w:rsid w:val="00D74BA1"/>
    <w:rsid w:val="00D765B0"/>
    <w:rsid w:val="00D81830"/>
    <w:rsid w:val="00D8669A"/>
    <w:rsid w:val="00DF3A66"/>
    <w:rsid w:val="00DF7B41"/>
    <w:rsid w:val="00E11C31"/>
    <w:rsid w:val="00E7051C"/>
    <w:rsid w:val="00EB2623"/>
    <w:rsid w:val="00ED58A0"/>
    <w:rsid w:val="00FE012C"/>
    <w:rsid w:val="00FF3FBB"/>
    <w:rsid w:val="00FF7642"/>
    <w:rsid w:val="7095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table" w:styleId="8">
    <w:name w:val="Table Grid"/>
    <w:basedOn w:val="7"/>
    <w:uiPriority w:val="39"/>
    <w:rPr>
      <w:rFonts w:eastAsia="宋体"/>
      <w:kern w:val="0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Header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Footer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Comment Text Char"/>
    <w:basedOn w:val="9"/>
    <w:link w:val="2"/>
    <w:semiHidden/>
    <w:qFormat/>
    <w:uiPriority w:val="99"/>
  </w:style>
  <w:style w:type="character" w:customStyle="1" w:styleId="14">
    <w:name w:val="Comment Subject Char"/>
    <w:basedOn w:val="13"/>
    <w:link w:val="6"/>
    <w:semiHidden/>
    <w:uiPriority w:val="99"/>
    <w:rPr>
      <w:b/>
      <w:bCs/>
    </w:rPr>
  </w:style>
  <w:style w:type="character" w:customStyle="1" w:styleId="15">
    <w:name w:val="Balloon Text Char"/>
    <w:basedOn w:val="9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723</Words>
  <Characters>4124</Characters>
  <Lines>34</Lines>
  <Paragraphs>9</Paragraphs>
  <TotalTime>125</TotalTime>
  <ScaleCrop>false</ScaleCrop>
  <LinksUpToDate>false</LinksUpToDate>
  <CharactersWithSpaces>4838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2018-07-10T03:43:00Z</dcterms:created>
  <dc:creator>kuanhui xiang</dc:creator>
  <cp:lastModifiedBy>牧童</cp:lastModifiedBy>
  <dcterms:modified xsi:type="dcterms:W3CDTF">2019-06-04T07:11:43Z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