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CA888" w14:textId="77777777" w:rsidR="005D69B4" w:rsidRPr="008D71CC" w:rsidRDefault="005D69B4" w:rsidP="005D69B4">
      <w:pPr>
        <w:widowControl/>
        <w:rPr>
          <w:b/>
          <w:u w:val="single"/>
        </w:rPr>
      </w:pPr>
      <w:bookmarkStart w:id="0" w:name="_GoBack"/>
      <w:bookmarkEnd w:id="0"/>
      <w:r w:rsidRPr="008D71CC">
        <w:rPr>
          <w:b/>
          <w:u w:val="single"/>
        </w:rPr>
        <w:t>Appendix</w:t>
      </w:r>
    </w:p>
    <w:p w14:paraId="7CBA1C34" w14:textId="77777777" w:rsidR="005D69B4" w:rsidRDefault="005D69B4" w:rsidP="005D69B4">
      <w:pPr>
        <w:widowControl/>
      </w:pPr>
    </w:p>
    <w:p w14:paraId="0AD8FCF1" w14:textId="77777777" w:rsidR="001C5246" w:rsidRDefault="001C5246" w:rsidP="005D69B4">
      <w:pPr>
        <w:widowControl/>
      </w:pPr>
      <w:r>
        <w:rPr>
          <w:noProof/>
        </w:rPr>
        <w:drawing>
          <wp:inline distT="0" distB="0" distL="0" distR="0" wp14:anchorId="68FFACA1" wp14:editId="338E8DEE">
            <wp:extent cx="5274310" cy="22288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5B61" w14:textId="77777777" w:rsidR="001C5246" w:rsidRDefault="001C5246" w:rsidP="005D69B4">
      <w:pPr>
        <w:widowControl/>
      </w:pPr>
    </w:p>
    <w:p w14:paraId="74FA6A0F" w14:textId="77777777" w:rsidR="00AE5786" w:rsidRPr="00AE5786" w:rsidRDefault="00AE5786" w:rsidP="00AE5786">
      <w:pPr>
        <w:widowControl/>
        <w:rPr>
          <w:rFonts w:eastAsia="SimSun"/>
        </w:rPr>
      </w:pPr>
      <w:r w:rsidRPr="00AE5786">
        <w:rPr>
          <w:rFonts w:eastAsia="SimSun" w:hint="eastAsia"/>
          <w:b/>
        </w:rPr>
        <w:t>Appendix Figure 1.</w:t>
      </w:r>
      <w:r w:rsidRPr="00AE5786">
        <w:rPr>
          <w:rFonts w:eastAsia="SimSun" w:hint="eastAsia"/>
        </w:rPr>
        <w:t xml:space="preserve"> Field installation of TDP and the modified TDP for measuring sap flow of bamboo culms (A) and rhizomes (B)</w:t>
      </w:r>
      <w:r w:rsidRPr="00AE5786">
        <w:rPr>
          <w:rFonts w:eastAsia="SimSun"/>
        </w:rPr>
        <w:t>,</w:t>
      </w:r>
      <w:r w:rsidRPr="00AE5786">
        <w:rPr>
          <w:rFonts w:eastAsia="SimSun" w:hint="eastAsia"/>
        </w:rPr>
        <w:t xml:space="preserve"> respectively.</w:t>
      </w:r>
    </w:p>
    <w:p w14:paraId="45C3A8C6" w14:textId="77777777" w:rsidR="001C5246" w:rsidRDefault="001C5246">
      <w:pPr>
        <w:widowControl/>
        <w:autoSpaceDE/>
        <w:autoSpaceDN/>
        <w:adjustRightInd/>
        <w:rPr>
          <w:b/>
        </w:rPr>
      </w:pPr>
      <w:r>
        <w:rPr>
          <w:b/>
        </w:rPr>
        <w:br w:type="page"/>
      </w:r>
    </w:p>
    <w:p w14:paraId="7E2EA059" w14:textId="77777777" w:rsidR="001C5246" w:rsidRPr="00DC0611" w:rsidRDefault="001C5246" w:rsidP="005D69B4">
      <w:pPr>
        <w:widowControl/>
      </w:pPr>
    </w:p>
    <w:p w14:paraId="5DCA702A" w14:textId="77777777" w:rsidR="005D69B4" w:rsidRPr="00DC0611" w:rsidRDefault="005D69B4" w:rsidP="005D69B4">
      <w:pPr>
        <w:keepNext/>
        <w:jc w:val="center"/>
      </w:pPr>
      <w:r w:rsidRPr="00DC0611">
        <w:rPr>
          <w:noProof/>
        </w:rPr>
        <w:drawing>
          <wp:inline distT="0" distB="0" distL="0" distR="0" wp14:anchorId="7EE7BD72" wp14:editId="1B5BC463">
            <wp:extent cx="4989195" cy="2304415"/>
            <wp:effectExtent l="0" t="0" r="1905" b="635"/>
            <wp:docPr id="6" name="Picture 6" descr="fig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igure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E296" w14:textId="77777777" w:rsidR="005D69B4" w:rsidRPr="00DC0611" w:rsidRDefault="005D69B4" w:rsidP="005D69B4">
      <w:pPr>
        <w:pStyle w:val="Caption"/>
        <w:rPr>
          <w:rFonts w:ascii="Times New Roman" w:hAnsi="Times New Roman"/>
          <w:sz w:val="24"/>
          <w:szCs w:val="24"/>
        </w:rPr>
      </w:pPr>
      <w:r w:rsidRPr="00CA2E9E">
        <w:rPr>
          <w:rFonts w:ascii="Times New Roman" w:hAnsi="Times New Roman"/>
          <w:b/>
          <w:sz w:val="24"/>
          <w:szCs w:val="24"/>
        </w:rPr>
        <w:t xml:space="preserve">Appendix Figure </w:t>
      </w:r>
      <w:r w:rsidR="001C5246">
        <w:rPr>
          <w:rFonts w:ascii="Times New Roman" w:hAnsi="Times New Roman"/>
          <w:b/>
          <w:sz w:val="24"/>
          <w:szCs w:val="24"/>
        </w:rPr>
        <w:t>2</w:t>
      </w:r>
      <w:r w:rsidRPr="00CA2E9E">
        <w:rPr>
          <w:rFonts w:ascii="Times New Roman" w:hAnsi="Times New Roman"/>
          <w:b/>
          <w:sz w:val="24"/>
          <w:szCs w:val="24"/>
        </w:rPr>
        <w:t>.</w:t>
      </w:r>
      <w:r w:rsidRPr="00DC0611">
        <w:rPr>
          <w:rFonts w:ascii="Times New Roman" w:hAnsi="Times New Roman"/>
          <w:sz w:val="24"/>
          <w:szCs w:val="24"/>
        </w:rPr>
        <w:t xml:space="preserve"> Typical diurnal patterns of temperature differences of upstream probes (</w:t>
      </w:r>
      <w:r w:rsidRPr="00DC0611">
        <w:rPr>
          <w:rFonts w:ascii="Times New Roman" w:eastAsia="DFKai-SB" w:hAnsi="Times New Roman"/>
          <w:sz w:val="24"/>
          <w:szCs w:val="24"/>
        </w:rPr>
        <w:t>Δ</w:t>
      </w:r>
      <w:r w:rsidRPr="00DC0611">
        <w:rPr>
          <w:rFonts w:ascii="Times New Roman" w:hAnsi="Times New Roman"/>
          <w:sz w:val="24"/>
          <w:szCs w:val="24"/>
        </w:rPr>
        <w:t>T</w:t>
      </w:r>
      <w:r w:rsidRPr="00DC0611">
        <w:rPr>
          <w:rFonts w:ascii="Times New Roman" w:hAnsi="Times New Roman"/>
          <w:sz w:val="24"/>
          <w:szCs w:val="24"/>
          <w:vertAlign w:val="subscript"/>
        </w:rPr>
        <w:t>E-FS</w:t>
      </w:r>
      <w:r w:rsidRPr="00DC0611">
        <w:rPr>
          <w:rFonts w:ascii="Times New Roman" w:hAnsi="Times New Roman"/>
          <w:sz w:val="24"/>
          <w:szCs w:val="24"/>
        </w:rPr>
        <w:t>) and downstream probes (</w:t>
      </w:r>
      <w:r w:rsidRPr="00DC0611">
        <w:rPr>
          <w:rFonts w:ascii="Times New Roman" w:eastAsia="DFKai-SB" w:hAnsi="Times New Roman"/>
          <w:sz w:val="24"/>
          <w:szCs w:val="24"/>
        </w:rPr>
        <w:t>Δ</w:t>
      </w:r>
      <w:r w:rsidRPr="00DC0611">
        <w:rPr>
          <w:rFonts w:ascii="Times New Roman" w:hAnsi="Times New Roman"/>
          <w:sz w:val="24"/>
          <w:szCs w:val="24"/>
        </w:rPr>
        <w:t>T</w:t>
      </w:r>
      <w:r w:rsidRPr="00DC0611">
        <w:rPr>
          <w:rFonts w:ascii="Times New Roman" w:hAnsi="Times New Roman"/>
          <w:sz w:val="24"/>
          <w:szCs w:val="24"/>
          <w:vertAlign w:val="subscript"/>
        </w:rPr>
        <w:t>FS-E</w:t>
      </w:r>
      <w:r w:rsidRPr="00DC0611">
        <w:rPr>
          <w:rFonts w:ascii="Times New Roman" w:hAnsi="Times New Roman"/>
          <w:sz w:val="24"/>
          <w:szCs w:val="24"/>
        </w:rPr>
        <w:t>) from rhizome: (A), temperature difference of downstream probes were lower than that of upstream probes (</w:t>
      </w:r>
      <w:r w:rsidRPr="00DC0611">
        <w:rPr>
          <w:rFonts w:ascii="Times New Roman" w:eastAsia="DFKai-SB" w:hAnsi="Times New Roman"/>
          <w:sz w:val="24"/>
          <w:szCs w:val="24"/>
        </w:rPr>
        <w:t>Δ</w:t>
      </w:r>
      <w:r w:rsidRPr="00DC0611">
        <w:rPr>
          <w:rFonts w:ascii="Times New Roman" w:hAnsi="Times New Roman"/>
          <w:sz w:val="24"/>
          <w:szCs w:val="24"/>
        </w:rPr>
        <w:t>T</w:t>
      </w:r>
      <w:r w:rsidRPr="00DC0611">
        <w:rPr>
          <w:rFonts w:ascii="Times New Roman" w:hAnsi="Times New Roman"/>
          <w:sz w:val="24"/>
          <w:szCs w:val="24"/>
          <w:vertAlign w:val="subscript"/>
        </w:rPr>
        <w:t>E-FS</w:t>
      </w:r>
      <w:r w:rsidRPr="00DC0611">
        <w:rPr>
          <w:rFonts w:ascii="Times New Roman" w:hAnsi="Times New Roman"/>
          <w:sz w:val="24"/>
          <w:szCs w:val="24"/>
        </w:rPr>
        <w:t>&gt;</w:t>
      </w:r>
      <w:r w:rsidRPr="00DC0611">
        <w:rPr>
          <w:rFonts w:ascii="Times New Roman" w:eastAsia="DFKai-SB" w:hAnsi="Times New Roman"/>
          <w:sz w:val="24"/>
          <w:szCs w:val="24"/>
        </w:rPr>
        <w:t>Δ</w:t>
      </w:r>
      <w:r w:rsidRPr="00DC0611">
        <w:rPr>
          <w:rFonts w:ascii="Times New Roman" w:hAnsi="Times New Roman"/>
          <w:sz w:val="24"/>
          <w:szCs w:val="24"/>
        </w:rPr>
        <w:t>T</w:t>
      </w:r>
      <w:r w:rsidRPr="00DC0611">
        <w:rPr>
          <w:rFonts w:ascii="Times New Roman" w:hAnsi="Times New Roman"/>
          <w:sz w:val="24"/>
          <w:szCs w:val="24"/>
          <w:vertAlign w:val="subscript"/>
        </w:rPr>
        <w:t>FS-E</w:t>
      </w:r>
      <w:r w:rsidRPr="00DC0611">
        <w:rPr>
          <w:rFonts w:ascii="Times New Roman" w:hAnsi="Times New Roman"/>
          <w:sz w:val="24"/>
          <w:szCs w:val="24"/>
        </w:rPr>
        <w:t>); (B), temperature difference of downstream probes lagged behind that of upstream probes (</w:t>
      </w:r>
      <w:r w:rsidRPr="00DC0611">
        <w:rPr>
          <w:rFonts w:ascii="Times New Roman" w:eastAsia="DFKai-SB" w:hAnsi="Times New Roman"/>
          <w:sz w:val="24"/>
          <w:szCs w:val="24"/>
        </w:rPr>
        <w:t>Δ</w:t>
      </w:r>
      <w:r w:rsidRPr="00DC0611">
        <w:rPr>
          <w:rFonts w:ascii="Times New Roman" w:hAnsi="Times New Roman"/>
          <w:sz w:val="24"/>
          <w:szCs w:val="24"/>
        </w:rPr>
        <w:t>T</w:t>
      </w:r>
      <w:r w:rsidRPr="00DC0611">
        <w:rPr>
          <w:rFonts w:ascii="Times New Roman" w:hAnsi="Times New Roman"/>
          <w:sz w:val="24"/>
          <w:szCs w:val="24"/>
          <w:vertAlign w:val="subscript"/>
        </w:rPr>
        <w:t>E-FS</w:t>
      </w:r>
      <w:r w:rsidRPr="00DC0611">
        <w:rPr>
          <w:rFonts w:ascii="Times New Roman" w:hAnsi="Times New Roman"/>
          <w:sz w:val="24"/>
          <w:szCs w:val="24"/>
        </w:rPr>
        <w:t xml:space="preserve"> earlier than </w:t>
      </w:r>
      <w:r w:rsidRPr="00DC0611">
        <w:rPr>
          <w:rFonts w:ascii="Times New Roman" w:eastAsia="DFKai-SB" w:hAnsi="Times New Roman"/>
          <w:sz w:val="24"/>
          <w:szCs w:val="24"/>
        </w:rPr>
        <w:t>Δ</w:t>
      </w:r>
      <w:r w:rsidRPr="00DC0611">
        <w:rPr>
          <w:rFonts w:ascii="Times New Roman" w:hAnsi="Times New Roman"/>
          <w:sz w:val="24"/>
          <w:szCs w:val="24"/>
        </w:rPr>
        <w:t>T</w:t>
      </w:r>
      <w:r w:rsidRPr="00DC0611">
        <w:rPr>
          <w:rFonts w:ascii="Times New Roman" w:hAnsi="Times New Roman"/>
          <w:sz w:val="24"/>
          <w:szCs w:val="24"/>
          <w:vertAlign w:val="subscript"/>
        </w:rPr>
        <w:t>FS-E</w:t>
      </w:r>
      <w:r w:rsidRPr="00DC0611">
        <w:rPr>
          <w:rFonts w:ascii="Times New Roman" w:hAnsi="Times New Roman"/>
          <w:sz w:val="24"/>
          <w:szCs w:val="24"/>
        </w:rPr>
        <w:t xml:space="preserve">). Both scenarios implied flowing from established culm to freshly sprouted culm.  </w:t>
      </w:r>
    </w:p>
    <w:p w14:paraId="732A5A79" w14:textId="77777777" w:rsidR="005D69B4" w:rsidRPr="00DC0611" w:rsidRDefault="005D69B4" w:rsidP="005D69B4">
      <w:pPr>
        <w:widowControl/>
      </w:pPr>
      <w:r w:rsidRPr="00DC0611">
        <w:br w:type="page"/>
      </w:r>
    </w:p>
    <w:p w14:paraId="3ADDC6D3" w14:textId="77777777" w:rsidR="005D69B4" w:rsidRPr="00DC0611" w:rsidRDefault="005D69B4" w:rsidP="005D69B4">
      <w:pPr>
        <w:widowControl/>
      </w:pPr>
    </w:p>
    <w:p w14:paraId="692151A9" w14:textId="77777777" w:rsidR="005D69B4" w:rsidRPr="00DC0611" w:rsidRDefault="005D69B4" w:rsidP="005D69B4">
      <w:pPr>
        <w:spacing w:afterLines="50" w:after="163"/>
      </w:pPr>
    </w:p>
    <w:p w14:paraId="3E46A566" w14:textId="77777777" w:rsidR="005D69B4" w:rsidRPr="00DC0611" w:rsidRDefault="005D69B4" w:rsidP="005D69B4">
      <w:pPr>
        <w:widowControl/>
      </w:pPr>
      <w:r w:rsidRPr="00DC0611">
        <w:rPr>
          <w:rFonts w:eastAsia="MYingHei_18030_C-Medium"/>
          <w:noProof/>
          <w:color w:val="000000"/>
        </w:rPr>
        <w:drawing>
          <wp:inline distT="0" distB="0" distL="0" distR="0" wp14:anchorId="2A89DB1D" wp14:editId="05A7B683">
            <wp:extent cx="5434965" cy="1633220"/>
            <wp:effectExtent l="0" t="0" r="0" b="5080"/>
            <wp:docPr id="5" name="Picture 5" descr="The SGRender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he SGRender Proced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296" cy="163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0E33" w14:textId="77777777" w:rsidR="005D69B4" w:rsidRPr="00DC0611" w:rsidRDefault="005D69B4" w:rsidP="005D69B4">
      <w:pPr>
        <w:pStyle w:val="Caption"/>
        <w:rPr>
          <w:rFonts w:ascii="Times New Roman" w:hAnsi="Times New Roman"/>
          <w:sz w:val="24"/>
          <w:szCs w:val="24"/>
        </w:rPr>
      </w:pPr>
      <w:r w:rsidRPr="00CA2E9E">
        <w:rPr>
          <w:rFonts w:ascii="Times New Roman" w:hAnsi="Times New Roman"/>
          <w:b/>
          <w:sz w:val="24"/>
          <w:szCs w:val="24"/>
        </w:rPr>
        <w:t xml:space="preserve">Appendix Figure </w:t>
      </w:r>
      <w:r w:rsidR="001C5246">
        <w:rPr>
          <w:rFonts w:ascii="Times New Roman" w:hAnsi="Times New Roman"/>
          <w:b/>
          <w:sz w:val="24"/>
          <w:szCs w:val="24"/>
        </w:rPr>
        <w:t>3</w:t>
      </w:r>
      <w:r w:rsidRPr="00CA2E9E">
        <w:rPr>
          <w:rFonts w:ascii="Times New Roman" w:hAnsi="Times New Roman" w:hint="eastAsia"/>
          <w:b/>
          <w:sz w:val="24"/>
          <w:szCs w:val="24"/>
        </w:rPr>
        <w:t>.</w:t>
      </w:r>
      <w:r w:rsidRPr="00DC0611">
        <w:rPr>
          <w:rFonts w:ascii="Times New Roman" w:hAnsi="Times New Roman"/>
          <w:sz w:val="24"/>
          <w:szCs w:val="24"/>
        </w:rPr>
        <w:t xml:space="preserve"> The simulated increased temperature fields (K) with different sap flux densities (from left to right: 0, 5, 10, 15, 20 g m</w:t>
      </w:r>
      <w:r w:rsidRPr="00DC0611">
        <w:rPr>
          <w:rFonts w:ascii="Times New Roman" w:hAnsi="Times New Roman"/>
          <w:sz w:val="24"/>
          <w:szCs w:val="24"/>
          <w:vertAlign w:val="superscript"/>
        </w:rPr>
        <w:t>-2</w:t>
      </w:r>
      <w:r w:rsidRPr="00DC0611">
        <w:rPr>
          <w:rFonts w:ascii="Times New Roman" w:hAnsi="Times New Roman"/>
          <w:sz w:val="24"/>
          <w:szCs w:val="24"/>
        </w:rPr>
        <w:t xml:space="preserve"> s</w:t>
      </w:r>
      <w:r w:rsidRPr="00DC0611">
        <w:rPr>
          <w:rFonts w:ascii="Times New Roman" w:hAnsi="Times New Roman"/>
          <w:sz w:val="24"/>
          <w:szCs w:val="24"/>
          <w:vertAlign w:val="superscript"/>
        </w:rPr>
        <w:t>-1</w:t>
      </w:r>
      <w:r w:rsidRPr="00DC0611">
        <w:rPr>
          <w:rFonts w:ascii="Times New Roman" w:hAnsi="Times New Roman"/>
          <w:sz w:val="24"/>
          <w:szCs w:val="24"/>
        </w:rPr>
        <w:t>). The values on x and y axis stand for the distances from the heating probe in tangential and axial directions, respectively.</w:t>
      </w:r>
    </w:p>
    <w:p w14:paraId="48E193B1" w14:textId="77777777" w:rsidR="005D69B4" w:rsidRPr="00DC0611" w:rsidRDefault="005D69B4" w:rsidP="005D69B4">
      <w:pPr>
        <w:widowControl/>
      </w:pPr>
      <w:r w:rsidRPr="00DC0611">
        <w:br w:type="page"/>
      </w:r>
    </w:p>
    <w:p w14:paraId="10EBCCFD" w14:textId="77777777" w:rsidR="005D69B4" w:rsidRPr="00DC0611" w:rsidRDefault="005D69B4" w:rsidP="005D69B4"/>
    <w:p w14:paraId="4123B7AA" w14:textId="77777777" w:rsidR="005D69B4" w:rsidRPr="00DC0611" w:rsidRDefault="005D69B4" w:rsidP="005D69B4">
      <w:pPr>
        <w:widowControl/>
      </w:pPr>
      <w:r w:rsidRPr="00DC0611">
        <w:rPr>
          <w:rFonts w:eastAsia="MYingHei_18030_C-Medium"/>
          <w:noProof/>
          <w:color w:val="000000"/>
        </w:rPr>
        <w:drawing>
          <wp:inline distT="0" distB="0" distL="0" distR="0" wp14:anchorId="0E11844D" wp14:editId="510D471A">
            <wp:extent cx="6122670" cy="1828800"/>
            <wp:effectExtent l="0" t="0" r="0" b="0"/>
            <wp:docPr id="3" name="Picture 3" descr="The SGRender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SGRender Proced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BF9D" w14:textId="77777777" w:rsidR="005D69B4" w:rsidRPr="00DC0611" w:rsidRDefault="005D69B4" w:rsidP="005D69B4">
      <w:pPr>
        <w:pStyle w:val="Caption"/>
        <w:rPr>
          <w:rFonts w:ascii="Times New Roman" w:hAnsi="Times New Roman"/>
          <w:sz w:val="24"/>
          <w:szCs w:val="24"/>
        </w:rPr>
      </w:pPr>
      <w:r w:rsidRPr="00CA2E9E">
        <w:rPr>
          <w:rFonts w:ascii="Times New Roman" w:hAnsi="Times New Roman"/>
          <w:b/>
          <w:sz w:val="24"/>
          <w:szCs w:val="24"/>
        </w:rPr>
        <w:t xml:space="preserve">Appendix Figure </w:t>
      </w:r>
      <w:r w:rsidR="001C5246">
        <w:rPr>
          <w:rFonts w:ascii="Times New Roman" w:hAnsi="Times New Roman"/>
          <w:b/>
          <w:sz w:val="24"/>
          <w:szCs w:val="24"/>
        </w:rPr>
        <w:t>4</w:t>
      </w:r>
      <w:r w:rsidRPr="00CA2E9E">
        <w:rPr>
          <w:rFonts w:ascii="Times New Roman" w:hAnsi="Times New Roman" w:hint="eastAsia"/>
          <w:b/>
          <w:sz w:val="24"/>
          <w:szCs w:val="24"/>
        </w:rPr>
        <w:t>.</w:t>
      </w:r>
      <w:r w:rsidRPr="00DC0611">
        <w:rPr>
          <w:rFonts w:ascii="Times New Roman" w:hAnsi="Times New Roman"/>
          <w:sz w:val="24"/>
          <w:szCs w:val="24"/>
        </w:rPr>
        <w:t xml:space="preserve"> temperature difference (</w:t>
      </w:r>
      <w:proofErr w:type="spellStart"/>
      <w:r w:rsidRPr="00DC0611">
        <w:rPr>
          <w:rFonts w:ascii="Times New Roman" w:eastAsia="DFKai-SB" w:hAnsi="Times New Roman"/>
          <w:sz w:val="24"/>
          <w:szCs w:val="24"/>
        </w:rPr>
        <w:t>Δ</w:t>
      </w:r>
      <w:r w:rsidRPr="00DC0611">
        <w:rPr>
          <w:rFonts w:ascii="Times New Roman" w:hAnsi="Times New Roman"/>
          <w:sz w:val="24"/>
          <w:szCs w:val="24"/>
        </w:rPr>
        <w:t>T</w:t>
      </w:r>
      <w:r w:rsidRPr="00DC0611">
        <w:rPr>
          <w:rFonts w:ascii="Times New Roman" w:hAnsi="Times New Roman"/>
          <w:sz w:val="24"/>
          <w:szCs w:val="24"/>
          <w:vertAlign w:val="subscript"/>
        </w:rPr>
        <w:t>up</w:t>
      </w:r>
      <w:proofErr w:type="spellEnd"/>
      <w:r w:rsidRPr="00DC0611">
        <w:rPr>
          <w:rFonts w:ascii="Times New Roman" w:hAnsi="Times New Roman"/>
          <w:sz w:val="24"/>
          <w:szCs w:val="24"/>
        </w:rPr>
        <w:t xml:space="preserve"> and</w:t>
      </w:r>
      <w:r w:rsidRPr="00DC0611">
        <w:rPr>
          <w:rFonts w:ascii="Times New Roman" w:hAnsi="Times New Roman" w:hint="eastAsia"/>
          <w:sz w:val="24"/>
          <w:szCs w:val="24"/>
        </w:rPr>
        <w:t xml:space="preserve"> </w:t>
      </w:r>
      <w:proofErr w:type="spellStart"/>
      <w:r w:rsidRPr="00DC0611">
        <w:rPr>
          <w:rFonts w:ascii="Times New Roman" w:eastAsia="DFKai-SB" w:hAnsi="Times New Roman"/>
          <w:sz w:val="24"/>
          <w:szCs w:val="24"/>
        </w:rPr>
        <w:t>Δ</w:t>
      </w:r>
      <w:r w:rsidRPr="00DC0611">
        <w:rPr>
          <w:rFonts w:ascii="Times New Roman" w:hAnsi="Times New Roman"/>
          <w:sz w:val="24"/>
          <w:szCs w:val="24"/>
        </w:rPr>
        <w:t>T</w:t>
      </w:r>
      <w:r w:rsidRPr="00DC0611">
        <w:rPr>
          <w:rFonts w:ascii="Times New Roman" w:hAnsi="Times New Roman"/>
          <w:sz w:val="24"/>
          <w:szCs w:val="24"/>
          <w:vertAlign w:val="subscript"/>
        </w:rPr>
        <w:t>down</w:t>
      </w:r>
      <w:proofErr w:type="spellEnd"/>
      <w:r w:rsidRPr="00DC0611">
        <w:rPr>
          <w:rFonts w:ascii="Times New Roman" w:hAnsi="Times New Roman"/>
          <w:sz w:val="24"/>
          <w:szCs w:val="24"/>
        </w:rPr>
        <w:t>) with different sap flux densities (A) increasing from 0 to 43 g m</w:t>
      </w:r>
      <w:r w:rsidRPr="00DC0611">
        <w:rPr>
          <w:rFonts w:ascii="Times New Roman" w:hAnsi="Times New Roman"/>
          <w:sz w:val="24"/>
          <w:szCs w:val="24"/>
          <w:vertAlign w:val="superscript"/>
        </w:rPr>
        <w:t>-2</w:t>
      </w:r>
      <w:r w:rsidRPr="00DC0611">
        <w:rPr>
          <w:rFonts w:ascii="Times New Roman" w:hAnsi="Times New Roman"/>
          <w:sz w:val="24"/>
          <w:szCs w:val="24"/>
        </w:rPr>
        <w:t xml:space="preserve"> s</w:t>
      </w:r>
      <w:r w:rsidRPr="00DC0611">
        <w:rPr>
          <w:rFonts w:ascii="Times New Roman" w:hAnsi="Times New Roman"/>
          <w:sz w:val="24"/>
          <w:szCs w:val="24"/>
          <w:vertAlign w:val="superscript"/>
        </w:rPr>
        <w:t>-1</w:t>
      </w:r>
      <w:r w:rsidRPr="00DC0611">
        <w:rPr>
          <w:rFonts w:ascii="Times New Roman" w:hAnsi="Times New Roman"/>
          <w:sz w:val="24"/>
          <w:szCs w:val="24"/>
        </w:rPr>
        <w:t xml:space="preserve"> and then dropping down to 0 g m</w:t>
      </w:r>
      <w:r w:rsidRPr="00DC0611">
        <w:rPr>
          <w:rFonts w:ascii="Times New Roman" w:hAnsi="Times New Roman"/>
          <w:sz w:val="24"/>
          <w:szCs w:val="24"/>
          <w:vertAlign w:val="superscript"/>
        </w:rPr>
        <w:t>-2</w:t>
      </w:r>
      <w:r w:rsidRPr="00DC0611">
        <w:rPr>
          <w:rFonts w:ascii="Times New Roman" w:hAnsi="Times New Roman"/>
          <w:sz w:val="24"/>
          <w:szCs w:val="24"/>
        </w:rPr>
        <w:t xml:space="preserve"> s</w:t>
      </w:r>
      <w:r w:rsidRPr="00DC0611">
        <w:rPr>
          <w:rFonts w:ascii="Times New Roman" w:hAnsi="Times New Roman"/>
          <w:sz w:val="24"/>
          <w:szCs w:val="24"/>
          <w:vertAlign w:val="superscript"/>
        </w:rPr>
        <w:t>-1</w:t>
      </w:r>
      <w:r w:rsidRPr="00DC0611">
        <w:rPr>
          <w:rFonts w:ascii="Times New Roman" w:hAnsi="Times New Roman"/>
          <w:sz w:val="24"/>
          <w:szCs w:val="24"/>
        </w:rPr>
        <w:t>, (B) increasing from 0 to 43 g m</w:t>
      </w:r>
      <w:r w:rsidRPr="00DC0611">
        <w:rPr>
          <w:rFonts w:ascii="Times New Roman" w:hAnsi="Times New Roman"/>
          <w:sz w:val="24"/>
          <w:szCs w:val="24"/>
          <w:vertAlign w:val="superscript"/>
        </w:rPr>
        <w:t>-2</w:t>
      </w:r>
      <w:r w:rsidRPr="00DC0611">
        <w:rPr>
          <w:rFonts w:ascii="Times New Roman" w:hAnsi="Times New Roman"/>
          <w:sz w:val="24"/>
          <w:szCs w:val="24"/>
        </w:rPr>
        <w:t xml:space="preserve"> s</w:t>
      </w:r>
      <w:r w:rsidRPr="00DC0611">
        <w:rPr>
          <w:rFonts w:ascii="Times New Roman" w:hAnsi="Times New Roman"/>
          <w:sz w:val="24"/>
          <w:szCs w:val="24"/>
          <w:vertAlign w:val="superscript"/>
        </w:rPr>
        <w:t>-1</w:t>
      </w:r>
      <w:r w:rsidRPr="00DC0611">
        <w:rPr>
          <w:rFonts w:ascii="Times New Roman" w:hAnsi="Times New Roman"/>
          <w:sz w:val="24"/>
          <w:szCs w:val="24"/>
        </w:rPr>
        <w:t xml:space="preserve"> and then dropping suddenly down to 0 and increasing from 0 to 43 g m</w:t>
      </w:r>
      <w:r w:rsidRPr="00DC0611">
        <w:rPr>
          <w:rFonts w:ascii="Times New Roman" w:hAnsi="Times New Roman"/>
          <w:sz w:val="24"/>
          <w:szCs w:val="24"/>
          <w:vertAlign w:val="superscript"/>
        </w:rPr>
        <w:t>-2</w:t>
      </w:r>
      <w:r w:rsidRPr="00DC0611">
        <w:rPr>
          <w:rFonts w:ascii="Times New Roman" w:hAnsi="Times New Roman"/>
          <w:sz w:val="24"/>
          <w:szCs w:val="24"/>
        </w:rPr>
        <w:t xml:space="preserve"> s</w:t>
      </w:r>
      <w:r w:rsidRPr="00DC0611">
        <w:rPr>
          <w:rFonts w:ascii="Times New Roman" w:hAnsi="Times New Roman"/>
          <w:sz w:val="24"/>
          <w:szCs w:val="24"/>
          <w:vertAlign w:val="superscript"/>
        </w:rPr>
        <w:t>-1</w:t>
      </w:r>
      <w:r w:rsidRPr="00DC0611">
        <w:rPr>
          <w:rFonts w:ascii="Times New Roman" w:hAnsi="Times New Roman"/>
          <w:sz w:val="24"/>
          <w:szCs w:val="24"/>
        </w:rPr>
        <w:t xml:space="preserve"> in reverse direction, and (C) the proposed lagging patterns of temperature difference (</w:t>
      </w:r>
      <w:proofErr w:type="spellStart"/>
      <w:r w:rsidRPr="00DC0611">
        <w:rPr>
          <w:rFonts w:ascii="Times New Roman" w:eastAsia="DFKai-SB" w:hAnsi="Times New Roman"/>
          <w:sz w:val="24"/>
          <w:szCs w:val="24"/>
        </w:rPr>
        <w:t>Δ</w:t>
      </w:r>
      <w:r w:rsidRPr="00DC0611">
        <w:rPr>
          <w:rFonts w:ascii="Times New Roman" w:hAnsi="Times New Roman"/>
          <w:sz w:val="24"/>
          <w:szCs w:val="24"/>
        </w:rPr>
        <w:t>T</w:t>
      </w:r>
      <w:r w:rsidRPr="00DC0611">
        <w:rPr>
          <w:rFonts w:ascii="Times New Roman" w:hAnsi="Times New Roman"/>
          <w:sz w:val="24"/>
          <w:szCs w:val="24"/>
          <w:vertAlign w:val="subscript"/>
        </w:rPr>
        <w:t>up</w:t>
      </w:r>
      <w:proofErr w:type="spellEnd"/>
      <w:r w:rsidRPr="00DC0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C0611">
        <w:rPr>
          <w:rFonts w:ascii="Times New Roman" w:hAnsi="Times New Roman"/>
          <w:sz w:val="24"/>
          <w:szCs w:val="24"/>
        </w:rPr>
        <w:t>and</w:t>
      </w:r>
      <w:r w:rsidRPr="00DC0611">
        <w:rPr>
          <w:rFonts w:ascii="Times New Roman" w:eastAsia="DFKai-SB" w:hAnsi="Times New Roman"/>
          <w:sz w:val="24"/>
          <w:szCs w:val="24"/>
        </w:rPr>
        <w:t>Δ</w:t>
      </w:r>
      <w:r w:rsidRPr="00DC0611">
        <w:rPr>
          <w:rFonts w:ascii="Times New Roman" w:hAnsi="Times New Roman"/>
          <w:sz w:val="24"/>
          <w:szCs w:val="24"/>
        </w:rPr>
        <w:t>T</w:t>
      </w:r>
      <w:r w:rsidRPr="00DC0611">
        <w:rPr>
          <w:rFonts w:ascii="Times New Roman" w:hAnsi="Times New Roman"/>
          <w:sz w:val="24"/>
          <w:szCs w:val="24"/>
          <w:vertAlign w:val="subscript"/>
        </w:rPr>
        <w:t>down</w:t>
      </w:r>
      <w:proofErr w:type="spellEnd"/>
      <w:r w:rsidRPr="00DC0611">
        <w:rPr>
          <w:rFonts w:ascii="Times New Roman" w:hAnsi="Times New Roman"/>
          <w:sz w:val="24"/>
          <w:szCs w:val="24"/>
        </w:rPr>
        <w:t>) in scenarios (3).</w:t>
      </w:r>
    </w:p>
    <w:p w14:paraId="3248AF1F" w14:textId="77777777" w:rsidR="005D69B4" w:rsidRDefault="005D69B4" w:rsidP="005D69B4">
      <w:pPr>
        <w:widowControl/>
        <w:rPr>
          <w:rFonts w:eastAsia="SimHei"/>
        </w:rPr>
      </w:pPr>
    </w:p>
    <w:p w14:paraId="2972FDDF" w14:textId="77777777" w:rsidR="005D69B4" w:rsidRDefault="005D69B4" w:rsidP="005D69B4">
      <w:pPr>
        <w:widowControl/>
        <w:autoSpaceDE/>
        <w:autoSpaceDN/>
        <w:adjustRightInd/>
        <w:rPr>
          <w:rFonts w:eastAsia="SimHei"/>
        </w:rPr>
      </w:pPr>
      <w:r>
        <w:rPr>
          <w:rFonts w:eastAsia="SimHei"/>
        </w:rPr>
        <w:br w:type="page"/>
      </w:r>
    </w:p>
    <w:p w14:paraId="3B822409" w14:textId="77777777" w:rsidR="00AE5786" w:rsidRPr="00DC0611" w:rsidRDefault="00AE5786" w:rsidP="00AE5786">
      <w:pPr>
        <w:widowControl/>
        <w:autoSpaceDE/>
        <w:autoSpaceDN/>
        <w:adjustRightInd/>
      </w:pPr>
      <w:r w:rsidRPr="00DC0611">
        <w:rPr>
          <w:noProof/>
        </w:rPr>
        <w:lastRenderedPageBreak/>
        <w:drawing>
          <wp:inline distT="0" distB="0" distL="0" distR="0" wp14:anchorId="056D9514" wp14:editId="57FCD191">
            <wp:extent cx="2878455" cy="28784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46D0" w14:textId="77777777" w:rsidR="00AE5786" w:rsidRDefault="00AE5786" w:rsidP="00AE5786">
      <w:pPr>
        <w:widowControl/>
        <w:autoSpaceDE/>
        <w:autoSpaceDN/>
        <w:adjustRightInd/>
      </w:pPr>
      <w:r w:rsidRPr="00CA2E9E">
        <w:rPr>
          <w:b/>
        </w:rPr>
        <w:t xml:space="preserve">Appendix Figure </w:t>
      </w:r>
      <w:r>
        <w:rPr>
          <w:b/>
        </w:rPr>
        <w:t>5</w:t>
      </w:r>
      <w:r w:rsidRPr="00CA2E9E">
        <w:rPr>
          <w:b/>
        </w:rPr>
        <w:t xml:space="preserve">. </w:t>
      </w:r>
      <w:r w:rsidRPr="00DC0611">
        <w:t xml:space="preserve">The linear relationship between </w:t>
      </w:r>
      <w:r w:rsidRPr="00DC0611">
        <w:rPr>
          <w:i/>
        </w:rPr>
        <w:t>J</w:t>
      </w:r>
      <w:r w:rsidRPr="00DC0611">
        <w:rPr>
          <w:i/>
          <w:vertAlign w:val="subscript"/>
        </w:rPr>
        <w:t>s</w:t>
      </w:r>
      <w:r w:rsidRPr="00DC0611">
        <w:t xml:space="preserve"> </w:t>
      </w:r>
      <w:r>
        <w:t>(kg m</w:t>
      </w:r>
      <w:r w:rsidRPr="007C2CA2">
        <w:rPr>
          <w:vertAlign w:val="superscript"/>
        </w:rPr>
        <w:t>-2</w:t>
      </w:r>
      <w:r>
        <w:t xml:space="preserve"> day</w:t>
      </w:r>
      <w:r w:rsidRPr="007C2CA2">
        <w:rPr>
          <w:vertAlign w:val="superscript"/>
        </w:rPr>
        <w:t>-1</w:t>
      </w:r>
      <w:r>
        <w:t xml:space="preserve">) </w:t>
      </w:r>
      <w:r w:rsidRPr="00DC0611">
        <w:t xml:space="preserve">of established culms of </w:t>
      </w:r>
      <w:r w:rsidRPr="00DC0611">
        <w:rPr>
          <w:i/>
        </w:rPr>
        <w:t xml:space="preserve">G. </w:t>
      </w:r>
      <w:proofErr w:type="spellStart"/>
      <w:r w:rsidRPr="00DC0611">
        <w:rPr>
          <w:i/>
        </w:rPr>
        <w:t>apus</w:t>
      </w:r>
      <w:proofErr w:type="spellEnd"/>
      <w:r w:rsidRPr="00DC0611">
        <w:t xml:space="preserve"> and </w:t>
      </w:r>
      <w:r w:rsidRPr="00DC0611">
        <w:rPr>
          <w:i/>
        </w:rPr>
        <w:t>B. vulgaris</w:t>
      </w:r>
      <w:r w:rsidRPr="00DC0611">
        <w:t>.</w:t>
      </w:r>
      <w:r>
        <w:t xml:space="preserve"> Data averaged from 5 culms of each species in 24 days ranging from Dec 29, 2012 to Feb 7, 2013.</w:t>
      </w:r>
    </w:p>
    <w:p w14:paraId="34824F5D" w14:textId="77777777" w:rsidR="00AE5786" w:rsidRPr="00AE5786" w:rsidRDefault="00AE5786">
      <w:pPr>
        <w:widowControl/>
        <w:autoSpaceDE/>
        <w:autoSpaceDN/>
        <w:adjustRightInd/>
      </w:pPr>
    </w:p>
    <w:p w14:paraId="062B664D" w14:textId="77777777" w:rsidR="00AE5786" w:rsidRDefault="00AE5786">
      <w:pPr>
        <w:widowControl/>
        <w:autoSpaceDE/>
        <w:autoSpaceDN/>
        <w:adjustRightInd/>
      </w:pPr>
      <w:r>
        <w:br w:type="page"/>
      </w:r>
    </w:p>
    <w:p w14:paraId="4A003E56" w14:textId="77777777" w:rsidR="005D69B4" w:rsidRPr="00DC0611" w:rsidRDefault="005D69B4" w:rsidP="005D69B4">
      <w:pPr>
        <w:widowControl/>
        <w:autoSpaceDE/>
        <w:autoSpaceDN/>
        <w:adjustRightInd/>
        <w:jc w:val="both"/>
      </w:pPr>
    </w:p>
    <w:p w14:paraId="06644316" w14:textId="77777777" w:rsidR="005D69B4" w:rsidRPr="00DC0611" w:rsidRDefault="005D69B4" w:rsidP="005D69B4">
      <w:pPr>
        <w:widowControl/>
      </w:pPr>
      <w:r w:rsidRPr="00DC0611">
        <w:rPr>
          <w:noProof/>
        </w:rPr>
        <w:drawing>
          <wp:inline distT="0" distB="0" distL="0" distR="0" wp14:anchorId="19009573" wp14:editId="46721439">
            <wp:extent cx="5274310" cy="2146935"/>
            <wp:effectExtent l="0" t="0" r="2540" b="5715"/>
            <wp:docPr id="15" name="Picture 7" descr="D:\Mega\sas_paper_data\4-shoot and water transfer- New Phytologist\New Phytologist\figure sas\figure 3- contribution of rhizome to shoot in transfer paper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:\Mega\sas_paper_data\4-shoot and water transfer- New Phytologist\New Phytologist\figure sas\figure 3- contribution of rhizome to shoot in transfer paper2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4E4D" w14:textId="13ADA31F" w:rsidR="005D69B4" w:rsidRPr="00DC0611" w:rsidRDefault="005D69B4" w:rsidP="005D69B4">
      <w:pPr>
        <w:spacing w:afterLines="50" w:after="163"/>
        <w:jc w:val="both"/>
      </w:pPr>
      <w:r w:rsidRPr="00CA2E9E">
        <w:rPr>
          <w:b/>
        </w:rPr>
        <w:t xml:space="preserve">Appendix Figure </w:t>
      </w:r>
      <w:r w:rsidR="00AE5786">
        <w:rPr>
          <w:b/>
        </w:rPr>
        <w:t>6</w:t>
      </w:r>
      <w:r w:rsidRPr="00CA2E9E">
        <w:rPr>
          <w:b/>
        </w:rPr>
        <w:t>.</w:t>
      </w:r>
      <w:r w:rsidRPr="00DC0611">
        <w:t xml:space="preserve"> Estimated d</w:t>
      </w:r>
      <w:r w:rsidRPr="00DC0611">
        <w:rPr>
          <w:rFonts w:hint="eastAsia"/>
        </w:rPr>
        <w:t xml:space="preserve">aily water use </w:t>
      </w:r>
      <w:r>
        <w:t xml:space="preserve">(kg </w:t>
      </w:r>
      <w:proofErr w:type="gramStart"/>
      <w:r>
        <w:t>day</w:t>
      </w:r>
      <w:r w:rsidRPr="00741A64">
        <w:rPr>
          <w:vertAlign w:val="superscript"/>
        </w:rPr>
        <w:t>-1</w:t>
      </w:r>
      <w:proofErr w:type="gramEnd"/>
      <w:r>
        <w:t xml:space="preserve">) </w:t>
      </w:r>
      <w:r w:rsidRPr="00DC0611">
        <w:t xml:space="preserve">of </w:t>
      </w:r>
      <w:r w:rsidRPr="00DC0611">
        <w:rPr>
          <w:rFonts w:hint="eastAsia"/>
        </w:rPr>
        <w:t xml:space="preserve">three </w:t>
      </w:r>
      <w:r w:rsidRPr="00DC0611">
        <w:t>freshly sprouted culm</w:t>
      </w:r>
      <w:r w:rsidRPr="00DC0611">
        <w:rPr>
          <w:rFonts w:hint="eastAsia"/>
        </w:rPr>
        <w:t>s</w:t>
      </w:r>
      <w:r>
        <w:t xml:space="preserve"> </w:t>
      </w:r>
      <w:r w:rsidRPr="00DC0611">
        <w:rPr>
          <w:rFonts w:hint="eastAsia"/>
        </w:rPr>
        <w:t>(SF</w:t>
      </w:r>
      <w:r w:rsidRPr="00DC0611">
        <w:rPr>
          <w:rFonts w:hint="eastAsia"/>
          <w:vertAlign w:val="subscript"/>
        </w:rPr>
        <w:t>FS</w:t>
      </w:r>
      <w:r w:rsidRPr="00DC0611">
        <w:rPr>
          <w:rFonts w:hint="eastAsia"/>
        </w:rPr>
        <w:t>)</w:t>
      </w:r>
      <w:r w:rsidRPr="00DC0611">
        <w:t xml:space="preserve"> </w:t>
      </w:r>
      <w:r w:rsidRPr="00DC0611">
        <w:rPr>
          <w:rFonts w:hint="eastAsia"/>
        </w:rPr>
        <w:t>of</w:t>
      </w:r>
      <w:r w:rsidRPr="00DC0611">
        <w:t xml:space="preserve"> </w:t>
      </w:r>
      <w:proofErr w:type="spellStart"/>
      <w:r w:rsidRPr="00DC0611">
        <w:rPr>
          <w:i/>
        </w:rPr>
        <w:t>Bambusa</w:t>
      </w:r>
      <w:proofErr w:type="spellEnd"/>
      <w:r w:rsidRPr="00DC0611">
        <w:rPr>
          <w:i/>
        </w:rPr>
        <w:t xml:space="preserve"> vulgaris</w:t>
      </w:r>
      <w:r w:rsidRPr="00DC0611">
        <w:rPr>
          <w:rFonts w:hint="eastAsia"/>
        </w:rPr>
        <w:t xml:space="preserve"> in relation to </w:t>
      </w:r>
      <w:r>
        <w:t>water use</w:t>
      </w:r>
      <w:r w:rsidRPr="00DC0611">
        <w:rPr>
          <w:rFonts w:hint="eastAsia"/>
        </w:rPr>
        <w:t xml:space="preserve"> of the corresponding rhizome</w:t>
      </w:r>
      <w:r w:rsidRPr="00DC0611">
        <w:t>s</w:t>
      </w:r>
      <w:r w:rsidRPr="00DC0611">
        <w:rPr>
          <w:rFonts w:hint="eastAsia"/>
        </w:rPr>
        <w:t xml:space="preserve"> (</w:t>
      </w:r>
      <w:proofErr w:type="spellStart"/>
      <w:r w:rsidRPr="00DC0611">
        <w:rPr>
          <w:rFonts w:hint="eastAsia"/>
        </w:rPr>
        <w:t>SF</w:t>
      </w:r>
      <w:r w:rsidRPr="00DC0611">
        <w:rPr>
          <w:rFonts w:hint="eastAsia"/>
          <w:vertAlign w:val="subscript"/>
        </w:rPr>
        <w:t>rhizome</w:t>
      </w:r>
      <w:proofErr w:type="spellEnd"/>
      <w:r w:rsidRPr="00DC0611">
        <w:rPr>
          <w:rFonts w:hint="eastAsia"/>
        </w:rPr>
        <w:t>).</w:t>
      </w:r>
      <w:r w:rsidRPr="00DC0611">
        <w:rPr>
          <w:rFonts w:ascii="MYingHei_18030_C-Medium" w:eastAsia="MYingHei_18030_C-Medium" w:hAnsi="MYingHei_18030_C-Medium" w:cs="MYingHei_18030_C-Medium"/>
          <w:color w:val="000000"/>
          <w:sz w:val="20"/>
          <w:szCs w:val="20"/>
        </w:rPr>
        <w:t xml:space="preserve"> </w:t>
      </w:r>
      <w:r w:rsidRPr="00E1164F">
        <w:t>The water use of both freshly sprouted culms and rhizomes is based on the estimated sap flux density calculated with the adjusted formula for established culms</w:t>
      </w:r>
      <w:r>
        <w:t>, multiplied by the cross-sectional water conductive area at the location of the sensors</w:t>
      </w:r>
      <w:r w:rsidRPr="00E1164F">
        <w:t>.</w:t>
      </w:r>
    </w:p>
    <w:p w14:paraId="385D2921" w14:textId="5EA8FAE2" w:rsidR="00946E6B" w:rsidRPr="005D69B4" w:rsidRDefault="00946E6B" w:rsidP="008D71CC">
      <w:pPr>
        <w:widowControl/>
        <w:autoSpaceDE/>
        <w:autoSpaceDN/>
        <w:adjustRightInd/>
      </w:pPr>
    </w:p>
    <w:sectPr w:rsidR="00946E6B" w:rsidRPr="005D69B4" w:rsidSect="008D71CC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FKai-SB">
    <w:altName w:val="Microsoft YaHei"/>
    <w:charset w:val="88"/>
    <w:family w:val="script"/>
    <w:pitch w:val="default"/>
    <w:sig w:usb0="00000000" w:usb1="00000000" w:usb2="00000016" w:usb3="00000000" w:csb0="00100001" w:csb1="00000000"/>
  </w:font>
  <w:font w:name="MYingHei_18030_C-Medium">
    <w:altName w:val="SimSun"/>
    <w:charset w:val="86"/>
    <w:family w:val="roman"/>
    <w:pitch w:val="variable"/>
    <w:sig w:usb0="800002BF" w:usb1="38CF7CFA" w:usb2="0000001E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K0MDUzNTKxMDQ2MzVU0lEKTi0uzszPAykwrAUAP1gEsywAAAA="/>
  </w:docVars>
  <w:rsids>
    <w:rsidRoot w:val="00946E6B"/>
    <w:rsid w:val="001C5246"/>
    <w:rsid w:val="005D69B4"/>
    <w:rsid w:val="008D71CC"/>
    <w:rsid w:val="00946E6B"/>
    <w:rsid w:val="00AE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6391E"/>
  <w15:docId w15:val="{D14D164C-DC99-4861-A52F-A69DD6FAA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E6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46E6B"/>
    <w:pPr>
      <w:autoSpaceDE/>
      <w:autoSpaceDN/>
      <w:adjustRightInd/>
      <w:jc w:val="both"/>
    </w:pPr>
    <w:rPr>
      <w:rFonts w:ascii="Cambria" w:eastAsia="SimHei" w:hAnsi="Cambria"/>
      <w:kern w:val="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E6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6B"/>
    <w:rPr>
      <w:rFonts w:ascii="Times New Roman" w:hAnsi="Times New Roman" w:cs="Times New Roman"/>
      <w:kern w:val="0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946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Dongming Fang</dc:creator>
  <cp:keywords/>
  <dc:description/>
  <cp:lastModifiedBy>Marlena Radomska</cp:lastModifiedBy>
  <cp:revision>5</cp:revision>
  <dcterms:created xsi:type="dcterms:W3CDTF">2019-03-31T02:17:00Z</dcterms:created>
  <dcterms:modified xsi:type="dcterms:W3CDTF">2019-06-06T08:51:00Z</dcterms:modified>
</cp:coreProperties>
</file>