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D36C1" w14:textId="0FD5130A" w:rsidR="00953F9A" w:rsidRDefault="00966FC1" w:rsidP="00966FC1">
      <w:pPr>
        <w:spacing w:after="200"/>
        <w:contextualSpacing w:val="0"/>
        <w:jc w:val="center"/>
        <w:rPr>
          <w:rFonts w:cs="Times New Roman"/>
          <w:b/>
          <w:szCs w:val="24"/>
        </w:rPr>
      </w:pPr>
      <w:r>
        <w:rPr>
          <w:rFonts w:cs="Times New Roman"/>
          <w:b/>
          <w:szCs w:val="24"/>
        </w:rPr>
        <w:t>Supplementary Text</w:t>
      </w:r>
      <w:r w:rsidR="00953F9A">
        <w:rPr>
          <w:rFonts w:cs="Times New Roman"/>
          <w:b/>
          <w:szCs w:val="24"/>
        </w:rPr>
        <w:t xml:space="preserve"> </w:t>
      </w:r>
    </w:p>
    <w:p w14:paraId="425866E4" w14:textId="2CC6F689" w:rsidR="00BC4B2D" w:rsidRPr="00953F9A" w:rsidRDefault="00953F9A" w:rsidP="00966FC1">
      <w:pPr>
        <w:spacing w:after="200"/>
        <w:contextualSpacing w:val="0"/>
        <w:jc w:val="center"/>
        <w:rPr>
          <w:rFonts w:cs="Times New Roman"/>
          <w:b/>
          <w:szCs w:val="24"/>
        </w:rPr>
      </w:pPr>
      <w:r w:rsidRPr="00953F9A">
        <w:rPr>
          <w:rFonts w:cs="Times New Roman"/>
          <w:b/>
          <w:szCs w:val="24"/>
        </w:rPr>
        <w:t>Formula for Estimating B</w:t>
      </w:r>
      <w:r w:rsidR="00BC4B2D" w:rsidRPr="00953F9A">
        <w:rPr>
          <w:rFonts w:cs="Times New Roman"/>
          <w:b/>
          <w:szCs w:val="24"/>
        </w:rPr>
        <w:t xml:space="preserve">inary </w:t>
      </w:r>
      <w:r w:rsidRPr="00953F9A">
        <w:rPr>
          <w:rFonts w:cs="Times New Roman"/>
          <w:b/>
          <w:szCs w:val="24"/>
        </w:rPr>
        <w:t>I</w:t>
      </w:r>
      <w:r w:rsidR="00966FC1" w:rsidRPr="00953F9A">
        <w:rPr>
          <w:rFonts w:cs="Times New Roman"/>
          <w:b/>
          <w:szCs w:val="24"/>
        </w:rPr>
        <w:t xml:space="preserve">nteraction </w:t>
      </w:r>
      <w:r w:rsidRPr="00953F9A">
        <w:rPr>
          <w:rFonts w:cs="Times New Roman"/>
          <w:b/>
          <w:szCs w:val="24"/>
        </w:rPr>
        <w:t>C</w:t>
      </w:r>
      <w:r w:rsidR="00966FC1" w:rsidRPr="00953F9A">
        <w:rPr>
          <w:rFonts w:cs="Times New Roman"/>
          <w:b/>
          <w:szCs w:val="24"/>
        </w:rPr>
        <w:t>oefficients</w:t>
      </w:r>
    </w:p>
    <w:p w14:paraId="33DDD2DD" w14:textId="77777777" w:rsidR="00966FC1" w:rsidRDefault="00966FC1" w:rsidP="00966FC1">
      <w:pPr>
        <w:pStyle w:val="MTDisplayEquation"/>
      </w:pPr>
    </w:p>
    <w:p w14:paraId="26C0D8E6" w14:textId="60B95F69" w:rsidR="00966FC1" w:rsidRDefault="00966FC1" w:rsidP="00966FC1">
      <w:pPr>
        <w:pStyle w:val="MTDisplayEquation"/>
      </w:pPr>
      <w:r>
        <w:fldChar w:fldCharType="begin"/>
      </w:r>
      <w:r>
        <w:instrText xml:space="preserve"> MACROBUTTON MTEditEquationSection2 </w:instrText>
      </w:r>
      <w:r w:rsidRPr="00AF1C66">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 xml:space="preserve">A generalized </w:t>
      </w:r>
      <w:proofErr w:type="spellStart"/>
      <w:r>
        <w:t>Lotka-Volterra</w:t>
      </w:r>
      <w:proofErr w:type="spellEnd"/>
      <w:r>
        <w:t xml:space="preserve"> model for a community composed of </w:t>
      </w:r>
      <w:r w:rsidRPr="00966FC1">
        <w:rPr>
          <w:i/>
        </w:rPr>
        <w:t>n</w:t>
      </w:r>
      <w:r>
        <w:t xml:space="preserve"> species can be written as follows:</w:t>
      </w:r>
    </w:p>
    <w:p w14:paraId="4F4DB34A" w14:textId="44A5337A" w:rsidR="00966FC1" w:rsidRDefault="00966FC1" w:rsidP="00966FC1">
      <w:pPr>
        <w:pStyle w:val="MTDisplayEquation"/>
      </w:pPr>
      <w:r>
        <w:tab/>
      </w:r>
      <w:r w:rsidR="00F728B6" w:rsidRPr="00AF1C66">
        <w:rPr>
          <w:noProof/>
          <w:position w:val="-32"/>
        </w:rPr>
        <w:object w:dxaOrig="3440" w:dyaOrig="760" w14:anchorId="33929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75pt;height:38.6pt;mso-width-percent:0;mso-height-percent:0;mso-width-percent:0;mso-height-percent:0" o:ole="">
            <v:imagedata r:id="rId6" o:title=""/>
          </v:shape>
          <o:OLEObject Type="Embed" ProgID="Equation.DSMT4" ShapeID="_x0000_i1025" DrawAspect="Content" ObjectID="_1618146857" r:id="rId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584425"/>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sidR="007F321E">
        <w:rPr>
          <w:noProof/>
        </w:rPr>
        <w:instrText>1</w:instrText>
      </w:r>
      <w:r w:rsidR="00FF6B0F">
        <w:rPr>
          <w:noProof/>
        </w:rPr>
        <w:fldChar w:fldCharType="end"/>
      </w:r>
      <w:r>
        <w:instrText>)</w:instrText>
      </w:r>
      <w:bookmarkEnd w:id="0"/>
      <w:r>
        <w:fldChar w:fldCharType="end"/>
      </w:r>
    </w:p>
    <w:p w14:paraId="6F738142" w14:textId="77777777" w:rsidR="00966FC1" w:rsidRDefault="00966FC1" w:rsidP="00966FC1"/>
    <w:p w14:paraId="72E3FF83" w14:textId="0EAE267C" w:rsidR="00966FC1" w:rsidRDefault="00966FC1" w:rsidP="00966FC1">
      <w:r>
        <w:t xml:space="preserve">In steady state (for species </w:t>
      </w:r>
      <w:r w:rsidRPr="00966FC1">
        <w:rPr>
          <w:i/>
        </w:rPr>
        <w:t>i</w:t>
      </w:r>
      <w:r>
        <w:t xml:space="preserve">), </w:t>
      </w:r>
    </w:p>
    <w:p w14:paraId="487969DE" w14:textId="6F9AFE5C" w:rsidR="00966FC1" w:rsidRDefault="00966FC1" w:rsidP="00966FC1">
      <w:pPr>
        <w:pStyle w:val="MTDisplayEquation"/>
      </w:pPr>
      <w:r>
        <w:tab/>
      </w:r>
      <w:r w:rsidR="00F728B6" w:rsidRPr="00966FC1">
        <w:rPr>
          <w:noProof/>
          <w:position w:val="-32"/>
        </w:rPr>
        <w:object w:dxaOrig="2079" w:dyaOrig="760" w14:anchorId="797ACC7E">
          <v:shape id="_x0000_i1026" type="#_x0000_t75" alt="" style="width:103.65pt;height:38.6pt;mso-width-percent:0;mso-height-percent:0;mso-width-percent:0;mso-height-percent:0" o:ole="">
            <v:imagedata r:id="rId8" o:title=""/>
          </v:shape>
          <o:OLEObject Type="Embed" ProgID="Equation.DSMT4" ShapeID="_x0000_i1026" DrawAspect="Content" ObjectID="_1618146858" r:id="rId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sidR="007F321E">
        <w:rPr>
          <w:noProof/>
        </w:rPr>
        <w:instrText>2</w:instrText>
      </w:r>
      <w:r w:rsidR="00FF6B0F">
        <w:rPr>
          <w:noProof/>
        </w:rPr>
        <w:fldChar w:fldCharType="end"/>
      </w:r>
      <w:r>
        <w:instrText>)</w:instrText>
      </w:r>
      <w:r>
        <w:fldChar w:fldCharType="end"/>
      </w:r>
    </w:p>
    <w:p w14:paraId="6851BEFC" w14:textId="77777777" w:rsidR="00966FC1" w:rsidRDefault="00966FC1" w:rsidP="00966FC1">
      <w:pPr>
        <w:spacing w:line="259" w:lineRule="auto"/>
      </w:pPr>
    </w:p>
    <w:p w14:paraId="281D091B" w14:textId="37798B0A" w:rsidR="00966FC1" w:rsidRDefault="00726A6C" w:rsidP="00966FC1">
      <w:pPr>
        <w:spacing w:line="259" w:lineRule="auto"/>
      </w:pPr>
      <w:r>
        <w:t xml:space="preserve">In the cases of the axenic (species </w:t>
      </w:r>
      <w:r w:rsidRPr="00726A6C">
        <w:rPr>
          <w:i/>
        </w:rPr>
        <w:t>i</w:t>
      </w:r>
      <w:r>
        <w:t xml:space="preserve">) and binary (species </w:t>
      </w:r>
      <w:r w:rsidRPr="00726A6C">
        <w:rPr>
          <w:i/>
        </w:rPr>
        <w:t>i</w:t>
      </w:r>
      <w:r>
        <w:t xml:space="preserve"> and </w:t>
      </w:r>
      <w:r w:rsidRPr="00726A6C">
        <w:rPr>
          <w:i/>
        </w:rPr>
        <w:t>j</w:t>
      </w:r>
      <w:r>
        <w:t>) cultures,</w:t>
      </w:r>
    </w:p>
    <w:p w14:paraId="6ABB60F7" w14:textId="7818CE62" w:rsidR="00966FC1" w:rsidRDefault="00966FC1" w:rsidP="00966FC1">
      <w:pPr>
        <w:pStyle w:val="MTDisplayEquation"/>
      </w:pPr>
      <w:r>
        <w:tab/>
      </w:r>
      <w:r w:rsidR="00F728B6" w:rsidRPr="00966FC1">
        <w:rPr>
          <w:noProof/>
          <w:position w:val="-16"/>
        </w:rPr>
        <w:object w:dxaOrig="1800" w:dyaOrig="440" w14:anchorId="5C2A531F">
          <v:shape id="_x0000_i1027" type="#_x0000_t75" alt="" style="width:90.2pt;height:21.7pt;mso-width-percent:0;mso-height-percent:0;mso-width-percent:0;mso-height-percent:0" o:ole="">
            <v:imagedata r:id="rId10" o:title=""/>
          </v:shape>
          <o:OLEObject Type="Embed" ProgID="Equation.DSMT4" ShapeID="_x0000_i1027" DrawAspect="Content" ObjectID="_1618146859"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sidR="007F321E">
        <w:rPr>
          <w:noProof/>
        </w:rPr>
        <w:instrText>3</w:instrText>
      </w:r>
      <w:r w:rsidR="00FF6B0F">
        <w:rPr>
          <w:noProof/>
        </w:rPr>
        <w:fldChar w:fldCharType="end"/>
      </w:r>
      <w:r>
        <w:instrText>)</w:instrText>
      </w:r>
      <w:r>
        <w:fldChar w:fldCharType="end"/>
      </w:r>
    </w:p>
    <w:p w14:paraId="150A2FC5" w14:textId="52B6BDB4" w:rsidR="00966FC1" w:rsidRDefault="00726A6C" w:rsidP="00966FC1">
      <w:r>
        <w:t>and</w:t>
      </w:r>
    </w:p>
    <w:p w14:paraId="022000BC" w14:textId="66BFDB89" w:rsidR="00726A6C" w:rsidRDefault="00726A6C" w:rsidP="00726A6C">
      <w:pPr>
        <w:pStyle w:val="MTDisplayEquation"/>
      </w:pPr>
      <w:r>
        <w:tab/>
      </w:r>
      <w:r w:rsidR="00F728B6" w:rsidRPr="00726A6C">
        <w:rPr>
          <w:noProof/>
          <w:position w:val="-16"/>
        </w:rPr>
        <w:object w:dxaOrig="2560" w:dyaOrig="440" w14:anchorId="044AD0D3">
          <v:shape id="_x0000_i1028" type="#_x0000_t75" alt="" style="width:128.4pt;height:21.7pt;mso-width-percent:0;mso-height-percent:0;mso-width-percent:0;mso-height-percent:0" o:ole="">
            <v:imagedata r:id="rId12" o:title=""/>
          </v:shape>
          <o:OLEObject Type="Embed" ProgID="Equation.DSMT4" ShapeID="_x0000_i1028" DrawAspect="Content" ObjectID="_1618146860" r:id="rId1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sidR="007F321E">
        <w:rPr>
          <w:noProof/>
        </w:rPr>
        <w:instrText>4</w:instrText>
      </w:r>
      <w:r w:rsidR="00FF6B0F">
        <w:rPr>
          <w:noProof/>
        </w:rPr>
        <w:fldChar w:fldCharType="end"/>
      </w:r>
      <w:r>
        <w:instrText>)</w:instrText>
      </w:r>
      <w:r>
        <w:fldChar w:fldCharType="end"/>
      </w:r>
    </w:p>
    <w:p w14:paraId="0ADD35B8" w14:textId="3EEFC719" w:rsidR="007F321E" w:rsidRDefault="007F321E" w:rsidP="00966FC1">
      <w:proofErr w:type="gramStart"/>
      <w:r>
        <w:t>where</w:t>
      </w:r>
      <w:proofErr w:type="gramEnd"/>
      <w:r>
        <w:t xml:space="preserve"> </w:t>
      </w:r>
      <w:r w:rsidR="00F728B6" w:rsidRPr="007F321E">
        <w:rPr>
          <w:noProof/>
          <w:position w:val="-14"/>
        </w:rPr>
        <w:object w:dxaOrig="320" w:dyaOrig="380" w14:anchorId="406EBCB1">
          <v:shape id="_x0000_i1029" type="#_x0000_t75" alt="" style="width:15.6pt;height:19.1pt;mso-width-percent:0;mso-height-percent:0;mso-width-percent:0;mso-height-percent:0" o:ole="">
            <v:imagedata r:id="rId14" o:title=""/>
          </v:shape>
          <o:OLEObject Type="Embed" ProgID="Equation.DSMT4" ShapeID="_x0000_i1029" DrawAspect="Content" ObjectID="_1618146861" r:id="rId15"/>
        </w:object>
      </w:r>
      <w:r w:rsidR="00F728B6" w:rsidRPr="007F321E">
        <w:rPr>
          <w:noProof/>
          <w:position w:val="-14"/>
        </w:rPr>
        <w:object w:dxaOrig="560" w:dyaOrig="400" w14:anchorId="1623C171">
          <v:shape id="_x0000_i1030" type="#_x0000_t75" alt="" style="width:27.75pt;height:20.4pt;mso-width-percent:0;mso-height-percent:0;mso-width-percent:0;mso-height-percent:0" o:ole="">
            <v:imagedata r:id="rId16" o:title=""/>
          </v:shape>
          <o:OLEObject Type="Embed" ProgID="Equation.DSMT4" ShapeID="_x0000_i1030" DrawAspect="Content" ObjectID="_1618146862" r:id="rId17"/>
        </w:object>
      </w:r>
      <w:r>
        <w:t xml:space="preserve"> denotes intra-specific interaction coefficient. </w:t>
      </w:r>
    </w:p>
    <w:p w14:paraId="1555197F" w14:textId="77777777" w:rsidR="007F321E" w:rsidRDefault="007F321E" w:rsidP="00966FC1"/>
    <w:p w14:paraId="569E8840" w14:textId="0A7EFF5B" w:rsidR="00726A6C" w:rsidRDefault="00726A6C" w:rsidP="00966FC1">
      <w:r>
        <w:t>Under the conditions where all species can grow both individually and together</w:t>
      </w:r>
      <w:r w:rsidR="007F321E">
        <w:t xml:space="preserve"> (i.e.</w:t>
      </w:r>
      <w:proofErr w:type="gramStart"/>
      <w:r w:rsidR="007F321E">
        <w:t xml:space="preserve">, </w:t>
      </w:r>
      <w:proofErr w:type="gramEnd"/>
      <w:r w:rsidR="00F728B6" w:rsidRPr="007F321E">
        <w:rPr>
          <w:noProof/>
          <w:position w:val="-14"/>
        </w:rPr>
        <w:object w:dxaOrig="1579" w:dyaOrig="400" w14:anchorId="6CF50C71">
          <v:shape id="_x0000_i1031" type="#_x0000_t75" alt="" style="width:78.5pt;height:20.4pt;mso-width-percent:0;mso-height-percent:0;mso-width-percent:0;mso-height-percent:0" o:ole="">
            <v:imagedata r:id="rId18" o:title=""/>
          </v:shape>
          <o:OLEObject Type="Embed" ProgID="Equation.DSMT4" ShapeID="_x0000_i1031" DrawAspect="Content" ObjectID="_1618146863" r:id="rId19"/>
        </w:object>
      </w:r>
      <w:r w:rsidR="007F321E">
        <w:t xml:space="preserve">) </w:t>
      </w:r>
      <w:r>
        <w:t>, the above two equations are respectively reduced to</w:t>
      </w:r>
    </w:p>
    <w:p w14:paraId="5EAAEF0A" w14:textId="32F3C8F9" w:rsidR="00966FC1" w:rsidRDefault="00966FC1" w:rsidP="00966FC1">
      <w:r>
        <w:t xml:space="preserve"> </w:t>
      </w:r>
    </w:p>
    <w:p w14:paraId="22B1A34E" w14:textId="785F6327" w:rsidR="00726A6C" w:rsidRDefault="00726A6C" w:rsidP="00726A6C">
      <w:pPr>
        <w:pStyle w:val="MTDisplayEquation"/>
      </w:pPr>
      <w:r>
        <w:tab/>
      </w:r>
      <w:r w:rsidR="00F728B6" w:rsidRPr="00726A6C">
        <w:rPr>
          <w:noProof/>
          <w:position w:val="-14"/>
        </w:rPr>
        <w:object w:dxaOrig="1219" w:dyaOrig="400" w14:anchorId="0284881F">
          <v:shape id="_x0000_i1032" type="#_x0000_t75" alt="" style="width:61.6pt;height:20.4pt;mso-width-percent:0;mso-height-percent:0;mso-width-percent:0;mso-height-percent:0" o:ole="">
            <v:imagedata r:id="rId20" o:title=""/>
          </v:shape>
          <o:OLEObject Type="Embed" ProgID="Equation.DSMT4" ShapeID="_x0000_i1032" DrawAspect="Content" ObjectID="_1618146864" r:id="rId2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829388"/>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sidR="007F321E">
        <w:rPr>
          <w:noProof/>
        </w:rPr>
        <w:instrText>5</w:instrText>
      </w:r>
      <w:r w:rsidR="00FF6B0F">
        <w:rPr>
          <w:noProof/>
        </w:rPr>
        <w:fldChar w:fldCharType="end"/>
      </w:r>
      <w:r>
        <w:instrText>)</w:instrText>
      </w:r>
      <w:bookmarkEnd w:id="1"/>
      <w:r>
        <w:fldChar w:fldCharType="end"/>
      </w:r>
    </w:p>
    <w:p w14:paraId="03ABAFE3" w14:textId="6C873A74" w:rsidR="00726A6C" w:rsidRDefault="00726A6C" w:rsidP="00726A6C">
      <w:pPr>
        <w:pStyle w:val="MTDisplayEquation"/>
      </w:pPr>
      <w:r>
        <w:t>and</w:t>
      </w:r>
    </w:p>
    <w:p w14:paraId="2F06E0E4" w14:textId="15893A52" w:rsidR="00726A6C" w:rsidRDefault="00726A6C" w:rsidP="00726A6C">
      <w:pPr>
        <w:pStyle w:val="MTDisplayEquation"/>
      </w:pPr>
      <w:r>
        <w:tab/>
      </w:r>
      <w:r w:rsidR="00F728B6" w:rsidRPr="00726A6C">
        <w:rPr>
          <w:noProof/>
          <w:position w:val="-14"/>
        </w:rPr>
        <w:object w:dxaOrig="1980" w:dyaOrig="400" w14:anchorId="1615D8A3">
          <v:shape id="_x0000_i1033" type="#_x0000_t75" alt="" style="width:99.35pt;height:20.4pt;mso-width-percent:0;mso-height-percent:0;mso-width-percent:0;mso-height-percent:0" o:ole="">
            <v:imagedata r:id="rId22" o:title=""/>
          </v:shape>
          <o:OLEObject Type="Embed" ProgID="Equation.DSMT4" ShapeID="_x0000_i1033" DrawAspect="Content" ObjectID="_1618146865" r:id="rId2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597232"/>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sidR="007F321E">
        <w:rPr>
          <w:noProof/>
        </w:rPr>
        <w:instrText>6</w:instrText>
      </w:r>
      <w:r w:rsidR="00FF6B0F">
        <w:rPr>
          <w:noProof/>
        </w:rPr>
        <w:fldChar w:fldCharType="end"/>
      </w:r>
      <w:r>
        <w:instrText>)</w:instrText>
      </w:r>
      <w:bookmarkEnd w:id="2"/>
      <w:r>
        <w:fldChar w:fldCharType="end"/>
      </w:r>
    </w:p>
    <w:p w14:paraId="3045DFE9" w14:textId="77777777" w:rsidR="00726A6C" w:rsidRDefault="00726A6C" w:rsidP="00966FC1">
      <w:pPr>
        <w:pStyle w:val="ListParagraph"/>
      </w:pPr>
    </w:p>
    <w:p w14:paraId="5602C527" w14:textId="375D0BBD" w:rsidR="00966FC1" w:rsidRDefault="00966FC1" w:rsidP="00966FC1">
      <w:r>
        <w:t>Subtract</w:t>
      </w:r>
      <w:r w:rsidR="007F321E">
        <w:t>ion of</w:t>
      </w:r>
      <w:r>
        <w:t xml:space="preserve"> Eq. </w:t>
      </w:r>
      <w:r w:rsidR="007F321E">
        <w:fldChar w:fldCharType="begin"/>
      </w:r>
      <w:r w:rsidR="007F321E">
        <w:instrText xml:space="preserve"> GOTOBUTTON ZEqnNum829388  \* MERGEFORMAT </w:instrText>
      </w:r>
      <w:r w:rsidR="00E804B3">
        <w:fldChar w:fldCharType="begin"/>
      </w:r>
      <w:r w:rsidR="00E804B3">
        <w:instrText xml:space="preserve"> REF ZEqnNum829388 \* Charformat \! \* MERGEFORMAT </w:instrText>
      </w:r>
      <w:r w:rsidR="00E804B3">
        <w:fldChar w:fldCharType="separate"/>
      </w:r>
      <w:r w:rsidR="007F321E">
        <w:instrText>(S5)</w:instrText>
      </w:r>
      <w:r w:rsidR="00E804B3">
        <w:fldChar w:fldCharType="end"/>
      </w:r>
      <w:r w:rsidR="007F321E">
        <w:fldChar w:fldCharType="end"/>
      </w:r>
      <w:r w:rsidR="007F321E">
        <w:t xml:space="preserve"> </w:t>
      </w:r>
      <w:r>
        <w:t>from Eq.</w:t>
      </w:r>
      <w:r w:rsidR="007F321E">
        <w:t xml:space="preserve"> </w:t>
      </w:r>
      <w:r w:rsidR="007F321E">
        <w:fldChar w:fldCharType="begin"/>
      </w:r>
      <w:r w:rsidR="007F321E">
        <w:instrText xml:space="preserve"> GOTOBUTTON ZEqnNum597232  \* MERGEFORMAT </w:instrText>
      </w:r>
      <w:r w:rsidR="00E804B3">
        <w:fldChar w:fldCharType="begin"/>
      </w:r>
      <w:r w:rsidR="00E804B3">
        <w:instrText xml:space="preserve"> REF ZEqnNum597232 \* Charformat \! \* MERGEFORMAT </w:instrText>
      </w:r>
      <w:r w:rsidR="00E804B3">
        <w:fldChar w:fldCharType="separate"/>
      </w:r>
      <w:r w:rsidR="007F321E">
        <w:instrText>(S6)</w:instrText>
      </w:r>
      <w:r w:rsidR="00E804B3">
        <w:fldChar w:fldCharType="end"/>
      </w:r>
      <w:r w:rsidR="007F321E">
        <w:fldChar w:fldCharType="end"/>
      </w:r>
      <w:r w:rsidR="007F321E">
        <w:t xml:space="preserve"> leads to</w:t>
      </w:r>
    </w:p>
    <w:p w14:paraId="270EA1C1" w14:textId="77777777" w:rsidR="007F321E" w:rsidRDefault="00966FC1" w:rsidP="00966FC1">
      <w:pPr>
        <w:pStyle w:val="MTDisplayEquation"/>
      </w:pPr>
      <w:r>
        <w:tab/>
      </w:r>
    </w:p>
    <w:p w14:paraId="3E3B32C2" w14:textId="113BDAC2" w:rsidR="007F321E" w:rsidRDefault="007F321E" w:rsidP="007F321E">
      <w:pPr>
        <w:pStyle w:val="MTDisplayEquation"/>
      </w:pPr>
      <w:r>
        <w:tab/>
      </w:r>
      <w:r w:rsidR="00F728B6" w:rsidRPr="007F321E">
        <w:rPr>
          <w:noProof/>
          <w:position w:val="-16"/>
        </w:rPr>
        <w:object w:dxaOrig="2380" w:dyaOrig="440" w14:anchorId="2DBE410E">
          <v:shape id="_x0000_i1034" type="#_x0000_t75" alt="" style="width:119.3pt;height:21.7pt;mso-width-percent:0;mso-height-percent:0;mso-width-percent:0;mso-height-percent:0" o:ole="">
            <v:imagedata r:id="rId24" o:title=""/>
          </v:shape>
          <o:OLEObject Type="Embed" ProgID="Equation.DSMT4" ShapeID="_x0000_i1034" DrawAspect="Content" ObjectID="_1618146866" r:id="rId2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Pr>
          <w:noProof/>
        </w:rPr>
        <w:instrText>7</w:instrText>
      </w:r>
      <w:r w:rsidR="00FF6B0F">
        <w:rPr>
          <w:noProof/>
        </w:rPr>
        <w:fldChar w:fldCharType="end"/>
      </w:r>
      <w:r>
        <w:instrText>)</w:instrText>
      </w:r>
      <w:r>
        <w:fldChar w:fldCharType="end"/>
      </w:r>
    </w:p>
    <w:p w14:paraId="43524568" w14:textId="77602368" w:rsidR="00966FC1" w:rsidRDefault="00966FC1" w:rsidP="00966FC1">
      <w:pPr>
        <w:pStyle w:val="MTDisplayEquation"/>
      </w:pPr>
      <w:r>
        <w:tab/>
      </w:r>
    </w:p>
    <w:p w14:paraId="463D7143" w14:textId="77777777" w:rsidR="00966FC1" w:rsidRDefault="00966FC1" w:rsidP="00966FC1">
      <w:r>
        <w:t>Then,</w:t>
      </w:r>
    </w:p>
    <w:p w14:paraId="5CBCFCA5" w14:textId="2469F1DC" w:rsidR="007F321E" w:rsidRDefault="007F321E" w:rsidP="007F321E">
      <w:pPr>
        <w:pStyle w:val="MTDisplayEquation"/>
      </w:pPr>
      <w:r>
        <w:tab/>
      </w:r>
      <w:r w:rsidR="00F728B6" w:rsidRPr="007F321E">
        <w:rPr>
          <w:noProof/>
          <w:position w:val="-32"/>
        </w:rPr>
        <w:object w:dxaOrig="1980" w:dyaOrig="800" w14:anchorId="078CBA7E">
          <v:shape id="_x0000_i1035" type="#_x0000_t75" alt="" style="width:99.35pt;height:39.9pt;mso-width-percent:0;mso-height-percent:0;mso-width-percent:0;mso-height-percent:0" o:ole="">
            <v:imagedata r:id="rId26" o:title=""/>
          </v:shape>
          <o:OLEObject Type="Embed" ProgID="Equation.DSMT4" ShapeID="_x0000_i1035" DrawAspect="Content" ObjectID="_1618146867" r:id="rId2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Pr>
          <w:noProof/>
        </w:rPr>
        <w:instrText>8</w:instrText>
      </w:r>
      <w:r w:rsidR="00FF6B0F">
        <w:rPr>
          <w:noProof/>
        </w:rPr>
        <w:fldChar w:fldCharType="end"/>
      </w:r>
      <w:r>
        <w:instrText>)</w:instrText>
      </w:r>
      <w:r>
        <w:fldChar w:fldCharType="end"/>
      </w:r>
    </w:p>
    <w:p w14:paraId="0EE247A5" w14:textId="77777777" w:rsidR="007F321E" w:rsidRDefault="007F321E" w:rsidP="00966FC1"/>
    <w:p w14:paraId="27522121" w14:textId="6DDAC2C1" w:rsidR="00966FC1" w:rsidRDefault="007F321E" w:rsidP="00966FC1">
      <w:r>
        <w:t>From Eq</w:t>
      </w:r>
      <w:proofErr w:type="gramStart"/>
      <w:r>
        <w:t xml:space="preserve">. </w:t>
      </w:r>
      <w:proofErr w:type="gramEnd"/>
      <w:r>
        <w:fldChar w:fldCharType="begin"/>
      </w:r>
      <w:r>
        <w:instrText xml:space="preserve"> GOTOBUTTON ZEqnNum829388  \* MERGEFORMAT </w:instrText>
      </w:r>
      <w:r w:rsidR="00E804B3">
        <w:fldChar w:fldCharType="begin"/>
      </w:r>
      <w:r w:rsidR="00E804B3">
        <w:instrText xml:space="preserve"> REF ZEqnNum829388 \* Charformat \! \* MERGEFORMAT </w:instrText>
      </w:r>
      <w:r w:rsidR="00E804B3">
        <w:fldChar w:fldCharType="separate"/>
      </w:r>
      <w:r>
        <w:instrText>(S5)</w:instrText>
      </w:r>
      <w:r w:rsidR="00E804B3">
        <w:fldChar w:fldCharType="end"/>
      </w:r>
      <w:r>
        <w:fldChar w:fldCharType="end"/>
      </w:r>
      <w:r>
        <w:t xml:space="preserve">, </w:t>
      </w:r>
    </w:p>
    <w:p w14:paraId="5271ABDB" w14:textId="6927AD50" w:rsidR="007F321E" w:rsidRDefault="007F321E" w:rsidP="007F321E">
      <w:pPr>
        <w:pStyle w:val="MTDisplayEquation"/>
      </w:pPr>
      <w:r>
        <w:lastRenderedPageBreak/>
        <w:tab/>
      </w:r>
      <w:r w:rsidR="00F728B6" w:rsidRPr="007F321E">
        <w:rPr>
          <w:noProof/>
          <w:position w:val="-30"/>
        </w:rPr>
        <w:object w:dxaOrig="1040" w:dyaOrig="680" w14:anchorId="58CA394A">
          <v:shape id="_x0000_i1036" type="#_x0000_t75" alt="" style="width:51.6pt;height:34.7pt;mso-width-percent:0;mso-height-percent:0;mso-width-percent:0;mso-height-percent:0" o:ole="">
            <v:imagedata r:id="rId28" o:title=""/>
          </v:shape>
          <o:OLEObject Type="Embed" ProgID="Equation.DSMT4" ShapeID="_x0000_i1036" DrawAspect="Content" ObjectID="_1618146868" r:id="rId2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Pr>
          <w:noProof/>
        </w:rPr>
        <w:instrText>9</w:instrText>
      </w:r>
      <w:r w:rsidR="00FF6B0F">
        <w:rPr>
          <w:noProof/>
        </w:rPr>
        <w:fldChar w:fldCharType="end"/>
      </w:r>
      <w:r>
        <w:instrText>)</w:instrText>
      </w:r>
      <w:r>
        <w:fldChar w:fldCharType="end"/>
      </w:r>
    </w:p>
    <w:p w14:paraId="1E5FD432" w14:textId="443B71FD" w:rsidR="007F321E" w:rsidRPr="007F321E" w:rsidRDefault="007F321E" w:rsidP="00966FC1">
      <w:r>
        <w:t xml:space="preserve">Finally, </w:t>
      </w:r>
    </w:p>
    <w:p w14:paraId="6365D54B" w14:textId="77777777" w:rsidR="007F321E" w:rsidRDefault="00966FC1" w:rsidP="00966FC1">
      <w:pPr>
        <w:pStyle w:val="MTDisplayEquation"/>
      </w:pPr>
      <w:r w:rsidRPr="007F321E">
        <w:tab/>
      </w:r>
    </w:p>
    <w:p w14:paraId="2CC87AA3" w14:textId="6EFDD3E4" w:rsidR="007F321E" w:rsidRDefault="007F321E" w:rsidP="007F321E">
      <w:pPr>
        <w:pStyle w:val="MTDisplayEquation"/>
      </w:pPr>
      <w:r>
        <w:tab/>
      </w:r>
      <w:r w:rsidR="00F728B6" w:rsidRPr="00E04086">
        <w:rPr>
          <w:noProof/>
          <w:position w:val="-32"/>
        </w:rPr>
        <w:object w:dxaOrig="1540" w:dyaOrig="800" w14:anchorId="53CEC34B">
          <v:shape id="_x0000_i1037" type="#_x0000_t75" alt="" style="width:77.2pt;height:39.9pt;mso-width-percent:0;mso-height-percent:0;mso-width-percent:0;mso-height-percent:0" o:ole="">
            <v:imagedata r:id="rId30" o:title=""/>
          </v:shape>
          <o:OLEObject Type="Embed" ProgID="Equation.DSMT4" ShapeID="_x0000_i1037" DrawAspect="Content" ObjectID="_1618146869" r:id="rId3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r w:rsidR="00FF6B0F">
        <w:rPr>
          <w:noProof/>
        </w:rPr>
        <w:fldChar w:fldCharType="begin"/>
      </w:r>
      <w:r w:rsidR="00FF6B0F">
        <w:rPr>
          <w:noProof/>
        </w:rPr>
        <w:instrText xml:space="preserve"> SEQ MTEqn \c \* Arabic \* MERGEFORMAT </w:instrText>
      </w:r>
      <w:r w:rsidR="00FF6B0F">
        <w:rPr>
          <w:noProof/>
        </w:rPr>
        <w:fldChar w:fldCharType="separate"/>
      </w:r>
      <w:r>
        <w:rPr>
          <w:noProof/>
        </w:rPr>
        <w:instrText>10</w:instrText>
      </w:r>
      <w:r w:rsidR="00FF6B0F">
        <w:rPr>
          <w:noProof/>
        </w:rPr>
        <w:fldChar w:fldCharType="end"/>
      </w:r>
      <w:r>
        <w:instrText>)</w:instrText>
      </w:r>
      <w:r>
        <w:fldChar w:fldCharType="end"/>
      </w:r>
    </w:p>
    <w:p w14:paraId="7394A78F" w14:textId="10C357F7" w:rsidR="00953F9A" w:rsidRDefault="00953F9A">
      <w:pPr>
        <w:spacing w:after="200"/>
        <w:contextualSpacing w:val="0"/>
      </w:pPr>
    </w:p>
    <w:p w14:paraId="29A02DA1" w14:textId="77777777" w:rsidR="00B44F47" w:rsidRDefault="00B44F47">
      <w:pPr>
        <w:spacing w:after="200"/>
        <w:contextualSpacing w:val="0"/>
        <w:rPr>
          <w:b/>
        </w:rPr>
      </w:pPr>
      <w:r>
        <w:rPr>
          <w:b/>
        </w:rPr>
        <w:br w:type="page"/>
      </w:r>
    </w:p>
    <w:p w14:paraId="28ED0DEA" w14:textId="31126457" w:rsidR="00953F9A" w:rsidRPr="00953F9A" w:rsidRDefault="00953F9A" w:rsidP="00953F9A">
      <w:pPr>
        <w:pStyle w:val="MTDisplayEquation"/>
        <w:jc w:val="center"/>
        <w:rPr>
          <w:b/>
        </w:rPr>
      </w:pPr>
      <w:r w:rsidRPr="00953F9A">
        <w:rPr>
          <w:b/>
        </w:rPr>
        <w:lastRenderedPageBreak/>
        <w:t>Supplementary Figures</w:t>
      </w:r>
    </w:p>
    <w:p w14:paraId="14CDBD24" w14:textId="6D68EBC4" w:rsidR="00966FC1" w:rsidRDefault="00966FC1" w:rsidP="00966FC1">
      <w:pPr>
        <w:pStyle w:val="MTDisplayEquation"/>
      </w:pPr>
    </w:p>
    <w:p w14:paraId="6C4247F5" w14:textId="5582D353" w:rsidR="00D10A12" w:rsidRPr="00CD556F" w:rsidRDefault="00FA7245" w:rsidP="00D10A12">
      <w:pPr>
        <w:spacing w:after="200"/>
        <w:contextualSpacing w:val="0"/>
        <w:rPr>
          <w:rFonts w:cs="Times New Roman"/>
          <w:szCs w:val="24"/>
        </w:rPr>
      </w:pPr>
      <w:r>
        <w:rPr>
          <w:noProof/>
        </w:rPr>
        <w:drawing>
          <wp:inline distT="0" distB="0" distL="0" distR="0" wp14:anchorId="16F20680" wp14:editId="10E1B2F8">
            <wp:extent cx="5943600" cy="2703830"/>
            <wp:effectExtent l="0" t="0" r="0" b="127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2"/>
                    <a:stretch>
                      <a:fillRect/>
                    </a:stretch>
                  </pic:blipFill>
                  <pic:spPr>
                    <a:xfrm>
                      <a:off x="0" y="0"/>
                      <a:ext cx="5943600" cy="2703830"/>
                    </a:xfrm>
                    <a:prstGeom prst="rect">
                      <a:avLst/>
                    </a:prstGeom>
                  </pic:spPr>
                </pic:pic>
              </a:graphicData>
            </a:graphic>
          </wp:inline>
        </w:drawing>
      </w:r>
    </w:p>
    <w:p w14:paraId="74BCD061" w14:textId="5ED73928" w:rsidR="00CD556F" w:rsidRPr="0074567C" w:rsidRDefault="005C5408" w:rsidP="00D10A12">
      <w:pPr>
        <w:spacing w:after="200"/>
        <w:contextualSpacing w:val="0"/>
        <w:rPr>
          <w:rFonts w:cs="Times New Roman"/>
          <w:szCs w:val="24"/>
        </w:rPr>
      </w:pPr>
      <w:r>
        <w:rPr>
          <w:rFonts w:cs="Times New Roman"/>
          <w:b/>
          <w:szCs w:val="24"/>
        </w:rPr>
        <w:t>Figure</w:t>
      </w:r>
      <w:r w:rsidR="00D10A12" w:rsidRPr="00CD556F">
        <w:rPr>
          <w:rFonts w:cs="Times New Roman"/>
          <w:b/>
          <w:szCs w:val="24"/>
        </w:rPr>
        <w:t xml:space="preserve"> S</w:t>
      </w:r>
      <w:r w:rsidR="00606FCB" w:rsidRPr="00CD556F">
        <w:rPr>
          <w:rFonts w:cs="Times New Roman"/>
          <w:b/>
          <w:szCs w:val="24"/>
        </w:rPr>
        <w:t>1</w:t>
      </w:r>
      <w:r w:rsidR="00D10A12" w:rsidRPr="00CD556F">
        <w:rPr>
          <w:rFonts w:cs="Times New Roman"/>
          <w:b/>
          <w:szCs w:val="24"/>
        </w:rPr>
        <w:t xml:space="preserve">. </w:t>
      </w:r>
      <w:r w:rsidR="00CD556F" w:rsidRPr="00CD556F">
        <w:rPr>
          <w:rFonts w:cs="Times New Roman"/>
          <w:b/>
          <w:szCs w:val="24"/>
        </w:rPr>
        <w:t>The effect of accounting for member dependence of interactions on predictions for complex communities of different sizes (</w:t>
      </w:r>
      <w:r w:rsidR="00FA7245" w:rsidRPr="00FD6349">
        <w:rPr>
          <w:rFonts w:cs="Times New Roman"/>
          <w:b/>
          <w:i/>
          <w:szCs w:val="24"/>
        </w:rPr>
        <w:t>N</w:t>
      </w:r>
      <w:r w:rsidR="00CD556F" w:rsidRPr="00CD556F">
        <w:rPr>
          <w:rFonts w:cs="Times New Roman"/>
          <w:b/>
          <w:szCs w:val="24"/>
        </w:rPr>
        <w:t xml:space="preserve">). </w:t>
      </w:r>
      <w:r w:rsidR="00CD556F" w:rsidRPr="00CD556F">
        <w:rPr>
          <w:rFonts w:cs="Times New Roman"/>
          <w:szCs w:val="24"/>
        </w:rPr>
        <w:t xml:space="preserve">(a) </w:t>
      </w:r>
      <w:r w:rsidR="00FA7245">
        <w:rPr>
          <w:rFonts w:cs="Times New Roman"/>
          <w:i/>
          <w:szCs w:val="24"/>
        </w:rPr>
        <w:t>N</w:t>
      </w:r>
      <w:r w:rsidR="00CD556F" w:rsidRPr="00CD556F">
        <w:rPr>
          <w:rFonts w:cs="Times New Roman"/>
          <w:szCs w:val="24"/>
        </w:rPr>
        <w:t xml:space="preserve"> = </w:t>
      </w:r>
      <w:r w:rsidR="00CD556F">
        <w:rPr>
          <w:rFonts w:cs="Times New Roman"/>
          <w:szCs w:val="24"/>
        </w:rPr>
        <w:t>4</w:t>
      </w:r>
      <w:r w:rsidR="00CD556F" w:rsidRPr="00CD556F">
        <w:rPr>
          <w:rFonts w:cs="Times New Roman"/>
          <w:szCs w:val="24"/>
        </w:rPr>
        <w:t xml:space="preserve">, </w:t>
      </w:r>
      <w:r w:rsidR="00CD556F" w:rsidRPr="0074567C">
        <w:rPr>
          <w:rFonts w:cs="Times New Roman"/>
          <w:szCs w:val="24"/>
        </w:rPr>
        <w:t xml:space="preserve">and (b) </w:t>
      </w:r>
      <w:r w:rsidR="00FA7245">
        <w:rPr>
          <w:rFonts w:cs="Times New Roman"/>
          <w:i/>
          <w:szCs w:val="24"/>
        </w:rPr>
        <w:t>N</w:t>
      </w:r>
      <w:r w:rsidR="00CD556F" w:rsidRPr="0074567C">
        <w:rPr>
          <w:rFonts w:cs="Times New Roman"/>
          <w:szCs w:val="24"/>
        </w:rPr>
        <w:t xml:space="preserve"> = 5. </w:t>
      </w:r>
      <w:r w:rsidR="00886F16">
        <w:rPr>
          <w:rFonts w:cs="Times New Roman"/>
          <w:szCs w:val="24"/>
        </w:rPr>
        <w:t xml:space="preserve">For all other details, see the caption in </w:t>
      </w:r>
      <w:r>
        <w:rPr>
          <w:rFonts w:cs="Times New Roman"/>
          <w:szCs w:val="24"/>
        </w:rPr>
        <w:t>Figure</w:t>
      </w:r>
      <w:r w:rsidR="00886F16">
        <w:rPr>
          <w:rFonts w:cs="Times New Roman"/>
          <w:szCs w:val="24"/>
        </w:rPr>
        <w:t xml:space="preserve"> 2.  </w:t>
      </w:r>
    </w:p>
    <w:p w14:paraId="59E5E167" w14:textId="40E966B2" w:rsidR="004A52C0" w:rsidRDefault="004A52C0">
      <w:pPr>
        <w:spacing w:after="200"/>
        <w:contextualSpacing w:val="0"/>
        <w:rPr>
          <w:rFonts w:cs="Times New Roman"/>
          <w:b/>
          <w:szCs w:val="24"/>
        </w:rPr>
      </w:pPr>
      <w:r>
        <w:rPr>
          <w:rFonts w:cs="Times New Roman"/>
          <w:b/>
          <w:szCs w:val="24"/>
        </w:rPr>
        <w:br w:type="page"/>
      </w:r>
    </w:p>
    <w:p w14:paraId="5515A031" w14:textId="2D0F7C10" w:rsidR="006E46F8" w:rsidRDefault="004A52C0" w:rsidP="00D10A12">
      <w:pPr>
        <w:spacing w:after="200"/>
        <w:contextualSpacing w:val="0"/>
        <w:rPr>
          <w:rFonts w:cs="Times New Roman"/>
          <w:b/>
          <w:szCs w:val="24"/>
        </w:rPr>
      </w:pPr>
      <w:r>
        <w:rPr>
          <w:noProof/>
        </w:rPr>
        <w:lastRenderedPageBreak/>
        <w:drawing>
          <wp:inline distT="0" distB="0" distL="0" distR="0" wp14:anchorId="461745F5" wp14:editId="2219BE95">
            <wp:extent cx="5618602" cy="585211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3"/>
                    <a:stretch>
                      <a:fillRect/>
                    </a:stretch>
                  </pic:blipFill>
                  <pic:spPr>
                    <a:xfrm>
                      <a:off x="0" y="0"/>
                      <a:ext cx="5620170" cy="5853743"/>
                    </a:xfrm>
                    <a:prstGeom prst="rect">
                      <a:avLst/>
                    </a:prstGeom>
                  </pic:spPr>
                </pic:pic>
              </a:graphicData>
            </a:graphic>
          </wp:inline>
        </w:drawing>
      </w:r>
    </w:p>
    <w:p w14:paraId="1D88DD62" w14:textId="45111F8E" w:rsidR="004A52C0" w:rsidRPr="00CD556F" w:rsidRDefault="004A52C0" w:rsidP="00D10A12">
      <w:pPr>
        <w:spacing w:after="200"/>
        <w:contextualSpacing w:val="0"/>
        <w:rPr>
          <w:rFonts w:cs="Times New Roman"/>
          <w:b/>
          <w:szCs w:val="24"/>
        </w:rPr>
      </w:pPr>
      <w:r w:rsidRPr="00184A3D">
        <w:rPr>
          <w:rFonts w:cs="Times New Roman"/>
          <w:b/>
          <w:szCs w:val="24"/>
        </w:rPr>
        <w:t xml:space="preserve">Figure S2. </w:t>
      </w:r>
      <w:r w:rsidR="00390E6F">
        <w:rPr>
          <w:rFonts w:cs="Times New Roman"/>
          <w:b/>
          <w:szCs w:val="24"/>
        </w:rPr>
        <w:t>MIIA predictions of full interaction coefficient matrices for binary and ternary communities</w:t>
      </w:r>
      <w:r w:rsidR="00184A3D" w:rsidRPr="00184A3D">
        <w:rPr>
          <w:rFonts w:cs="Times New Roman"/>
          <w:b/>
          <w:szCs w:val="24"/>
        </w:rPr>
        <w:t>.</w:t>
      </w:r>
      <w:r w:rsidR="00184A3D" w:rsidRPr="00184A3D">
        <w:rPr>
          <w:rFonts w:cs="Times New Roman"/>
          <w:szCs w:val="24"/>
        </w:rPr>
        <w:t xml:space="preserve"> </w:t>
      </w:r>
      <w:r w:rsidR="00184A3D">
        <w:rPr>
          <w:rFonts w:cs="Times New Roman"/>
          <w:szCs w:val="24"/>
        </w:rPr>
        <w:t>True i</w:t>
      </w:r>
      <w:r w:rsidR="00184A3D" w:rsidRPr="00184A3D">
        <w:rPr>
          <w:rFonts w:cs="Times New Roman"/>
          <w:szCs w:val="24"/>
        </w:rPr>
        <w:t>nteraction coefficient matrices</w:t>
      </w:r>
      <w:r w:rsidR="00FD6349">
        <w:rPr>
          <w:rFonts w:cs="Times New Roman"/>
          <w:szCs w:val="24"/>
        </w:rPr>
        <w:t xml:space="preserve"> for binary (</w:t>
      </w:r>
      <w:r w:rsidR="00FD6349" w:rsidRPr="00FD6349">
        <w:rPr>
          <w:rFonts w:cs="Times New Roman"/>
          <w:position w:val="-14"/>
          <w:szCs w:val="24"/>
        </w:rPr>
        <w:object w:dxaOrig="360" w:dyaOrig="400" w14:anchorId="26202652">
          <v:shape id="_x0000_i1059" type="#_x0000_t75" style="width:18.2pt;height:19.95pt" o:ole="">
            <v:imagedata r:id="rId34" o:title=""/>
          </v:shape>
          <o:OLEObject Type="Embed" ProgID="Equation.DSMT4" ShapeID="_x0000_i1059" DrawAspect="Content" ObjectID="_1618146870" r:id="rId35"/>
        </w:object>
      </w:r>
      <w:r w:rsidR="00FD6349">
        <w:rPr>
          <w:rFonts w:cs="Times New Roman"/>
          <w:szCs w:val="24"/>
        </w:rPr>
        <w:t>) and ternary (</w:t>
      </w:r>
      <w:r w:rsidR="00FD6349" w:rsidRPr="00FD6349">
        <w:rPr>
          <w:rFonts w:cs="Times New Roman"/>
          <w:position w:val="-14"/>
          <w:szCs w:val="24"/>
        </w:rPr>
        <w:object w:dxaOrig="360" w:dyaOrig="400" w14:anchorId="3C8793C3">
          <v:shape id="_x0000_i1060" type="#_x0000_t75" style="width:18.2pt;height:19.95pt" o:ole="">
            <v:imagedata r:id="rId36" o:title=""/>
          </v:shape>
          <o:OLEObject Type="Embed" ProgID="Equation.DSMT4" ShapeID="_x0000_i1060" DrawAspect="Content" ObjectID="_1618146871" r:id="rId37"/>
        </w:object>
      </w:r>
      <w:r w:rsidR="00FD6349">
        <w:rPr>
          <w:rFonts w:cs="Times New Roman"/>
          <w:szCs w:val="24"/>
        </w:rPr>
        <w:t>) communities</w:t>
      </w:r>
      <w:r w:rsidR="00FD6349">
        <w:rPr>
          <w:rFonts w:cs="Times New Roman"/>
          <w:szCs w:val="24"/>
        </w:rPr>
        <w:t xml:space="preserve"> </w:t>
      </w:r>
      <w:r w:rsidR="00184A3D" w:rsidRPr="00184A3D">
        <w:rPr>
          <w:rFonts w:cs="Times New Roman"/>
          <w:szCs w:val="24"/>
        </w:rPr>
        <w:t>in (a) and (b)</w:t>
      </w:r>
      <w:r w:rsidR="00184A3D">
        <w:rPr>
          <w:rFonts w:cs="Times New Roman"/>
          <w:szCs w:val="24"/>
        </w:rPr>
        <w:t xml:space="preserve"> were chosen from </w:t>
      </w:r>
      <w:r w:rsidR="00184A3D" w:rsidRPr="00184A3D">
        <w:rPr>
          <w:rFonts w:cs="Times New Roman"/>
          <w:i/>
          <w:szCs w:val="24"/>
        </w:rPr>
        <w:t>in silico</w:t>
      </w:r>
      <w:r w:rsidR="00184A3D">
        <w:rPr>
          <w:rFonts w:cs="Times New Roman"/>
          <w:szCs w:val="24"/>
        </w:rPr>
        <w:t xml:space="preserve"> samples generated with </w:t>
      </w:r>
      <w:r w:rsidR="00F728B6" w:rsidRPr="00F728B6">
        <w:rPr>
          <w:rFonts w:cs="Times New Roman"/>
          <w:noProof/>
          <w:position w:val="-10"/>
          <w:szCs w:val="24"/>
        </w:rPr>
        <w:object w:dxaOrig="760" w:dyaOrig="320" w14:anchorId="3EE924ED">
          <v:shape id="_x0000_i1038" type="#_x0000_t75" alt="" style="width:38.15pt;height:16.5pt;mso-width-percent:0;mso-height-percent:0;mso-width-percent:0;mso-height-percent:0" o:ole="">
            <v:imagedata r:id="rId38" o:title=""/>
          </v:shape>
          <o:OLEObject Type="Embed" ProgID="Equation.DSMT4" ShapeID="_x0000_i1038" DrawAspect="Content" ObjectID="_1618146872" r:id="rId39"/>
        </w:object>
      </w:r>
      <w:r w:rsidR="00184A3D">
        <w:rPr>
          <w:rFonts w:cs="Times New Roman"/>
          <w:szCs w:val="24"/>
        </w:rPr>
        <w:t xml:space="preserve"> and 0.2 respectively, as described in Methods</w:t>
      </w:r>
      <w:r w:rsidR="00390E6F">
        <w:rPr>
          <w:rFonts w:cs="Times New Roman"/>
          <w:szCs w:val="24"/>
        </w:rPr>
        <w:t>: (a</w:t>
      </w:r>
      <w:proofErr w:type="gramStart"/>
      <w:r w:rsidR="00390E6F">
        <w:rPr>
          <w:rFonts w:cs="Times New Roman"/>
          <w:szCs w:val="24"/>
        </w:rPr>
        <w:t xml:space="preserve">) </w:t>
      </w:r>
      <w:proofErr w:type="gramEnd"/>
      <w:r w:rsidR="00390E6F" w:rsidRPr="00F728B6">
        <w:rPr>
          <w:rFonts w:cs="Times New Roman"/>
          <w:noProof/>
          <w:position w:val="-16"/>
          <w:szCs w:val="24"/>
        </w:rPr>
        <w:object w:dxaOrig="1800" w:dyaOrig="440" w14:anchorId="3CB1CE5C">
          <v:shape id="_x0000_i1062" type="#_x0000_t75" alt="" style="width:90.2pt;height:22.1pt;mso-width-percent:0;mso-height-percent:0;mso-width-percent:0;mso-height-percent:0" o:ole="">
            <v:imagedata r:id="rId40" o:title=""/>
          </v:shape>
          <o:OLEObject Type="Embed" ProgID="Equation.DSMT4" ShapeID="_x0000_i1062" DrawAspect="Content" ObjectID="_1618146873" r:id="rId41"/>
        </w:object>
      </w:r>
      <w:r w:rsidR="00914139">
        <w:rPr>
          <w:rFonts w:cs="Times New Roman"/>
          <w:noProof/>
          <w:szCs w:val="24"/>
        </w:rPr>
        <w:t xml:space="preserve">; </w:t>
      </w:r>
      <w:r w:rsidR="00390E6F">
        <w:rPr>
          <w:rFonts w:cs="Times New Roman"/>
          <w:noProof/>
          <w:szCs w:val="24"/>
        </w:rPr>
        <w:t>(b)</w:t>
      </w:r>
      <w:r w:rsidR="00390E6F">
        <w:rPr>
          <w:rFonts w:cs="Times New Roman"/>
          <w:noProof/>
          <w:szCs w:val="24"/>
        </w:rPr>
        <w:t xml:space="preserve"> </w:t>
      </w:r>
      <w:r w:rsidR="00390E6F" w:rsidRPr="00F728B6">
        <w:rPr>
          <w:rFonts w:cs="Times New Roman"/>
          <w:noProof/>
          <w:position w:val="-16"/>
          <w:szCs w:val="24"/>
        </w:rPr>
        <w:object w:dxaOrig="1800" w:dyaOrig="440" w14:anchorId="10CC9C02">
          <v:shape id="_x0000_i1063" type="#_x0000_t75" alt="" style="width:90.2pt;height:22.1pt;mso-width-percent:0;mso-height-percent:0;mso-width-percent:0;mso-height-percent:0" o:ole="">
            <v:imagedata r:id="rId42" o:title=""/>
          </v:shape>
          <o:OLEObject Type="Embed" ProgID="Equation.DSMT4" ShapeID="_x0000_i1063" DrawAspect="Content" ObjectID="_1618146874" r:id="rId43"/>
        </w:object>
      </w:r>
      <w:r w:rsidR="00184A3D">
        <w:rPr>
          <w:rFonts w:cs="Times New Roman"/>
          <w:szCs w:val="24"/>
        </w:rPr>
        <w:t xml:space="preserve">. </w:t>
      </w:r>
      <w:r w:rsidR="00390E6F">
        <w:rPr>
          <w:rFonts w:cs="Times New Roman"/>
          <w:szCs w:val="24"/>
        </w:rPr>
        <w:t xml:space="preserve">The MIIA showed accurate predictions for both binary and ternary communities as </w:t>
      </w:r>
      <w:r w:rsidR="00390E6F">
        <w:rPr>
          <w:rFonts w:cs="Times New Roman"/>
          <w:szCs w:val="24"/>
        </w:rPr>
        <w:t>measured by cosine similarit</w:t>
      </w:r>
      <w:r w:rsidR="00390E6F">
        <w:rPr>
          <w:rFonts w:cs="Times New Roman"/>
          <w:szCs w:val="24"/>
        </w:rPr>
        <w:t xml:space="preserve">ies: (a) </w:t>
      </w:r>
      <w:r w:rsidR="00F728B6" w:rsidRPr="00F728B6">
        <w:rPr>
          <w:rFonts w:cs="Times New Roman"/>
          <w:noProof/>
          <w:position w:val="-16"/>
          <w:szCs w:val="24"/>
        </w:rPr>
        <w:object w:dxaOrig="1760" w:dyaOrig="440" w14:anchorId="3B5690B7">
          <v:shape id="_x0000_i1039" type="#_x0000_t75" alt="" style="width:88.5pt;height:22.1pt;mso-width-percent:0;mso-height-percent:0;mso-width-percent:0;mso-height-percent:0" o:ole="">
            <v:imagedata r:id="rId44" o:title=""/>
          </v:shape>
          <o:OLEObject Type="Embed" ProgID="Equation.DSMT4" ShapeID="_x0000_i1039" DrawAspect="Content" ObjectID="_1618146875" r:id="rId45"/>
        </w:object>
      </w:r>
      <w:r w:rsidR="00390E6F">
        <w:rPr>
          <w:rFonts w:cs="Times New Roman"/>
          <w:noProof/>
          <w:szCs w:val="24"/>
        </w:rPr>
        <w:t xml:space="preserve"> and </w:t>
      </w:r>
      <w:r w:rsidR="00390E6F" w:rsidRPr="00F728B6">
        <w:rPr>
          <w:rFonts w:cs="Times New Roman"/>
          <w:noProof/>
          <w:position w:val="-16"/>
          <w:szCs w:val="24"/>
        </w:rPr>
        <w:object w:dxaOrig="1800" w:dyaOrig="440" w14:anchorId="5AF3D528">
          <v:shape id="_x0000_i1061" type="#_x0000_t75" alt="" style="width:90.2pt;height:22.1pt" o:ole="">
            <v:imagedata r:id="rId46" o:title=""/>
          </v:shape>
          <o:OLEObject Type="Embed" ProgID="Equation.DSMT4" ShapeID="_x0000_i1061" DrawAspect="Content" ObjectID="_1618146876" r:id="rId47"/>
        </w:object>
      </w:r>
      <w:r w:rsidR="00914139">
        <w:rPr>
          <w:rFonts w:cs="Times New Roman"/>
          <w:noProof/>
          <w:szCs w:val="24"/>
        </w:rPr>
        <w:t>;</w:t>
      </w:r>
      <w:r w:rsidR="00390E6F">
        <w:rPr>
          <w:rFonts w:cs="Times New Roman"/>
          <w:noProof/>
          <w:szCs w:val="24"/>
        </w:rPr>
        <w:t xml:space="preserve"> (b) </w:t>
      </w:r>
      <w:r w:rsidR="00390E6F" w:rsidRPr="00F728B6">
        <w:rPr>
          <w:rFonts w:cs="Times New Roman"/>
          <w:noProof/>
          <w:position w:val="-16"/>
          <w:szCs w:val="24"/>
        </w:rPr>
        <w:object w:dxaOrig="1760" w:dyaOrig="440" w14:anchorId="558A6F09">
          <v:shape id="_x0000_i1064" type="#_x0000_t75" alt="" style="width:88.5pt;height:22.1pt;mso-width-percent:0;mso-height-percent:0;mso-width-percent:0;mso-height-percent:0" o:ole="">
            <v:imagedata r:id="rId44" o:title=""/>
          </v:shape>
          <o:OLEObject Type="Embed" ProgID="Equation.DSMT4" ShapeID="_x0000_i1064" DrawAspect="Content" ObjectID="_1618146877" r:id="rId48"/>
        </w:object>
      </w:r>
      <w:r w:rsidR="00390E6F">
        <w:rPr>
          <w:rFonts w:cs="Times New Roman"/>
          <w:noProof/>
          <w:szCs w:val="24"/>
        </w:rPr>
        <w:t xml:space="preserve"> and </w:t>
      </w:r>
      <w:r w:rsidR="00914139" w:rsidRPr="00F728B6">
        <w:rPr>
          <w:rFonts w:cs="Times New Roman"/>
          <w:noProof/>
          <w:position w:val="-16"/>
          <w:szCs w:val="24"/>
        </w:rPr>
        <w:object w:dxaOrig="1800" w:dyaOrig="440" w14:anchorId="3AD2873C">
          <v:shape id="_x0000_i1065" type="#_x0000_t75" alt="" style="width:90.2pt;height:22.1pt" o:ole="">
            <v:imagedata r:id="rId49" o:title=""/>
          </v:shape>
          <o:OLEObject Type="Embed" ProgID="Equation.DSMT4" ShapeID="_x0000_i1065" DrawAspect="Content" ObjectID="_1618146878" r:id="rId50"/>
        </w:object>
      </w:r>
      <w:r w:rsidR="00FD6349">
        <w:rPr>
          <w:rFonts w:cs="Times New Roman"/>
          <w:noProof/>
          <w:szCs w:val="24"/>
        </w:rPr>
        <w:t>.</w:t>
      </w:r>
      <w:r w:rsidR="00184A3D">
        <w:rPr>
          <w:rFonts w:cs="Times New Roman"/>
          <w:szCs w:val="24"/>
        </w:rPr>
        <w:t xml:space="preserve"> </w:t>
      </w:r>
    </w:p>
    <w:p w14:paraId="44B0B44E" w14:textId="75B926CA" w:rsidR="00D10A12" w:rsidRPr="00CD556F" w:rsidRDefault="00D10A12" w:rsidP="00D10A12">
      <w:pPr>
        <w:spacing w:after="200"/>
        <w:contextualSpacing w:val="0"/>
        <w:rPr>
          <w:rFonts w:cs="Times New Roman"/>
          <w:szCs w:val="24"/>
        </w:rPr>
      </w:pPr>
    </w:p>
    <w:p w14:paraId="4A01E855" w14:textId="70023C5B" w:rsidR="00B50BF4" w:rsidRPr="00CD556F" w:rsidRDefault="00495CD5" w:rsidP="00B50BF4">
      <w:pPr>
        <w:jc w:val="center"/>
        <w:rPr>
          <w:rFonts w:cs="Times New Roman"/>
          <w:szCs w:val="24"/>
        </w:rPr>
      </w:pPr>
      <w:r>
        <w:rPr>
          <w:noProof/>
        </w:rPr>
        <w:lastRenderedPageBreak/>
        <w:drawing>
          <wp:inline distT="0" distB="0" distL="0" distR="0" wp14:anchorId="20D26DC4" wp14:editId="67809638">
            <wp:extent cx="5943600" cy="2903220"/>
            <wp:effectExtent l="0" t="0" r="0" b="0"/>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51"/>
                    <a:stretch>
                      <a:fillRect/>
                    </a:stretch>
                  </pic:blipFill>
                  <pic:spPr>
                    <a:xfrm>
                      <a:off x="0" y="0"/>
                      <a:ext cx="5943600" cy="2903220"/>
                    </a:xfrm>
                    <a:prstGeom prst="rect">
                      <a:avLst/>
                    </a:prstGeom>
                  </pic:spPr>
                </pic:pic>
              </a:graphicData>
            </a:graphic>
          </wp:inline>
        </w:drawing>
      </w:r>
    </w:p>
    <w:p w14:paraId="463AD01B" w14:textId="492B0FD1" w:rsidR="00B468AA" w:rsidRPr="006E46F8" w:rsidRDefault="005C5408" w:rsidP="006E46F8">
      <w:pPr>
        <w:autoSpaceDE w:val="0"/>
        <w:autoSpaceDN w:val="0"/>
        <w:adjustRightInd w:val="0"/>
        <w:contextualSpacing w:val="0"/>
        <w:rPr>
          <w:rFonts w:cs="Times New Roman"/>
          <w:b/>
          <w:szCs w:val="24"/>
        </w:rPr>
      </w:pPr>
      <w:r>
        <w:rPr>
          <w:rFonts w:cs="Times New Roman"/>
          <w:b/>
          <w:szCs w:val="24"/>
        </w:rPr>
        <w:t>Figure</w:t>
      </w:r>
      <w:r w:rsidR="00B50BF4" w:rsidRPr="00CD556F">
        <w:rPr>
          <w:rFonts w:cs="Times New Roman"/>
          <w:b/>
          <w:szCs w:val="24"/>
        </w:rPr>
        <w:t xml:space="preserve"> S</w:t>
      </w:r>
      <w:r w:rsidR="004A52C0">
        <w:rPr>
          <w:rFonts w:cs="Times New Roman"/>
          <w:b/>
          <w:szCs w:val="24"/>
        </w:rPr>
        <w:t>3</w:t>
      </w:r>
      <w:r w:rsidR="00D10A12" w:rsidRPr="00CD556F">
        <w:rPr>
          <w:rFonts w:cs="Times New Roman"/>
          <w:b/>
          <w:szCs w:val="24"/>
        </w:rPr>
        <w:t>.</w:t>
      </w:r>
      <w:r w:rsidR="00B468AA" w:rsidRPr="00CD556F">
        <w:rPr>
          <w:rFonts w:cs="Times New Roman"/>
          <w:b/>
          <w:szCs w:val="24"/>
        </w:rPr>
        <w:t xml:space="preserve"> </w:t>
      </w:r>
      <w:r w:rsidR="00FD466C" w:rsidRPr="00CD556F">
        <w:rPr>
          <w:rFonts w:cs="Times New Roman"/>
          <w:b/>
          <w:szCs w:val="24"/>
        </w:rPr>
        <w:t>Example comparison of MIIA prediction</w:t>
      </w:r>
      <w:r w:rsidR="006E46F8">
        <w:rPr>
          <w:rFonts w:cs="Times New Roman"/>
          <w:b/>
          <w:szCs w:val="24"/>
        </w:rPr>
        <w:t xml:space="preserve"> </w:t>
      </w:r>
      <w:r w:rsidR="00FD466C" w:rsidRPr="00CD556F">
        <w:rPr>
          <w:rFonts w:cs="Times New Roman"/>
          <w:b/>
          <w:szCs w:val="24"/>
        </w:rPr>
        <w:t xml:space="preserve">with member dependence-neglected estimation for a </w:t>
      </w:r>
      <w:r w:rsidR="00886F16">
        <w:rPr>
          <w:rFonts w:cs="Times New Roman"/>
          <w:b/>
          <w:szCs w:val="24"/>
        </w:rPr>
        <w:t xml:space="preserve">five member </w:t>
      </w:r>
      <w:r w:rsidR="00FD466C" w:rsidRPr="00CD556F">
        <w:rPr>
          <w:rFonts w:cs="Times New Roman"/>
          <w:b/>
          <w:szCs w:val="24"/>
        </w:rPr>
        <w:t>community:</w:t>
      </w:r>
      <w:r w:rsidR="00FD466C" w:rsidRPr="00CD556F">
        <w:rPr>
          <w:rFonts w:cs="Times New Roman"/>
          <w:szCs w:val="24"/>
        </w:rPr>
        <w:t xml:space="preserve"> (a) </w:t>
      </w:r>
      <w:r w:rsidR="00F728B6" w:rsidRPr="00F728B6">
        <w:rPr>
          <w:rFonts w:cs="Times New Roman"/>
          <w:noProof/>
          <w:position w:val="-6"/>
          <w:szCs w:val="24"/>
        </w:rPr>
        <w:object w:dxaOrig="300" w:dyaOrig="320" w14:anchorId="234AF5BA">
          <v:shape id="_x0000_i1040" type="#_x0000_t75" alt="" style="width:14.75pt;height:15.6pt;mso-width-percent:0;mso-height-percent:0;mso-width-percent:0;mso-height-percent:0" o:ole="">
            <v:imagedata r:id="rId52" o:title=""/>
          </v:shape>
          <o:OLEObject Type="Embed" ProgID="Equation.DSMT4" ShapeID="_x0000_i1040" DrawAspect="Content" ObjectID="_1618146879" r:id="rId53"/>
        </w:object>
      </w:r>
      <w:r w:rsidR="00FD466C" w:rsidRPr="00CD556F">
        <w:rPr>
          <w:rFonts w:cs="Times New Roman"/>
          <w:szCs w:val="24"/>
        </w:rPr>
        <w:t xml:space="preserve"> vs. </w:t>
      </w:r>
      <w:r w:rsidR="00F728B6" w:rsidRPr="00F728B6">
        <w:rPr>
          <w:rFonts w:cs="Times New Roman"/>
          <w:noProof/>
          <w:position w:val="-6"/>
          <w:szCs w:val="24"/>
        </w:rPr>
        <w:object w:dxaOrig="300" w:dyaOrig="320" w14:anchorId="6FC3E649">
          <v:shape id="_x0000_i1041" type="#_x0000_t75" alt="" style="width:14.75pt;height:15.6pt;mso-width-percent:0;mso-height-percent:0;mso-width-percent:0;mso-height-percent:0" o:ole="">
            <v:imagedata r:id="rId54" o:title=""/>
          </v:shape>
          <o:OLEObject Type="Embed" ProgID="Equation.DSMT4" ShapeID="_x0000_i1041" DrawAspect="Content" ObjectID="_1618146880" r:id="rId55"/>
        </w:object>
      </w:r>
      <w:r w:rsidR="00FD466C" w:rsidRPr="00CD556F">
        <w:rPr>
          <w:rFonts w:cs="Times New Roman"/>
          <w:szCs w:val="24"/>
        </w:rPr>
        <w:t xml:space="preserve"> and (b) </w:t>
      </w:r>
      <w:r w:rsidR="00F728B6" w:rsidRPr="00F728B6">
        <w:rPr>
          <w:rFonts w:cs="Times New Roman"/>
          <w:noProof/>
          <w:position w:val="-6"/>
          <w:szCs w:val="24"/>
        </w:rPr>
        <w:object w:dxaOrig="300" w:dyaOrig="320" w14:anchorId="3E36018F">
          <v:shape id="_x0000_i1042" type="#_x0000_t75" alt="" style="width:14.75pt;height:15.6pt;mso-width-percent:0;mso-height-percent:0;mso-width-percent:0;mso-height-percent:0" o:ole="">
            <v:imagedata r:id="rId56" o:title=""/>
          </v:shape>
          <o:OLEObject Type="Embed" ProgID="Equation.DSMT4" ShapeID="_x0000_i1042" DrawAspect="Content" ObjectID="_1618146881" r:id="rId57"/>
        </w:object>
      </w:r>
      <w:r w:rsidR="00FD466C" w:rsidRPr="00CD556F">
        <w:rPr>
          <w:rFonts w:cs="Times New Roman"/>
          <w:szCs w:val="24"/>
        </w:rPr>
        <w:t xml:space="preserve"> vs. </w:t>
      </w:r>
      <w:r w:rsidR="00F728B6" w:rsidRPr="00F728B6">
        <w:rPr>
          <w:rFonts w:cs="Times New Roman"/>
          <w:noProof/>
          <w:position w:val="-6"/>
          <w:szCs w:val="24"/>
        </w:rPr>
        <w:object w:dxaOrig="300" w:dyaOrig="320" w14:anchorId="17D17F19">
          <v:shape id="_x0000_i1043" type="#_x0000_t75" alt="" style="width:14.75pt;height:15.6pt;mso-width-percent:0;mso-height-percent:0;mso-width-percent:0;mso-height-percent:0" o:ole="">
            <v:imagedata r:id="rId58" o:title=""/>
          </v:shape>
          <o:OLEObject Type="Embed" ProgID="Equation.DSMT4" ShapeID="_x0000_i1043" DrawAspect="Content" ObjectID="_1618146882" r:id="rId59"/>
        </w:object>
      </w:r>
      <w:r w:rsidR="00FD466C" w:rsidRPr="00CD556F">
        <w:rPr>
          <w:rFonts w:cs="Times New Roman"/>
          <w:szCs w:val="24"/>
        </w:rPr>
        <w:t xml:space="preserve"> (where </w:t>
      </w:r>
      <w:r w:rsidR="00F728B6" w:rsidRPr="00F728B6">
        <w:rPr>
          <w:rFonts w:cs="Times New Roman"/>
          <w:noProof/>
          <w:position w:val="-6"/>
          <w:szCs w:val="24"/>
        </w:rPr>
        <w:object w:dxaOrig="300" w:dyaOrig="320" w14:anchorId="4327F3DD">
          <v:shape id="_x0000_i1044" type="#_x0000_t75" alt="" style="width:14.75pt;height:15.6pt;mso-width-percent:0;mso-height-percent:0;mso-width-percent:0;mso-height-percent:0" o:ole="">
            <v:imagedata r:id="rId60" o:title=""/>
          </v:shape>
          <o:OLEObject Type="Embed" ProgID="Equation.DSMT4" ShapeID="_x0000_i1044" DrawAspect="Content" ObjectID="_1618146883" r:id="rId61"/>
        </w:object>
      </w:r>
      <w:r w:rsidR="00FD466C" w:rsidRPr="00CD556F">
        <w:rPr>
          <w:rFonts w:cs="Times New Roman"/>
          <w:szCs w:val="24"/>
        </w:rPr>
        <w:t xml:space="preserve"> and </w:t>
      </w:r>
      <w:r w:rsidR="00F728B6" w:rsidRPr="00F728B6">
        <w:rPr>
          <w:rFonts w:cs="Times New Roman"/>
          <w:noProof/>
          <w:position w:val="-6"/>
          <w:szCs w:val="24"/>
        </w:rPr>
        <w:object w:dxaOrig="300" w:dyaOrig="320" w14:anchorId="7C19B1E2">
          <v:shape id="_x0000_i1045" type="#_x0000_t75" alt="" style="width:14.75pt;height:15.6pt;mso-width-percent:0;mso-height-percent:0;mso-width-percent:0;mso-height-percent:0" o:ole="">
            <v:imagedata r:id="rId62" o:title=""/>
          </v:shape>
          <o:OLEObject Type="Embed" ProgID="Equation.DSMT4" ShapeID="_x0000_i1045" DrawAspect="Content" ObjectID="_1618146884" r:id="rId63"/>
        </w:object>
      </w:r>
      <w:r w:rsidR="00FD466C" w:rsidRPr="00CD556F">
        <w:rPr>
          <w:rFonts w:cs="Times New Roman"/>
          <w:szCs w:val="24"/>
        </w:rPr>
        <w:t xml:space="preserve">denote interaction coefficients predicted by neglecting and accounting for member dependence, respectively; </w:t>
      </w:r>
      <w:r w:rsidR="00F728B6" w:rsidRPr="00F728B6">
        <w:rPr>
          <w:rFonts w:cs="Times New Roman"/>
          <w:noProof/>
          <w:position w:val="-6"/>
          <w:szCs w:val="24"/>
        </w:rPr>
        <w:object w:dxaOrig="300" w:dyaOrig="320" w14:anchorId="757C745E">
          <v:shape id="_x0000_i1046" type="#_x0000_t75" alt="" style="width:14.75pt;height:15.6pt;mso-width-percent:0;mso-height-percent:0;mso-width-percent:0;mso-height-percent:0" o:ole="">
            <v:imagedata r:id="rId64" o:title=""/>
          </v:shape>
          <o:OLEObject Type="Embed" ProgID="Equation.DSMT4" ShapeID="_x0000_i1046" DrawAspect="Content" ObjectID="_1618146885" r:id="rId65"/>
        </w:object>
      </w:r>
      <w:r w:rsidR="00FD466C" w:rsidRPr="00CD556F">
        <w:rPr>
          <w:rFonts w:cs="Times New Roman"/>
          <w:szCs w:val="24"/>
        </w:rPr>
        <w:t xml:space="preserve"> denotes true values of interaction coefficients). </w:t>
      </w:r>
      <w:r w:rsidR="00F728B6" w:rsidRPr="00F728B6">
        <w:rPr>
          <w:rFonts w:cs="Times New Roman"/>
          <w:noProof/>
          <w:position w:val="-12"/>
          <w:szCs w:val="24"/>
        </w:rPr>
        <w:object w:dxaOrig="300" w:dyaOrig="360" w14:anchorId="519F405A">
          <v:shape id="_x0000_i1047" type="#_x0000_t75" alt="" style="width:14.75pt;height:18.2pt;mso-width-percent:0;mso-height-percent:0;mso-width-percent:0;mso-height-percent:0" o:ole="">
            <v:imagedata r:id="rId66" o:title=""/>
          </v:shape>
          <o:OLEObject Type="Embed" ProgID="Equation.DSMT4" ShapeID="_x0000_i1047" DrawAspect="Content" ObjectID="_1618146886" r:id="rId67"/>
        </w:object>
      </w:r>
      <w:r w:rsidR="00FD466C" w:rsidRPr="00CD556F">
        <w:rPr>
          <w:rFonts w:cs="Times New Roman"/>
          <w:szCs w:val="24"/>
        </w:rPr>
        <w:t xml:space="preserve"> </w:t>
      </w:r>
      <w:proofErr w:type="gramStart"/>
      <w:r w:rsidR="00FD466C" w:rsidRPr="00CD556F">
        <w:rPr>
          <w:rFonts w:cs="Times New Roman"/>
          <w:szCs w:val="24"/>
        </w:rPr>
        <w:t>is</w:t>
      </w:r>
      <w:proofErr w:type="gramEnd"/>
      <w:r w:rsidR="00FD466C" w:rsidRPr="00CD556F">
        <w:rPr>
          <w:rFonts w:cs="Times New Roman"/>
          <w:szCs w:val="24"/>
        </w:rPr>
        <w:t xml:space="preserve"> the cosine similarity </w:t>
      </w:r>
      <w:r w:rsidR="006E46F8">
        <w:rPr>
          <w:rFonts w:cs="Times New Roman"/>
          <w:szCs w:val="24"/>
        </w:rPr>
        <w:t xml:space="preserve">(see Methods) </w:t>
      </w:r>
      <w:r w:rsidR="00FD466C" w:rsidRPr="00CD556F">
        <w:rPr>
          <w:rFonts w:cs="Times New Roman"/>
          <w:szCs w:val="24"/>
        </w:rPr>
        <w:t xml:space="preserve">between the interaction coefficients on x- and y-axes. </w:t>
      </w:r>
      <w:r w:rsidR="006E46F8" w:rsidRPr="006E46F8">
        <w:rPr>
          <w:rFonts w:cs="Times New Roman"/>
          <w:szCs w:val="24"/>
        </w:rPr>
        <w:t xml:space="preserve">As </w:t>
      </w:r>
      <w:r w:rsidR="00F728B6" w:rsidRPr="00F728B6">
        <w:rPr>
          <w:rFonts w:cs="Times New Roman"/>
          <w:noProof/>
          <w:position w:val="-16"/>
          <w:szCs w:val="24"/>
        </w:rPr>
        <w:object w:dxaOrig="1140" w:dyaOrig="440" w14:anchorId="2D1E55B3">
          <v:shape id="_x0000_i1048" type="#_x0000_t75" alt="" style="width:56.8pt;height:21.7pt;mso-width-percent:0;mso-height-percent:0;mso-width-percent:0;mso-height-percent:0" o:ole="">
            <v:imagedata r:id="rId68" o:title=""/>
          </v:shape>
          <o:OLEObject Type="Embed" ProgID="Equation.DSMT4" ShapeID="_x0000_i1048" DrawAspect="Content" ObjectID="_1618146887" r:id="rId69"/>
        </w:object>
      </w:r>
      <w:r w:rsidR="006E46F8" w:rsidRPr="006E46F8">
        <w:rPr>
          <w:rFonts w:cs="Times New Roman"/>
          <w:szCs w:val="24"/>
        </w:rPr>
        <w:t>is close to 1</w:t>
      </w:r>
      <w:r w:rsidR="006E46F8">
        <w:rPr>
          <w:rFonts w:cs="Times New Roman"/>
          <w:szCs w:val="24"/>
        </w:rPr>
        <w:t xml:space="preserve"> (results not shown)</w:t>
      </w:r>
      <w:r w:rsidR="006E46F8" w:rsidRPr="006E46F8">
        <w:rPr>
          <w:rFonts w:cs="Times New Roman"/>
          <w:szCs w:val="24"/>
        </w:rPr>
        <w:t xml:space="preserve">, </w:t>
      </w:r>
      <w:r w:rsidR="00FD466C" w:rsidRPr="00CD556F">
        <w:rPr>
          <w:rFonts w:cs="Times New Roman"/>
          <w:szCs w:val="24"/>
        </w:rPr>
        <w:t xml:space="preserve">(a) </w:t>
      </w:r>
      <w:r w:rsidR="006E46F8">
        <w:rPr>
          <w:rFonts w:cs="Times New Roman"/>
          <w:szCs w:val="24"/>
        </w:rPr>
        <w:t xml:space="preserve">also </w:t>
      </w:r>
      <w:r w:rsidR="00FD466C" w:rsidRPr="00CD556F">
        <w:rPr>
          <w:rFonts w:cs="Times New Roman"/>
          <w:szCs w:val="24"/>
        </w:rPr>
        <w:t xml:space="preserve">represents the relationship between </w:t>
      </w:r>
      <w:r w:rsidR="00F728B6" w:rsidRPr="00F728B6">
        <w:rPr>
          <w:rFonts w:cs="Times New Roman"/>
          <w:noProof/>
          <w:position w:val="-6"/>
          <w:szCs w:val="24"/>
        </w:rPr>
        <w:object w:dxaOrig="300" w:dyaOrig="320" w14:anchorId="5AB34518">
          <v:shape id="_x0000_i1049" type="#_x0000_t75" alt="" style="width:14.75pt;height:15.6pt;mso-width-percent:0;mso-height-percent:0;mso-width-percent:0;mso-height-percent:0" o:ole="">
            <v:imagedata r:id="rId70" o:title=""/>
          </v:shape>
          <o:OLEObject Type="Embed" ProgID="Equation.DSMT4" ShapeID="_x0000_i1049" DrawAspect="Content" ObjectID="_1618146888" r:id="rId71"/>
        </w:object>
      </w:r>
      <w:r w:rsidR="00FD466C" w:rsidRPr="00CD556F">
        <w:rPr>
          <w:rFonts w:cs="Times New Roman"/>
          <w:szCs w:val="24"/>
        </w:rPr>
        <w:t xml:space="preserve"> and </w:t>
      </w:r>
      <w:r w:rsidR="00F728B6" w:rsidRPr="00F728B6">
        <w:rPr>
          <w:rFonts w:cs="Times New Roman"/>
          <w:noProof/>
          <w:position w:val="-6"/>
          <w:szCs w:val="24"/>
        </w:rPr>
        <w:object w:dxaOrig="300" w:dyaOrig="320" w14:anchorId="5F49280E">
          <v:shape id="_x0000_i1050" type="#_x0000_t75" alt="" style="width:14.75pt;height:15.6pt;mso-width-percent:0;mso-height-percent:0;mso-width-percent:0;mso-height-percent:0" o:ole="">
            <v:imagedata r:id="rId72" o:title=""/>
          </v:shape>
          <o:OLEObject Type="Embed" ProgID="Equation.DSMT4" ShapeID="_x0000_i1050" DrawAspect="Content" ObjectID="_1618146889" r:id="rId73"/>
        </w:object>
      </w:r>
      <w:r w:rsidR="00FD466C" w:rsidRPr="00CD556F">
        <w:rPr>
          <w:rFonts w:cs="Times New Roman"/>
          <w:szCs w:val="24"/>
        </w:rPr>
        <w:t xml:space="preserve"> (i.e., actual modulation of interactions between binary and complex communities). Four quadrants show how the sign of interactions change between binary and complex communities. </w:t>
      </w:r>
      <w:r w:rsidR="006E46F8">
        <w:rPr>
          <w:rFonts w:cs="Times New Roman"/>
          <w:szCs w:val="24"/>
        </w:rPr>
        <w:t>In (a), o</w:t>
      </w:r>
      <w:r w:rsidR="00FD466C" w:rsidRPr="00CD556F">
        <w:rPr>
          <w:rFonts w:cs="Times New Roman"/>
          <w:szCs w:val="24"/>
        </w:rPr>
        <w:t xml:space="preserve">pen circles on Quadrants (I) and (III) represent interaction coefficients, the sign of which were conserved from binary to complex communities. Blue crosses on Quadrant (II) and red triangles on Quadrant (IV) represent the cases where the sign of interaction coefficients were changed from plus to minus, from minus to plus, respectively. </w:t>
      </w:r>
      <w:r w:rsidR="006E46F8">
        <w:rPr>
          <w:rFonts w:cs="Times New Roman"/>
          <w:szCs w:val="24"/>
        </w:rPr>
        <w:t xml:space="preserve">As shown in (b), </w:t>
      </w:r>
      <w:r w:rsidR="00B468AA" w:rsidRPr="006E46F8">
        <w:rPr>
          <w:rFonts w:cs="Times New Roman"/>
          <w:szCs w:val="24"/>
        </w:rPr>
        <w:t xml:space="preserve">MIIA provides better </w:t>
      </w:r>
      <w:r w:rsidR="006E46F8">
        <w:rPr>
          <w:rFonts w:cs="Times New Roman"/>
          <w:szCs w:val="24"/>
        </w:rPr>
        <w:t xml:space="preserve">prediction </w:t>
      </w:r>
      <w:r w:rsidR="00B468AA" w:rsidRPr="006E46F8">
        <w:rPr>
          <w:rFonts w:cs="Times New Roman"/>
          <w:szCs w:val="24"/>
        </w:rPr>
        <w:t xml:space="preserve">for interactions that change direction based on the addition of new members. It needs to be noted, however, that three interaction coefficients on the fourth quadrant </w:t>
      </w:r>
      <w:r w:rsidR="006E46F8">
        <w:rPr>
          <w:rFonts w:cs="Times New Roman"/>
          <w:szCs w:val="24"/>
        </w:rPr>
        <w:t xml:space="preserve">(i.e., two circles and one triangle) </w:t>
      </w:r>
      <w:r w:rsidR="00B468AA" w:rsidRPr="006E46F8">
        <w:rPr>
          <w:rFonts w:cs="Times New Roman"/>
          <w:szCs w:val="24"/>
        </w:rPr>
        <w:t xml:space="preserve">are small in their magnitudes (either actual or estimated magnitudes), implying that </w:t>
      </w:r>
      <w:r w:rsidR="00886F16" w:rsidRPr="006E46F8">
        <w:rPr>
          <w:rFonts w:cs="Times New Roman"/>
          <w:szCs w:val="24"/>
        </w:rPr>
        <w:t xml:space="preserve">the sign change </w:t>
      </w:r>
      <w:r w:rsidR="00886F16" w:rsidRPr="00886F16">
        <w:rPr>
          <w:rFonts w:cs="Times New Roman"/>
          <w:i/>
          <w:szCs w:val="24"/>
        </w:rPr>
        <w:t>per se</w:t>
      </w:r>
      <w:r w:rsidR="00886F16">
        <w:rPr>
          <w:rFonts w:cs="Times New Roman"/>
          <w:szCs w:val="24"/>
        </w:rPr>
        <w:t xml:space="preserve"> </w:t>
      </w:r>
      <w:r w:rsidR="00B468AA" w:rsidRPr="006E46F8">
        <w:rPr>
          <w:rFonts w:cs="Times New Roman"/>
          <w:szCs w:val="24"/>
        </w:rPr>
        <w:t xml:space="preserve">may </w:t>
      </w:r>
      <w:r w:rsidR="00886F16">
        <w:rPr>
          <w:rFonts w:cs="Times New Roman"/>
          <w:szCs w:val="24"/>
        </w:rPr>
        <w:t>not correctly evaluate the prediction of MIIA</w:t>
      </w:r>
      <w:r w:rsidR="00B468AA" w:rsidRPr="006E46F8">
        <w:rPr>
          <w:rFonts w:cs="Times New Roman"/>
          <w:szCs w:val="24"/>
        </w:rPr>
        <w:t>.</w:t>
      </w:r>
    </w:p>
    <w:p w14:paraId="594E83BC" w14:textId="77777777" w:rsidR="00B468AA" w:rsidRPr="006E46F8" w:rsidRDefault="00B468AA" w:rsidP="00B468AA">
      <w:pPr>
        <w:autoSpaceDE w:val="0"/>
        <w:autoSpaceDN w:val="0"/>
        <w:adjustRightInd w:val="0"/>
        <w:contextualSpacing w:val="0"/>
        <w:rPr>
          <w:rFonts w:cs="Times New Roman"/>
          <w:szCs w:val="24"/>
        </w:rPr>
      </w:pPr>
    </w:p>
    <w:p w14:paraId="34209AAA" w14:textId="77777777" w:rsidR="00B468AA" w:rsidRPr="006E46F8" w:rsidRDefault="00B468AA" w:rsidP="00B50BF4">
      <w:pPr>
        <w:rPr>
          <w:rFonts w:cs="Times New Roman"/>
          <w:szCs w:val="24"/>
        </w:rPr>
      </w:pPr>
    </w:p>
    <w:p w14:paraId="61DA3DA7" w14:textId="77777777" w:rsidR="00B50BF4" w:rsidRPr="00CD556F" w:rsidRDefault="00B50BF4">
      <w:pPr>
        <w:spacing w:after="200"/>
        <w:contextualSpacing w:val="0"/>
        <w:rPr>
          <w:rFonts w:cs="Times New Roman"/>
          <w:szCs w:val="24"/>
        </w:rPr>
      </w:pPr>
      <w:r w:rsidRPr="00CD556F">
        <w:rPr>
          <w:rFonts w:cs="Times New Roman"/>
          <w:szCs w:val="24"/>
        </w:rPr>
        <w:br w:type="page"/>
      </w:r>
    </w:p>
    <w:p w14:paraId="15363A47" w14:textId="77777777" w:rsidR="00847419" w:rsidRPr="00CD556F" w:rsidRDefault="00847419" w:rsidP="00B50BF4">
      <w:pPr>
        <w:rPr>
          <w:rFonts w:cs="Times New Roman"/>
          <w:szCs w:val="24"/>
        </w:rPr>
        <w:sectPr w:rsidR="00847419" w:rsidRPr="00CD556F" w:rsidSect="0026406E">
          <w:pgSz w:w="12240" w:h="15840"/>
          <w:pgMar w:top="1440" w:right="1440" w:bottom="1440" w:left="1440" w:header="720" w:footer="720" w:gutter="0"/>
          <w:cols w:space="720"/>
          <w:docGrid w:linePitch="360"/>
        </w:sectPr>
      </w:pPr>
    </w:p>
    <w:p w14:paraId="10964E98" w14:textId="0FA6D743" w:rsidR="00B50BF4" w:rsidRPr="00CD556F" w:rsidRDefault="006F3DCB" w:rsidP="00B50BF4">
      <w:pPr>
        <w:spacing w:after="200"/>
        <w:contextualSpacing w:val="0"/>
        <w:rPr>
          <w:rFonts w:cs="Times New Roman"/>
          <w:szCs w:val="24"/>
        </w:rPr>
      </w:pPr>
      <w:r>
        <w:rPr>
          <w:noProof/>
        </w:rPr>
        <w:lastRenderedPageBreak/>
        <w:drawing>
          <wp:inline distT="0" distB="0" distL="0" distR="0" wp14:anchorId="0E9CD3CC" wp14:editId="6B0CC5CE">
            <wp:extent cx="5943600" cy="1859280"/>
            <wp:effectExtent l="0" t="0" r="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4"/>
                    <a:stretch>
                      <a:fillRect/>
                    </a:stretch>
                  </pic:blipFill>
                  <pic:spPr>
                    <a:xfrm>
                      <a:off x="0" y="0"/>
                      <a:ext cx="5943600" cy="1859280"/>
                    </a:xfrm>
                    <a:prstGeom prst="rect">
                      <a:avLst/>
                    </a:prstGeom>
                  </pic:spPr>
                </pic:pic>
              </a:graphicData>
            </a:graphic>
          </wp:inline>
        </w:drawing>
      </w:r>
    </w:p>
    <w:p w14:paraId="6C310BA4" w14:textId="61EA6B04" w:rsidR="00B468AA" w:rsidRDefault="005C5408" w:rsidP="00433B70">
      <w:pPr>
        <w:autoSpaceDE w:val="0"/>
        <w:autoSpaceDN w:val="0"/>
        <w:adjustRightInd w:val="0"/>
        <w:contextualSpacing w:val="0"/>
        <w:rPr>
          <w:rFonts w:cs="Times New Roman"/>
          <w:color w:val="000000"/>
          <w:szCs w:val="24"/>
        </w:rPr>
      </w:pPr>
      <w:r>
        <w:rPr>
          <w:rFonts w:cs="Times New Roman"/>
          <w:b/>
          <w:szCs w:val="24"/>
        </w:rPr>
        <w:t>Figure</w:t>
      </w:r>
      <w:r w:rsidR="00B50BF4" w:rsidRPr="00CD556F">
        <w:rPr>
          <w:rFonts w:cs="Times New Roman"/>
          <w:b/>
          <w:szCs w:val="24"/>
        </w:rPr>
        <w:t xml:space="preserve"> S</w:t>
      </w:r>
      <w:r w:rsidR="004A52C0">
        <w:rPr>
          <w:rFonts w:cs="Times New Roman"/>
          <w:b/>
          <w:szCs w:val="24"/>
        </w:rPr>
        <w:t>4</w:t>
      </w:r>
      <w:r w:rsidR="00D10A12" w:rsidRPr="00CD556F">
        <w:rPr>
          <w:rFonts w:cs="Times New Roman"/>
          <w:b/>
          <w:szCs w:val="24"/>
        </w:rPr>
        <w:t>.</w:t>
      </w:r>
      <w:r w:rsidR="00B468AA" w:rsidRPr="00CD556F">
        <w:rPr>
          <w:rFonts w:cs="Times New Roman"/>
          <w:szCs w:val="24"/>
        </w:rPr>
        <w:t xml:space="preserve"> </w:t>
      </w:r>
      <w:r w:rsidR="00FC713E">
        <w:rPr>
          <w:rFonts w:cs="Times New Roman"/>
          <w:b/>
          <w:szCs w:val="24"/>
        </w:rPr>
        <w:t>P</w:t>
      </w:r>
      <w:r w:rsidR="00AA3BA0" w:rsidRPr="00CD556F">
        <w:rPr>
          <w:rFonts w:cs="Times New Roman"/>
          <w:b/>
          <w:szCs w:val="24"/>
        </w:rPr>
        <w:t xml:space="preserve">rediction of sign change of interaction coefficients </w:t>
      </w:r>
      <w:r w:rsidR="00FC713E">
        <w:rPr>
          <w:rFonts w:cs="Times New Roman"/>
          <w:b/>
          <w:szCs w:val="24"/>
        </w:rPr>
        <w:t xml:space="preserve">from </w:t>
      </w:r>
      <w:r w:rsidR="00AA3BA0" w:rsidRPr="00CD556F">
        <w:rPr>
          <w:rFonts w:cs="Times New Roman"/>
          <w:b/>
          <w:szCs w:val="24"/>
        </w:rPr>
        <w:t xml:space="preserve">MIIA </w:t>
      </w:r>
      <w:r w:rsidR="00FC713E">
        <w:rPr>
          <w:rFonts w:cs="Times New Roman"/>
          <w:b/>
          <w:szCs w:val="24"/>
        </w:rPr>
        <w:t xml:space="preserve">vs. a </w:t>
      </w:r>
      <w:r w:rsidR="00AA3BA0" w:rsidRPr="00CD556F">
        <w:rPr>
          <w:rFonts w:cs="Times New Roman"/>
          <w:b/>
          <w:szCs w:val="24"/>
        </w:rPr>
        <w:t xml:space="preserve">null model. </w:t>
      </w:r>
      <w:r w:rsidR="00AA3BA0" w:rsidRPr="00CD556F">
        <w:rPr>
          <w:rFonts w:cs="Times New Roman"/>
          <w:szCs w:val="24"/>
        </w:rPr>
        <w:t xml:space="preserve">(a) Sensitivity for sign change, (b) specificity for sign change, </w:t>
      </w:r>
      <w:r w:rsidR="00FC713E">
        <w:rPr>
          <w:rFonts w:cs="Times New Roman"/>
          <w:szCs w:val="24"/>
        </w:rPr>
        <w:t xml:space="preserve">and </w:t>
      </w:r>
      <w:r w:rsidR="00AA3BA0" w:rsidRPr="00CD556F">
        <w:rPr>
          <w:rFonts w:cs="Times New Roman"/>
          <w:szCs w:val="24"/>
        </w:rPr>
        <w:t>(c) accuracy for sign change</w:t>
      </w:r>
      <w:r w:rsidR="00FC713E">
        <w:rPr>
          <w:rFonts w:cs="Times New Roman"/>
          <w:szCs w:val="24"/>
        </w:rPr>
        <w:t xml:space="preserve">, which are respectively defined </w:t>
      </w:r>
      <w:r w:rsidR="00F728B6" w:rsidRPr="00F728B6">
        <w:rPr>
          <w:rFonts w:cs="Times New Roman"/>
          <w:noProof/>
          <w:position w:val="-14"/>
          <w:szCs w:val="24"/>
        </w:rPr>
        <w:object w:dxaOrig="1460" w:dyaOrig="400" w14:anchorId="5EB687CF">
          <v:shape id="_x0000_i1051" type="#_x0000_t75" alt="" style="width:73.75pt;height:20.4pt;mso-width-percent:0;mso-height-percent:0;mso-width-percent:0;mso-height-percent:0" o:ole="">
            <v:imagedata r:id="rId75" o:title=""/>
          </v:shape>
          <o:OLEObject Type="Embed" ProgID="Equation.DSMT4" ShapeID="_x0000_i1051" DrawAspect="Content" ObjectID="_1618146890" r:id="rId76"/>
        </w:object>
      </w:r>
      <w:r w:rsidR="00FC713E">
        <w:rPr>
          <w:rFonts w:cs="Times New Roman"/>
          <w:szCs w:val="24"/>
        </w:rPr>
        <w:t xml:space="preserve">, </w:t>
      </w:r>
      <w:r w:rsidR="00F728B6" w:rsidRPr="00F728B6">
        <w:rPr>
          <w:rFonts w:cs="Times New Roman"/>
          <w:noProof/>
          <w:position w:val="-14"/>
          <w:szCs w:val="24"/>
        </w:rPr>
        <w:object w:dxaOrig="1500" w:dyaOrig="400" w14:anchorId="4BBDD974">
          <v:shape id="_x0000_i1052" type="#_x0000_t75" alt="" style="width:74.15pt;height:20.4pt;mso-width-percent:0;mso-height-percent:0;mso-width-percent:0;mso-height-percent:0" o:ole="">
            <v:imagedata r:id="rId77" o:title=""/>
          </v:shape>
          <o:OLEObject Type="Embed" ProgID="Equation.DSMT4" ShapeID="_x0000_i1052" DrawAspect="Content" ObjectID="_1618146891" r:id="rId78"/>
        </w:object>
      </w:r>
      <w:r w:rsidR="00FC713E">
        <w:rPr>
          <w:rFonts w:cs="Times New Roman"/>
          <w:szCs w:val="24"/>
        </w:rPr>
        <w:t xml:space="preserve">, and  </w:t>
      </w:r>
      <w:r w:rsidR="00F728B6" w:rsidRPr="00F728B6">
        <w:rPr>
          <w:rFonts w:cs="Times New Roman"/>
          <w:noProof/>
          <w:position w:val="-14"/>
          <w:szCs w:val="24"/>
        </w:rPr>
        <w:object w:dxaOrig="3240" w:dyaOrig="400" w14:anchorId="6F285C38">
          <v:shape id="_x0000_i1053" type="#_x0000_t75" alt="" style="width:162.2pt;height:20.4pt;mso-width-percent:0;mso-height-percent:0;mso-width-percent:0;mso-height-percent:0" o:ole="">
            <v:imagedata r:id="rId79" o:title=""/>
          </v:shape>
          <o:OLEObject Type="Embed" ProgID="Equation.DSMT4" ShapeID="_x0000_i1053" DrawAspect="Content" ObjectID="_1618146892" r:id="rId80"/>
        </w:object>
      </w:r>
      <w:r w:rsidR="00FC713E">
        <w:rPr>
          <w:rFonts w:cs="Times New Roman"/>
          <w:szCs w:val="24"/>
        </w:rPr>
        <w:t xml:space="preserve"> where TP = true positive, TN = true negative, FP = false positive, and FN = false negative. </w:t>
      </w:r>
      <w:r w:rsidR="00AA3BA0" w:rsidRPr="00CD556F">
        <w:rPr>
          <w:rFonts w:cs="Times New Roman"/>
          <w:szCs w:val="24"/>
        </w:rPr>
        <w:t xml:space="preserve">For each community of a given size (varying from 3 to 15), simulated data were sampled with the level of modulation between binary and complex communities quantified by </w:t>
      </w:r>
      <w:r w:rsidR="00F728B6" w:rsidRPr="00F728B6">
        <w:rPr>
          <w:rFonts w:cs="Times New Roman"/>
          <w:noProof/>
          <w:position w:val="-16"/>
          <w:szCs w:val="24"/>
        </w:rPr>
        <w:object w:dxaOrig="1180" w:dyaOrig="440" w14:anchorId="201C1C47">
          <v:shape id="_x0000_i1054" type="#_x0000_t75" alt="" style="width:59.85pt;height:21.7pt;mso-width-percent:0;mso-height-percent:0;mso-width-percent:0;mso-height-percent:0" o:ole="">
            <v:imagedata r:id="rId81" o:title=""/>
          </v:shape>
          <o:OLEObject Type="Embed" ProgID="Equation.DSMT4" ShapeID="_x0000_i1054" DrawAspect="Content" ObjectID="_1618146893" r:id="rId82"/>
        </w:object>
      </w:r>
      <w:r w:rsidR="00AA3BA0" w:rsidRPr="00CD556F">
        <w:rPr>
          <w:rFonts w:cs="Times New Roman"/>
          <w:szCs w:val="24"/>
        </w:rPr>
        <w:t>varied from 0.05 to 0.55. Lines and colored shades denote average performances and standard deviations. Black line denotes the prediction by null model, and blue and red lines are MIIA predictions for the entire set of interaction coefficients (blue) and a subset that contains only significant modulations (top 70%</w:t>
      </w:r>
      <w:r w:rsidR="00FC713E">
        <w:rPr>
          <w:rFonts w:cs="Times New Roman"/>
          <w:szCs w:val="24"/>
        </w:rPr>
        <w:t xml:space="preserve"> in magnitude or a subset of data chosen with the 30% threshold of the largest magnitude</w:t>
      </w:r>
      <w:r w:rsidR="00AA3BA0" w:rsidRPr="00CD556F">
        <w:rPr>
          <w:rFonts w:cs="Times New Roman"/>
          <w:szCs w:val="24"/>
        </w:rPr>
        <w:t xml:space="preserve">) from binary to complex </w:t>
      </w:r>
      <w:r w:rsidR="00AA3BA0" w:rsidRPr="00FC713E">
        <w:rPr>
          <w:rFonts w:cs="Times New Roman"/>
          <w:szCs w:val="24"/>
        </w:rPr>
        <w:t>communities.</w:t>
      </w:r>
      <w:r w:rsidR="00FC713E" w:rsidRPr="00FC713E">
        <w:rPr>
          <w:rFonts w:cs="Times New Roman"/>
          <w:szCs w:val="24"/>
        </w:rPr>
        <w:t xml:space="preserve"> </w:t>
      </w:r>
      <w:r w:rsidR="00FC713E" w:rsidRPr="00FC713E">
        <w:rPr>
          <w:rFonts w:cs="Times New Roman"/>
          <w:color w:val="000000"/>
          <w:szCs w:val="24"/>
        </w:rPr>
        <w:t>The null model also determines the sign change of interaction coefficients in a similar fashion. If the random number is positive (negative), the case is counted as (no) occurrence of the sign change.</w:t>
      </w:r>
      <w:r w:rsidR="00FC713E">
        <w:rPr>
          <w:rFonts w:cs="Times New Roman"/>
          <w:color w:val="000000"/>
          <w:szCs w:val="24"/>
        </w:rPr>
        <w:t xml:space="preserve"> </w:t>
      </w:r>
      <w:r w:rsidR="00433B70">
        <w:rPr>
          <w:rFonts w:cs="Times New Roman"/>
          <w:color w:val="000000"/>
          <w:szCs w:val="24"/>
        </w:rPr>
        <w:t xml:space="preserve">(a) </w:t>
      </w:r>
      <w:r w:rsidR="00B468AA" w:rsidRPr="00CD556F">
        <w:rPr>
          <w:rFonts w:cs="Times New Roman"/>
          <w:color w:val="000000"/>
          <w:szCs w:val="24"/>
        </w:rPr>
        <w:t xml:space="preserve">shows that the MIIA-based predictions were not effective for predicting the occurrence of sign change as denoted by lower sensitivities because the performance was lower as compared to the null model. The performance of our method was improved when we narrowed down the predictions to the top 70% dominant predicted changes, but the resulting sensitivity was still lower than the null model except for the cases of </w:t>
      </w:r>
      <w:r w:rsidR="006F3DCB">
        <w:rPr>
          <w:rFonts w:cs="Times New Roman"/>
          <w:i/>
          <w:color w:val="000000"/>
          <w:szCs w:val="24"/>
        </w:rPr>
        <w:t>N</w:t>
      </w:r>
      <w:r w:rsidR="00433B70">
        <w:rPr>
          <w:rFonts w:cs="Times New Roman"/>
          <w:color w:val="000000"/>
          <w:szCs w:val="24"/>
        </w:rPr>
        <w:t xml:space="preserve"> </w:t>
      </w:r>
      <w:r w:rsidR="00B468AA" w:rsidRPr="00CD556F">
        <w:rPr>
          <w:rFonts w:cs="Times New Roman"/>
          <w:color w:val="000000"/>
          <w:szCs w:val="24"/>
        </w:rPr>
        <w:t>=</w:t>
      </w:r>
      <w:r w:rsidR="00433B70">
        <w:rPr>
          <w:rFonts w:cs="Times New Roman"/>
          <w:color w:val="000000"/>
          <w:szCs w:val="24"/>
        </w:rPr>
        <w:t xml:space="preserve"> </w:t>
      </w:r>
      <w:r w:rsidR="00B468AA" w:rsidRPr="00CD556F">
        <w:rPr>
          <w:rFonts w:cs="Times New Roman"/>
          <w:color w:val="000000"/>
          <w:szCs w:val="24"/>
        </w:rPr>
        <w:t xml:space="preserve">3 to 6. By contrast, </w:t>
      </w:r>
      <w:r w:rsidR="00433B70">
        <w:rPr>
          <w:rFonts w:cs="Times New Roman"/>
          <w:color w:val="000000"/>
          <w:szCs w:val="24"/>
        </w:rPr>
        <w:t xml:space="preserve">(b) shows that </w:t>
      </w:r>
      <w:r w:rsidR="00B468AA" w:rsidRPr="00CD556F">
        <w:rPr>
          <w:rFonts w:cs="Times New Roman"/>
          <w:color w:val="000000"/>
          <w:szCs w:val="24"/>
        </w:rPr>
        <w:t xml:space="preserve">the MIIA concept accurately predicted the cases where sign changes did not occur. While the performance was shown a bit lower when applied to the top 70% modulation, the specificity was significantly higher than that of the null model. </w:t>
      </w:r>
      <w:r w:rsidR="00433B70">
        <w:rPr>
          <w:rFonts w:cs="Times New Roman"/>
          <w:color w:val="000000"/>
          <w:szCs w:val="24"/>
        </w:rPr>
        <w:t>In (c), t</w:t>
      </w:r>
      <w:r w:rsidR="00B468AA" w:rsidRPr="00CD556F">
        <w:rPr>
          <w:rFonts w:cs="Times New Roman"/>
          <w:color w:val="000000"/>
          <w:szCs w:val="24"/>
        </w:rPr>
        <w:t xml:space="preserve">he overall accuracy of predictions, in regard to sign change, was also shown higher than that of the null model, which is however due to higher specificity rather than sensitivity. That is, the MIIA provides accurate prediction for the events where the sign change did not occur (i.e., specificity), while poor prediction when the sign change occurred (i.e., sensitivity). We </w:t>
      </w:r>
      <w:r w:rsidR="00C3641F">
        <w:rPr>
          <w:rFonts w:cs="Times New Roman"/>
          <w:color w:val="000000"/>
          <w:szCs w:val="24"/>
        </w:rPr>
        <w:t>view</w:t>
      </w:r>
      <w:r w:rsidR="00B468AA" w:rsidRPr="00CD556F">
        <w:rPr>
          <w:rFonts w:cs="Times New Roman"/>
          <w:color w:val="000000"/>
          <w:szCs w:val="24"/>
        </w:rPr>
        <w:t xml:space="preserve"> that the sign change </w:t>
      </w:r>
      <w:r w:rsidR="00C3641F">
        <w:rPr>
          <w:rFonts w:cs="Times New Roman"/>
          <w:color w:val="000000"/>
          <w:szCs w:val="24"/>
        </w:rPr>
        <w:t xml:space="preserve">itself cannot </w:t>
      </w:r>
      <w:r w:rsidR="002550EB">
        <w:rPr>
          <w:rFonts w:cs="Times New Roman"/>
          <w:color w:val="000000"/>
          <w:szCs w:val="24"/>
        </w:rPr>
        <w:t>serve as a legitimate measure</w:t>
      </w:r>
      <w:r w:rsidR="00B468AA" w:rsidRPr="00CD556F">
        <w:rPr>
          <w:rFonts w:cs="Times New Roman"/>
          <w:color w:val="000000"/>
          <w:szCs w:val="24"/>
        </w:rPr>
        <w:t xml:space="preserve"> for evaluating the performance due to the reason explained </w:t>
      </w:r>
      <w:r w:rsidR="00AD403B">
        <w:rPr>
          <w:rFonts w:cs="Times New Roman"/>
          <w:color w:val="000000"/>
          <w:szCs w:val="24"/>
        </w:rPr>
        <w:t xml:space="preserve">in </w:t>
      </w:r>
      <w:r>
        <w:rPr>
          <w:rFonts w:cs="Times New Roman"/>
          <w:color w:val="000000"/>
          <w:szCs w:val="24"/>
        </w:rPr>
        <w:t>Figure</w:t>
      </w:r>
      <w:r w:rsidR="004A52C0">
        <w:rPr>
          <w:rFonts w:cs="Times New Roman"/>
          <w:color w:val="000000"/>
          <w:szCs w:val="24"/>
        </w:rPr>
        <w:t xml:space="preserve"> S3</w:t>
      </w:r>
      <w:r w:rsidR="00433B70">
        <w:rPr>
          <w:rFonts w:cs="Times New Roman"/>
          <w:color w:val="000000"/>
          <w:szCs w:val="24"/>
        </w:rPr>
        <w:t xml:space="preserve">. </w:t>
      </w:r>
    </w:p>
    <w:p w14:paraId="7A380331" w14:textId="77777777" w:rsidR="00612928" w:rsidRDefault="00612928" w:rsidP="00433B70">
      <w:pPr>
        <w:autoSpaceDE w:val="0"/>
        <w:autoSpaceDN w:val="0"/>
        <w:adjustRightInd w:val="0"/>
        <w:contextualSpacing w:val="0"/>
        <w:rPr>
          <w:rFonts w:cs="Times New Roman"/>
          <w:color w:val="000000"/>
          <w:szCs w:val="24"/>
        </w:rPr>
      </w:pPr>
    </w:p>
    <w:p w14:paraId="6A8541B8" w14:textId="1537240F" w:rsidR="00612928" w:rsidRDefault="00612928">
      <w:pPr>
        <w:spacing w:after="200"/>
        <w:contextualSpacing w:val="0"/>
        <w:rPr>
          <w:rFonts w:cs="Times New Roman"/>
          <w:color w:val="000000"/>
          <w:szCs w:val="24"/>
        </w:rPr>
      </w:pPr>
      <w:r>
        <w:rPr>
          <w:rFonts w:cs="Times New Roman"/>
          <w:color w:val="000000"/>
          <w:szCs w:val="24"/>
        </w:rPr>
        <w:br w:type="page"/>
      </w:r>
    </w:p>
    <w:p w14:paraId="307B212D" w14:textId="16C96AB6" w:rsidR="004A52C0" w:rsidRDefault="004A52C0">
      <w:pPr>
        <w:spacing w:after="200"/>
        <w:contextualSpacing w:val="0"/>
        <w:rPr>
          <w:rFonts w:cs="Times New Roman"/>
          <w:szCs w:val="24"/>
        </w:rPr>
      </w:pPr>
      <w:r>
        <w:rPr>
          <w:noProof/>
        </w:rPr>
        <w:lastRenderedPageBreak/>
        <w:drawing>
          <wp:inline distT="0" distB="0" distL="0" distR="0" wp14:anchorId="480F8FAC" wp14:editId="1F13D4AF">
            <wp:extent cx="5943600" cy="5388610"/>
            <wp:effectExtent l="0" t="0" r="0" b="2540"/>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83"/>
                    <a:stretch>
                      <a:fillRect/>
                    </a:stretch>
                  </pic:blipFill>
                  <pic:spPr>
                    <a:xfrm>
                      <a:off x="0" y="0"/>
                      <a:ext cx="5943600" cy="5388610"/>
                    </a:xfrm>
                    <a:prstGeom prst="rect">
                      <a:avLst/>
                    </a:prstGeom>
                  </pic:spPr>
                </pic:pic>
              </a:graphicData>
            </a:graphic>
          </wp:inline>
        </w:drawing>
      </w:r>
    </w:p>
    <w:p w14:paraId="4DBA21DD" w14:textId="0F60EFBB" w:rsidR="004A52C0" w:rsidRDefault="004A52C0">
      <w:pPr>
        <w:spacing w:after="200"/>
        <w:contextualSpacing w:val="0"/>
        <w:rPr>
          <w:rFonts w:cs="Times New Roman"/>
          <w:szCs w:val="24"/>
        </w:rPr>
      </w:pPr>
      <w:bookmarkStart w:id="3" w:name="_GoBack"/>
      <w:bookmarkEnd w:id="3"/>
      <w:r w:rsidRPr="00266905">
        <w:rPr>
          <w:rFonts w:cs="Times New Roman"/>
          <w:b/>
          <w:szCs w:val="24"/>
        </w:rPr>
        <w:t xml:space="preserve">Figure S5. </w:t>
      </w:r>
      <w:r w:rsidR="00266905" w:rsidRPr="00266905">
        <w:rPr>
          <w:rFonts w:cs="Times New Roman"/>
          <w:b/>
          <w:szCs w:val="24"/>
        </w:rPr>
        <w:t xml:space="preserve">Robustness of </w:t>
      </w:r>
      <w:r w:rsidRPr="00266905">
        <w:rPr>
          <w:rFonts w:cs="Times New Roman"/>
          <w:b/>
          <w:szCs w:val="24"/>
        </w:rPr>
        <w:t xml:space="preserve">MIIA </w:t>
      </w:r>
      <w:r w:rsidR="00266905" w:rsidRPr="00266905">
        <w:rPr>
          <w:rFonts w:cs="Times New Roman"/>
          <w:b/>
          <w:szCs w:val="24"/>
        </w:rPr>
        <w:t xml:space="preserve">prediction against noise in complex community data for different levels of noise in axenic and binary culture data. </w:t>
      </w:r>
      <w:r w:rsidR="00266905" w:rsidRPr="00266905">
        <w:rPr>
          <w:rFonts w:cs="Times New Roman"/>
          <w:szCs w:val="24"/>
        </w:rPr>
        <w:t>(</w:t>
      </w:r>
      <w:proofErr w:type="gramStart"/>
      <w:r w:rsidR="00266905" w:rsidRPr="00266905">
        <w:rPr>
          <w:rFonts w:cs="Times New Roman"/>
          <w:szCs w:val="24"/>
        </w:rPr>
        <w:t>a</w:t>
      </w:r>
      <w:proofErr w:type="gramEnd"/>
      <w:r w:rsidR="00266905" w:rsidRPr="00266905">
        <w:rPr>
          <w:rFonts w:cs="Times New Roman"/>
          <w:szCs w:val="24"/>
        </w:rPr>
        <w:t xml:space="preserve">) </w:t>
      </w:r>
      <w:r w:rsidR="00F728B6" w:rsidRPr="00F728B6">
        <w:rPr>
          <w:rFonts w:cs="Times New Roman"/>
          <w:noProof/>
          <w:position w:val="-12"/>
          <w:szCs w:val="24"/>
        </w:rPr>
        <w:object w:dxaOrig="1400" w:dyaOrig="380" w14:anchorId="08807F2C">
          <v:shape id="_x0000_i1055" type="#_x0000_t75" alt="" style="width:70.25pt;height:19.1pt;mso-width-percent:0;mso-height-percent:0;mso-width-percent:0;mso-height-percent:0" o:ole="">
            <v:imagedata r:id="rId84" o:title=""/>
          </v:shape>
          <o:OLEObject Type="Embed" ProgID="Equation.DSMT4" ShapeID="_x0000_i1055" DrawAspect="Content" ObjectID="_1618146894" r:id="rId85"/>
        </w:object>
      </w:r>
      <w:r w:rsidR="00266905">
        <w:rPr>
          <w:rFonts w:cs="Times New Roman"/>
          <w:szCs w:val="24"/>
        </w:rPr>
        <w:t xml:space="preserve">, (b)  </w:t>
      </w:r>
      <w:r w:rsidR="00F728B6" w:rsidRPr="00F728B6">
        <w:rPr>
          <w:rFonts w:cs="Times New Roman"/>
          <w:noProof/>
          <w:position w:val="-12"/>
          <w:szCs w:val="24"/>
        </w:rPr>
        <w:object w:dxaOrig="1280" w:dyaOrig="380" w14:anchorId="5290B932">
          <v:shape id="_x0000_i1056" type="#_x0000_t75" alt="" style="width:64.2pt;height:19.1pt;mso-width-percent:0;mso-height-percent:0;mso-width-percent:0;mso-height-percent:0" o:ole="">
            <v:imagedata r:id="rId86" o:title=""/>
          </v:shape>
          <o:OLEObject Type="Embed" ProgID="Equation.DSMT4" ShapeID="_x0000_i1056" DrawAspect="Content" ObjectID="_1618146895" r:id="rId87"/>
        </w:object>
      </w:r>
      <w:r w:rsidR="00266905">
        <w:rPr>
          <w:rFonts w:cs="Times New Roman"/>
          <w:szCs w:val="24"/>
        </w:rPr>
        <w:t xml:space="preserve">, (c) </w:t>
      </w:r>
      <w:r w:rsidR="00F728B6" w:rsidRPr="00F728B6">
        <w:rPr>
          <w:rFonts w:cs="Times New Roman"/>
          <w:noProof/>
          <w:position w:val="-12"/>
          <w:szCs w:val="24"/>
        </w:rPr>
        <w:object w:dxaOrig="1160" w:dyaOrig="380" w14:anchorId="0873C30A">
          <v:shape id="_x0000_i1057" type="#_x0000_t75" alt="" style="width:58.1pt;height:19.1pt;mso-width-percent:0;mso-height-percent:0;mso-width-percent:0;mso-height-percent:0" o:ole="">
            <v:imagedata r:id="rId88" o:title=""/>
          </v:shape>
          <o:OLEObject Type="Embed" ProgID="Equation.DSMT4" ShapeID="_x0000_i1057" DrawAspect="Content" ObjectID="_1618146896" r:id="rId89"/>
        </w:object>
      </w:r>
      <w:r w:rsidR="00266905">
        <w:rPr>
          <w:rFonts w:cs="Times New Roman"/>
          <w:szCs w:val="24"/>
        </w:rPr>
        <w:t xml:space="preserve"> and (d) </w:t>
      </w:r>
      <w:r w:rsidR="00F728B6" w:rsidRPr="00F728B6">
        <w:rPr>
          <w:rFonts w:cs="Times New Roman"/>
          <w:noProof/>
          <w:position w:val="-12"/>
          <w:szCs w:val="24"/>
        </w:rPr>
        <w:object w:dxaOrig="1040" w:dyaOrig="380" w14:anchorId="588F5FF4">
          <v:shape id="_x0000_i1058" type="#_x0000_t75" alt="" style="width:52.05pt;height:19.1pt;mso-width-percent:0;mso-height-percent:0;mso-width-percent:0;mso-height-percent:0" o:ole="">
            <v:imagedata r:id="rId90" o:title=""/>
          </v:shape>
          <o:OLEObject Type="Embed" ProgID="Equation.DSMT4" ShapeID="_x0000_i1058" DrawAspect="Content" ObjectID="_1618146897" r:id="rId91"/>
        </w:object>
      </w:r>
      <w:r>
        <w:rPr>
          <w:rFonts w:cs="Times New Roman"/>
          <w:szCs w:val="24"/>
        </w:rPr>
        <w:t xml:space="preserve">  </w:t>
      </w:r>
      <w:r>
        <w:rPr>
          <w:rFonts w:cs="Times New Roman"/>
          <w:szCs w:val="24"/>
        </w:rPr>
        <w:br w:type="page"/>
      </w:r>
    </w:p>
    <w:p w14:paraId="6EFA689C" w14:textId="77777777" w:rsidR="00B50BF4" w:rsidRPr="00CD556F" w:rsidRDefault="00B50BF4" w:rsidP="00B50BF4">
      <w:pPr>
        <w:spacing w:after="200"/>
        <w:contextualSpacing w:val="0"/>
        <w:rPr>
          <w:rFonts w:cs="Times New Roman"/>
          <w:szCs w:val="24"/>
        </w:rPr>
      </w:pPr>
    </w:p>
    <w:p w14:paraId="42685F11" w14:textId="02B56BF5" w:rsidR="00DD2EC9" w:rsidRPr="00CD556F" w:rsidRDefault="00C91D45" w:rsidP="00DD2EC9">
      <w:pPr>
        <w:jc w:val="center"/>
        <w:rPr>
          <w:rFonts w:cs="Times New Roman"/>
          <w:b/>
          <w:szCs w:val="24"/>
        </w:rPr>
      </w:pPr>
      <w:r>
        <w:rPr>
          <w:noProof/>
        </w:rPr>
        <w:drawing>
          <wp:inline distT="0" distB="0" distL="0" distR="0" wp14:anchorId="04FB4909" wp14:editId="49CDD826">
            <wp:extent cx="5943600" cy="2323465"/>
            <wp:effectExtent l="0" t="0" r="0" b="63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2"/>
                    <a:stretch>
                      <a:fillRect/>
                    </a:stretch>
                  </pic:blipFill>
                  <pic:spPr>
                    <a:xfrm>
                      <a:off x="0" y="0"/>
                      <a:ext cx="5943600" cy="2323465"/>
                    </a:xfrm>
                    <a:prstGeom prst="rect">
                      <a:avLst/>
                    </a:prstGeom>
                  </pic:spPr>
                </pic:pic>
              </a:graphicData>
            </a:graphic>
          </wp:inline>
        </w:drawing>
      </w:r>
    </w:p>
    <w:p w14:paraId="74FAE105" w14:textId="77777777" w:rsidR="00DD2EC9" w:rsidRPr="00CD556F" w:rsidRDefault="00DD2EC9">
      <w:pPr>
        <w:rPr>
          <w:rFonts w:cs="Times New Roman"/>
          <w:b/>
          <w:szCs w:val="24"/>
        </w:rPr>
      </w:pPr>
    </w:p>
    <w:p w14:paraId="25DFF50D" w14:textId="1E6FCCDC" w:rsidR="00DD2EC9" w:rsidRDefault="005C5408">
      <w:pPr>
        <w:rPr>
          <w:rFonts w:cs="Times New Roman"/>
          <w:szCs w:val="24"/>
        </w:rPr>
      </w:pPr>
      <w:r>
        <w:rPr>
          <w:rFonts w:cs="Times New Roman"/>
          <w:b/>
          <w:szCs w:val="24"/>
        </w:rPr>
        <w:t>Figure</w:t>
      </w:r>
      <w:r w:rsidR="00DD2EC9" w:rsidRPr="00CD556F">
        <w:rPr>
          <w:rFonts w:cs="Times New Roman"/>
          <w:b/>
          <w:szCs w:val="24"/>
        </w:rPr>
        <w:t xml:space="preserve"> S</w:t>
      </w:r>
      <w:r w:rsidR="004A52C0">
        <w:rPr>
          <w:rFonts w:cs="Times New Roman"/>
          <w:b/>
          <w:szCs w:val="24"/>
        </w:rPr>
        <w:t>6</w:t>
      </w:r>
      <w:r w:rsidR="00DD2EC9" w:rsidRPr="00CD556F">
        <w:rPr>
          <w:rFonts w:cs="Times New Roman"/>
          <w:b/>
          <w:szCs w:val="24"/>
        </w:rPr>
        <w:t>. Predicted modulations of interaction coefficients from binary to complex communities composed of competing bacteria considered by Friedman et al. (2017)</w:t>
      </w:r>
      <w:r w:rsidR="00DD2EC9" w:rsidRPr="00CD556F">
        <w:rPr>
          <w:rFonts w:cs="Times New Roman"/>
          <w:szCs w:val="24"/>
        </w:rPr>
        <w:t>. (a) The effect of Pa (</w:t>
      </w:r>
      <w:r w:rsidR="00DD2EC9" w:rsidRPr="00CD556F">
        <w:rPr>
          <w:rFonts w:cs="Times New Roman"/>
          <w:i/>
          <w:szCs w:val="24"/>
        </w:rPr>
        <w:t>Pseudomonas aurantiaca</w:t>
      </w:r>
      <w:r w:rsidR="00DD2EC9" w:rsidRPr="00CD556F">
        <w:rPr>
          <w:rFonts w:cs="Times New Roman"/>
          <w:szCs w:val="24"/>
        </w:rPr>
        <w:t>) on the growth of Ea (</w:t>
      </w:r>
      <w:r w:rsidR="00DD2EC9" w:rsidRPr="00CD556F">
        <w:rPr>
          <w:rFonts w:cs="Times New Roman"/>
          <w:i/>
          <w:szCs w:val="24"/>
        </w:rPr>
        <w:t>Enterobacter aerogenes</w:t>
      </w:r>
      <w:r w:rsidR="00DD2EC9" w:rsidRPr="00CD556F">
        <w:rPr>
          <w:rFonts w:cs="Times New Roman"/>
          <w:szCs w:val="24"/>
        </w:rPr>
        <w:t>) in binary (</w:t>
      </w:r>
      <w:r w:rsidR="006F3DCB" w:rsidRPr="006F3DCB">
        <w:rPr>
          <w:rFonts w:cs="Times New Roman"/>
          <w:i/>
          <w:szCs w:val="24"/>
        </w:rPr>
        <w:t>N</w:t>
      </w:r>
      <w:r w:rsidR="00DD2EC9" w:rsidRPr="00CD556F">
        <w:rPr>
          <w:rFonts w:cs="Times New Roman"/>
          <w:szCs w:val="24"/>
        </w:rPr>
        <w:t>=2), ternary (</w:t>
      </w:r>
      <w:r w:rsidR="006F3DCB" w:rsidRPr="006F3DCB">
        <w:rPr>
          <w:rFonts w:cs="Times New Roman"/>
          <w:i/>
          <w:szCs w:val="24"/>
        </w:rPr>
        <w:t>N</w:t>
      </w:r>
      <w:r w:rsidR="00DD2EC9" w:rsidRPr="00CD556F">
        <w:rPr>
          <w:rFonts w:cs="Times New Roman"/>
          <w:szCs w:val="24"/>
        </w:rPr>
        <w:t xml:space="preserve">=3), </w:t>
      </w:r>
      <w:proofErr w:type="spellStart"/>
      <w:r w:rsidR="00DD2EC9" w:rsidRPr="00CD556F">
        <w:rPr>
          <w:rFonts w:cs="Times New Roman"/>
          <w:szCs w:val="24"/>
        </w:rPr>
        <w:t>septenary</w:t>
      </w:r>
      <w:proofErr w:type="spellEnd"/>
      <w:r w:rsidR="00DD2EC9" w:rsidRPr="00CD556F">
        <w:rPr>
          <w:rFonts w:cs="Times New Roman"/>
          <w:szCs w:val="24"/>
        </w:rPr>
        <w:t xml:space="preserve"> (</w:t>
      </w:r>
      <w:r w:rsidR="006F3DCB" w:rsidRPr="006F3DCB">
        <w:rPr>
          <w:rFonts w:cs="Times New Roman"/>
          <w:i/>
          <w:szCs w:val="24"/>
        </w:rPr>
        <w:t>N</w:t>
      </w:r>
      <w:r w:rsidR="00DD2EC9" w:rsidRPr="00CD556F">
        <w:rPr>
          <w:rFonts w:cs="Times New Roman"/>
          <w:szCs w:val="24"/>
        </w:rPr>
        <w:t xml:space="preserve">=7), and </w:t>
      </w:r>
      <w:proofErr w:type="spellStart"/>
      <w:r w:rsidR="00DD2EC9" w:rsidRPr="00CD556F">
        <w:rPr>
          <w:rFonts w:cs="Times New Roman"/>
          <w:szCs w:val="24"/>
        </w:rPr>
        <w:t>octonary</w:t>
      </w:r>
      <w:proofErr w:type="spellEnd"/>
      <w:r w:rsidR="00DD2EC9" w:rsidRPr="00CD556F">
        <w:rPr>
          <w:rFonts w:cs="Times New Roman"/>
          <w:szCs w:val="24"/>
        </w:rPr>
        <w:t xml:space="preserve"> cultures (</w:t>
      </w:r>
      <w:r w:rsidR="006F3DCB" w:rsidRPr="006F3DCB">
        <w:rPr>
          <w:rFonts w:cs="Times New Roman"/>
          <w:i/>
          <w:szCs w:val="24"/>
        </w:rPr>
        <w:t>N</w:t>
      </w:r>
      <w:r w:rsidR="00DD2EC9" w:rsidRPr="00CD556F">
        <w:rPr>
          <w:rFonts w:cs="Times New Roman"/>
          <w:szCs w:val="24"/>
        </w:rPr>
        <w:t xml:space="preserve">=8). (b) The effect of </w:t>
      </w:r>
      <w:r w:rsidR="00DD2EC9" w:rsidRPr="0024551F">
        <w:rPr>
          <w:rFonts w:cs="Times New Roman"/>
          <w:i/>
          <w:szCs w:val="24"/>
        </w:rPr>
        <w:t>P</w:t>
      </w:r>
      <w:r w:rsidR="0024551F" w:rsidRPr="0024551F">
        <w:rPr>
          <w:rFonts w:cs="Times New Roman"/>
          <w:i/>
          <w:szCs w:val="24"/>
        </w:rPr>
        <w:t>v</w:t>
      </w:r>
      <w:r w:rsidR="00DD2EC9" w:rsidRPr="00CD556F">
        <w:rPr>
          <w:rFonts w:cs="Times New Roman"/>
          <w:szCs w:val="24"/>
        </w:rPr>
        <w:t xml:space="preserve"> (</w:t>
      </w:r>
      <w:r w:rsidR="0024551F" w:rsidRPr="0024551F">
        <w:rPr>
          <w:rFonts w:cs="Times New Roman"/>
          <w:i/>
          <w:szCs w:val="24"/>
        </w:rPr>
        <w:t>Pseudomonas veronii</w:t>
      </w:r>
      <w:r w:rsidR="00DD2EC9" w:rsidRPr="00CD556F">
        <w:rPr>
          <w:rFonts w:cs="Times New Roman"/>
          <w:szCs w:val="24"/>
        </w:rPr>
        <w:t>) on the growth of Ea for the same communities.</w:t>
      </w:r>
      <w:r w:rsidR="00EC799D">
        <w:rPr>
          <w:rFonts w:cs="Times New Roman"/>
          <w:szCs w:val="24"/>
        </w:rPr>
        <w:t xml:space="preserve"> </w:t>
      </w:r>
      <w:r w:rsidR="00D05CAC">
        <w:rPr>
          <w:rFonts w:cs="Times New Roman"/>
          <w:szCs w:val="24"/>
        </w:rPr>
        <w:t xml:space="preserve">These two figures provide zoomed-in views of two sub-graphs in </w:t>
      </w:r>
      <w:r>
        <w:rPr>
          <w:rFonts w:cs="Times New Roman"/>
          <w:szCs w:val="24"/>
        </w:rPr>
        <w:t>Figure</w:t>
      </w:r>
      <w:r w:rsidR="00D05CAC">
        <w:rPr>
          <w:rFonts w:cs="Times New Roman"/>
          <w:szCs w:val="24"/>
        </w:rPr>
        <w:t xml:space="preserve"> </w:t>
      </w:r>
      <w:r w:rsidR="00B36A6E">
        <w:rPr>
          <w:rFonts w:cs="Times New Roman"/>
          <w:szCs w:val="24"/>
        </w:rPr>
        <w:t>5</w:t>
      </w:r>
      <w:r w:rsidR="00D05CAC">
        <w:rPr>
          <w:rFonts w:cs="Times New Roman"/>
          <w:szCs w:val="24"/>
        </w:rPr>
        <w:t xml:space="preserve">(a) (i.e., the first two sub-graphs from the left on the top row). </w:t>
      </w:r>
      <w:r w:rsidR="00EC799D">
        <w:rPr>
          <w:rFonts w:cs="Times New Roman"/>
          <w:szCs w:val="24"/>
        </w:rPr>
        <w:t xml:space="preserve">See </w:t>
      </w:r>
      <w:r w:rsidR="00EC799D">
        <w:rPr>
          <w:rFonts w:cs="Times New Roman" w:hint="eastAsia"/>
          <w:szCs w:val="24"/>
        </w:rPr>
        <w:t>t</w:t>
      </w:r>
      <w:r w:rsidR="00EC799D">
        <w:rPr>
          <w:rFonts w:cs="Times New Roman"/>
          <w:szCs w:val="24"/>
        </w:rPr>
        <w:t xml:space="preserve">he caption of </w:t>
      </w:r>
      <w:r>
        <w:rPr>
          <w:rFonts w:cs="Times New Roman"/>
          <w:szCs w:val="24"/>
        </w:rPr>
        <w:t>Figure</w:t>
      </w:r>
      <w:r w:rsidR="00EC799D">
        <w:rPr>
          <w:rFonts w:cs="Times New Roman"/>
          <w:szCs w:val="24"/>
        </w:rPr>
        <w:t xml:space="preserve"> </w:t>
      </w:r>
      <w:r w:rsidR="00B36A6E">
        <w:rPr>
          <w:rFonts w:cs="Times New Roman"/>
          <w:szCs w:val="24"/>
        </w:rPr>
        <w:t>5</w:t>
      </w:r>
      <w:r w:rsidR="00EC799D">
        <w:rPr>
          <w:rFonts w:cs="Times New Roman"/>
          <w:szCs w:val="24"/>
        </w:rPr>
        <w:t xml:space="preserve"> for all other details. </w:t>
      </w:r>
    </w:p>
    <w:p w14:paraId="6CE80393" w14:textId="753BF924" w:rsidR="0093626B" w:rsidRDefault="0093626B">
      <w:pPr>
        <w:spacing w:after="200"/>
        <w:contextualSpacing w:val="0"/>
        <w:rPr>
          <w:rFonts w:cs="Times New Roman"/>
          <w:szCs w:val="24"/>
        </w:rPr>
      </w:pPr>
      <w:r>
        <w:rPr>
          <w:rFonts w:cs="Times New Roman"/>
          <w:szCs w:val="24"/>
        </w:rPr>
        <w:br w:type="page"/>
      </w:r>
    </w:p>
    <w:p w14:paraId="1651A3BA" w14:textId="59DDFCB8" w:rsidR="00606FCB" w:rsidRPr="00CD556F" w:rsidRDefault="00606FCB">
      <w:pPr>
        <w:spacing w:after="200"/>
        <w:contextualSpacing w:val="0"/>
        <w:rPr>
          <w:rFonts w:cs="Times New Roman"/>
          <w:b/>
          <w:szCs w:val="24"/>
        </w:rPr>
      </w:pPr>
    </w:p>
    <w:p w14:paraId="0420C2A2" w14:textId="58E459C3" w:rsidR="00DD2EC9" w:rsidRPr="00CD556F" w:rsidRDefault="006F3DCB">
      <w:pPr>
        <w:rPr>
          <w:rFonts w:cs="Times New Roman"/>
          <w:b/>
          <w:szCs w:val="24"/>
        </w:rPr>
      </w:pPr>
      <w:r>
        <w:rPr>
          <w:noProof/>
        </w:rPr>
        <w:drawing>
          <wp:inline distT="0" distB="0" distL="0" distR="0" wp14:anchorId="4B546488" wp14:editId="1C538034">
            <wp:extent cx="5943600" cy="2695575"/>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93"/>
                    <a:stretch>
                      <a:fillRect/>
                    </a:stretch>
                  </pic:blipFill>
                  <pic:spPr>
                    <a:xfrm>
                      <a:off x="0" y="0"/>
                      <a:ext cx="5943600" cy="2695575"/>
                    </a:xfrm>
                    <a:prstGeom prst="rect">
                      <a:avLst/>
                    </a:prstGeom>
                  </pic:spPr>
                </pic:pic>
              </a:graphicData>
            </a:graphic>
          </wp:inline>
        </w:drawing>
      </w:r>
    </w:p>
    <w:p w14:paraId="704D2EC4" w14:textId="77777777" w:rsidR="00606FCB" w:rsidRPr="00CD556F" w:rsidRDefault="00606FCB">
      <w:pPr>
        <w:rPr>
          <w:rFonts w:cs="Times New Roman"/>
          <w:b/>
          <w:szCs w:val="24"/>
        </w:rPr>
      </w:pPr>
    </w:p>
    <w:p w14:paraId="34BE47C4" w14:textId="6764069D" w:rsidR="00400717" w:rsidRPr="00DA58C6" w:rsidRDefault="005C5408" w:rsidP="00EC59EE">
      <w:pPr>
        <w:rPr>
          <w:rFonts w:cs="Times New Roman"/>
          <w:b/>
          <w:szCs w:val="24"/>
        </w:rPr>
      </w:pPr>
      <w:r>
        <w:rPr>
          <w:rFonts w:cs="Times New Roman"/>
          <w:b/>
          <w:szCs w:val="24"/>
        </w:rPr>
        <w:t>Figure</w:t>
      </w:r>
      <w:r w:rsidR="00606FCB" w:rsidRPr="00DA58C6">
        <w:rPr>
          <w:rFonts w:cs="Times New Roman"/>
          <w:b/>
          <w:szCs w:val="24"/>
        </w:rPr>
        <w:t xml:space="preserve"> S</w:t>
      </w:r>
      <w:r w:rsidR="004A52C0">
        <w:rPr>
          <w:rFonts w:cs="Times New Roman"/>
          <w:b/>
          <w:szCs w:val="24"/>
        </w:rPr>
        <w:t>7</w:t>
      </w:r>
      <w:r w:rsidR="00606FCB" w:rsidRPr="00DA58C6">
        <w:rPr>
          <w:rFonts w:cs="Times New Roman"/>
          <w:b/>
          <w:szCs w:val="24"/>
        </w:rPr>
        <w:t xml:space="preserve">. </w:t>
      </w:r>
      <w:r w:rsidR="00DA58C6" w:rsidRPr="00DA58C6">
        <w:rPr>
          <w:rFonts w:cs="Times New Roman"/>
          <w:b/>
          <w:szCs w:val="24"/>
        </w:rPr>
        <w:t>Phylogenetic distance</w:t>
      </w:r>
      <w:r w:rsidR="00EC59EE">
        <w:rPr>
          <w:rFonts w:cs="Times New Roman"/>
          <w:b/>
          <w:szCs w:val="24"/>
        </w:rPr>
        <w:t>s</w:t>
      </w:r>
      <w:r w:rsidR="00DA58C6" w:rsidRPr="00DA58C6">
        <w:rPr>
          <w:rFonts w:cs="Times New Roman"/>
          <w:b/>
          <w:szCs w:val="24"/>
        </w:rPr>
        <w:t xml:space="preserve"> between </w:t>
      </w:r>
      <w:r w:rsidR="00EC59EE">
        <w:rPr>
          <w:rFonts w:cs="Times New Roman"/>
          <w:b/>
          <w:szCs w:val="24"/>
        </w:rPr>
        <w:t xml:space="preserve">effectors </w:t>
      </w:r>
      <w:r w:rsidR="00DA58C6" w:rsidRPr="00DA58C6">
        <w:rPr>
          <w:rFonts w:cs="Times New Roman"/>
          <w:b/>
          <w:szCs w:val="24"/>
        </w:rPr>
        <w:t xml:space="preserve">and added species. </w:t>
      </w:r>
      <w:r w:rsidR="00DA58C6" w:rsidRPr="00DA58C6">
        <w:rPr>
          <w:szCs w:val="24"/>
        </w:rPr>
        <w:t xml:space="preserve">(a) The complete array of </w:t>
      </w:r>
      <w:r w:rsidR="00DA58C6">
        <w:rPr>
          <w:szCs w:val="24"/>
        </w:rPr>
        <w:t xml:space="preserve">phylogenetic distances between the effector species (i.e., each species in column) and added species. (b) </w:t>
      </w:r>
      <w:r w:rsidR="00DA58C6" w:rsidRPr="00DA58C6">
        <w:rPr>
          <w:szCs w:val="24"/>
        </w:rPr>
        <w:t xml:space="preserve">Overall </w:t>
      </w:r>
      <w:r w:rsidR="00DA58C6">
        <w:rPr>
          <w:szCs w:val="24"/>
        </w:rPr>
        <w:t>trend obtained by merging a</w:t>
      </w:r>
      <w:r w:rsidR="00DA58C6" w:rsidRPr="00DA58C6">
        <w:rPr>
          <w:szCs w:val="24"/>
        </w:rPr>
        <w:t>ll individual plots in (a)</w:t>
      </w:r>
      <w:r w:rsidR="00F8440A">
        <w:rPr>
          <w:szCs w:val="24"/>
        </w:rPr>
        <w:t xml:space="preserve"> into one place</w:t>
      </w:r>
      <w:r w:rsidR="00DA58C6" w:rsidRPr="00DA58C6">
        <w:rPr>
          <w:szCs w:val="24"/>
        </w:rPr>
        <w:t>.</w:t>
      </w:r>
      <w:r w:rsidR="00DA58C6">
        <w:rPr>
          <w:szCs w:val="24"/>
        </w:rPr>
        <w:t xml:space="preserve"> As in </w:t>
      </w:r>
      <w:r>
        <w:rPr>
          <w:szCs w:val="24"/>
        </w:rPr>
        <w:t>Figure</w:t>
      </w:r>
      <w:r w:rsidR="00DA58C6">
        <w:rPr>
          <w:szCs w:val="24"/>
        </w:rPr>
        <w:t xml:space="preserve"> </w:t>
      </w:r>
      <w:r w:rsidR="00B36A6E">
        <w:rPr>
          <w:szCs w:val="24"/>
        </w:rPr>
        <w:t>5</w:t>
      </w:r>
      <w:r w:rsidR="00DA58C6">
        <w:rPr>
          <w:szCs w:val="24"/>
        </w:rPr>
        <w:t xml:space="preserve">, the species in columns and rows in (a) represent the </w:t>
      </w:r>
      <w:r w:rsidR="00EC59EE">
        <w:rPr>
          <w:szCs w:val="24"/>
        </w:rPr>
        <w:t xml:space="preserve">affecting species (effector) </w:t>
      </w:r>
      <w:r w:rsidR="00DA58C6">
        <w:rPr>
          <w:szCs w:val="24"/>
        </w:rPr>
        <w:t xml:space="preserve">and the affected species, respectively. </w:t>
      </w:r>
      <w:r w:rsidR="00EC59EE">
        <w:rPr>
          <w:szCs w:val="24"/>
        </w:rPr>
        <w:t xml:space="preserve">Open circles in each sub-graph represent phylogenetic distances between the effector and additionally added species. Thus, this gives an indirect measure of functionally similarity between them. </w:t>
      </w:r>
      <w:r w:rsidR="00EC59EE">
        <w:t>The scales of x- and y-axis are the same</w:t>
      </w:r>
      <w:r w:rsidR="004B20AC">
        <w:t xml:space="preserve"> in all cases of (a) and (b)</w:t>
      </w:r>
      <w:r w:rsidR="00EC59EE">
        <w:t>: y-axis varies from 0 to 0.25; on the x-axis, the numbers 3, 7 and 8 denote ternary</w:t>
      </w:r>
      <w:r w:rsidR="00EC59EE" w:rsidRPr="00EC59EE">
        <w:t>, septenary, and octonary cultures</w:t>
      </w:r>
      <w:r w:rsidR="00EC59EE">
        <w:t xml:space="preserve">, respectively. Phylogenetic distances were averaged out among added members, when more than one species was added. </w:t>
      </w:r>
    </w:p>
    <w:sectPr w:rsidR="00400717" w:rsidRPr="00DA58C6" w:rsidSect="00DD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B5D"/>
    <w:multiLevelType w:val="hybridMultilevel"/>
    <w:tmpl w:val="27F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4E5A"/>
    <w:multiLevelType w:val="hybridMultilevel"/>
    <w:tmpl w:val="4CD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E61F9"/>
    <w:multiLevelType w:val="hybridMultilevel"/>
    <w:tmpl w:val="A0A2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D"/>
    <w:rsid w:val="000941E4"/>
    <w:rsid w:val="000C1A37"/>
    <w:rsid w:val="00132478"/>
    <w:rsid w:val="00162696"/>
    <w:rsid w:val="00184A3D"/>
    <w:rsid w:val="001B75CA"/>
    <w:rsid w:val="00231A68"/>
    <w:rsid w:val="0024551F"/>
    <w:rsid w:val="002550EB"/>
    <w:rsid w:val="0026406E"/>
    <w:rsid w:val="00266905"/>
    <w:rsid w:val="002C1C04"/>
    <w:rsid w:val="00304909"/>
    <w:rsid w:val="00342421"/>
    <w:rsid w:val="003672E1"/>
    <w:rsid w:val="00390E6F"/>
    <w:rsid w:val="003C6D7D"/>
    <w:rsid w:val="003F2B7F"/>
    <w:rsid w:val="00400717"/>
    <w:rsid w:val="00417334"/>
    <w:rsid w:val="00433B70"/>
    <w:rsid w:val="0048467A"/>
    <w:rsid w:val="00495CD5"/>
    <w:rsid w:val="004A52C0"/>
    <w:rsid w:val="004B20AC"/>
    <w:rsid w:val="004E1210"/>
    <w:rsid w:val="004F4A58"/>
    <w:rsid w:val="005207C3"/>
    <w:rsid w:val="005247ED"/>
    <w:rsid w:val="005554D2"/>
    <w:rsid w:val="00584006"/>
    <w:rsid w:val="005C5408"/>
    <w:rsid w:val="005E6D6A"/>
    <w:rsid w:val="005F1E9A"/>
    <w:rsid w:val="00606FCB"/>
    <w:rsid w:val="00612928"/>
    <w:rsid w:val="00654E61"/>
    <w:rsid w:val="00671B82"/>
    <w:rsid w:val="006A48D9"/>
    <w:rsid w:val="006B14A1"/>
    <w:rsid w:val="006B6B52"/>
    <w:rsid w:val="006E46F8"/>
    <w:rsid w:val="006F3DCB"/>
    <w:rsid w:val="006F7201"/>
    <w:rsid w:val="0071442C"/>
    <w:rsid w:val="00722183"/>
    <w:rsid w:val="00726A6C"/>
    <w:rsid w:val="0074567C"/>
    <w:rsid w:val="0078741B"/>
    <w:rsid w:val="007C1189"/>
    <w:rsid w:val="007F1450"/>
    <w:rsid w:val="007F321E"/>
    <w:rsid w:val="00815276"/>
    <w:rsid w:val="00823B05"/>
    <w:rsid w:val="00847419"/>
    <w:rsid w:val="00886F16"/>
    <w:rsid w:val="0089369D"/>
    <w:rsid w:val="00904321"/>
    <w:rsid w:val="00914139"/>
    <w:rsid w:val="0093626B"/>
    <w:rsid w:val="00953F9A"/>
    <w:rsid w:val="00964337"/>
    <w:rsid w:val="00966FC1"/>
    <w:rsid w:val="00976A8E"/>
    <w:rsid w:val="009A471E"/>
    <w:rsid w:val="00A40DF0"/>
    <w:rsid w:val="00AA3BA0"/>
    <w:rsid w:val="00AC4DB4"/>
    <w:rsid w:val="00AD403B"/>
    <w:rsid w:val="00B133AB"/>
    <w:rsid w:val="00B36A6E"/>
    <w:rsid w:val="00B44F47"/>
    <w:rsid w:val="00B468AA"/>
    <w:rsid w:val="00B50BF4"/>
    <w:rsid w:val="00BC4B2D"/>
    <w:rsid w:val="00BD2DB3"/>
    <w:rsid w:val="00BE7562"/>
    <w:rsid w:val="00BF3B6F"/>
    <w:rsid w:val="00C05740"/>
    <w:rsid w:val="00C10D52"/>
    <w:rsid w:val="00C3641F"/>
    <w:rsid w:val="00C6235C"/>
    <w:rsid w:val="00C6364B"/>
    <w:rsid w:val="00C8634C"/>
    <w:rsid w:val="00C91C3C"/>
    <w:rsid w:val="00C91D45"/>
    <w:rsid w:val="00CD556F"/>
    <w:rsid w:val="00CE7DE3"/>
    <w:rsid w:val="00D05CAC"/>
    <w:rsid w:val="00D10A12"/>
    <w:rsid w:val="00D35D66"/>
    <w:rsid w:val="00D57D6C"/>
    <w:rsid w:val="00DA58C6"/>
    <w:rsid w:val="00DD2EC9"/>
    <w:rsid w:val="00E04086"/>
    <w:rsid w:val="00E07673"/>
    <w:rsid w:val="00E34F5B"/>
    <w:rsid w:val="00E804B3"/>
    <w:rsid w:val="00EA64F7"/>
    <w:rsid w:val="00EA7655"/>
    <w:rsid w:val="00EC59EE"/>
    <w:rsid w:val="00EC799D"/>
    <w:rsid w:val="00EE59C9"/>
    <w:rsid w:val="00EF57B9"/>
    <w:rsid w:val="00F1182C"/>
    <w:rsid w:val="00F11F3D"/>
    <w:rsid w:val="00F728B6"/>
    <w:rsid w:val="00F8440A"/>
    <w:rsid w:val="00FA7245"/>
    <w:rsid w:val="00FC39E1"/>
    <w:rsid w:val="00FC713E"/>
    <w:rsid w:val="00FD0F10"/>
    <w:rsid w:val="00FD466C"/>
    <w:rsid w:val="00FD6349"/>
    <w:rsid w:val="00FF6B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90FB"/>
  <w15:docId w15:val="{358DBB0F-8A8A-437E-9301-4B33D0FF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10"/>
    <w:pPr>
      <w:spacing w:after="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478"/>
    <w:pPr>
      <w:ind w:left="720"/>
    </w:pPr>
  </w:style>
  <w:style w:type="character" w:styleId="CommentReference">
    <w:name w:val="annotation reference"/>
    <w:basedOn w:val="DefaultParagraphFont"/>
    <w:uiPriority w:val="99"/>
    <w:semiHidden/>
    <w:unhideWhenUsed/>
    <w:rsid w:val="00B468AA"/>
    <w:rPr>
      <w:sz w:val="16"/>
      <w:szCs w:val="16"/>
    </w:rPr>
  </w:style>
  <w:style w:type="paragraph" w:styleId="CommentText">
    <w:name w:val="annotation text"/>
    <w:basedOn w:val="Normal"/>
    <w:link w:val="CommentTextChar"/>
    <w:uiPriority w:val="99"/>
    <w:unhideWhenUsed/>
    <w:rsid w:val="00B468AA"/>
    <w:pPr>
      <w:spacing w:line="240" w:lineRule="auto"/>
    </w:pPr>
    <w:rPr>
      <w:sz w:val="20"/>
      <w:szCs w:val="20"/>
    </w:rPr>
  </w:style>
  <w:style w:type="character" w:customStyle="1" w:styleId="CommentTextChar">
    <w:name w:val="Comment Text Char"/>
    <w:basedOn w:val="DefaultParagraphFont"/>
    <w:link w:val="CommentText"/>
    <w:uiPriority w:val="99"/>
    <w:rsid w:val="00B468AA"/>
    <w:rPr>
      <w:rFonts w:ascii="Times New Roman" w:hAnsi="Times New Roman"/>
      <w:sz w:val="20"/>
      <w:szCs w:val="20"/>
    </w:rPr>
  </w:style>
  <w:style w:type="paragraph" w:styleId="BalloonText">
    <w:name w:val="Balloon Text"/>
    <w:basedOn w:val="Normal"/>
    <w:link w:val="BalloonTextChar"/>
    <w:uiPriority w:val="99"/>
    <w:semiHidden/>
    <w:unhideWhenUsed/>
    <w:rsid w:val="00B46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AA"/>
    <w:rPr>
      <w:rFonts w:ascii="Segoe UI" w:hAnsi="Segoe UI" w:cs="Segoe UI"/>
      <w:sz w:val="18"/>
      <w:szCs w:val="18"/>
    </w:rPr>
  </w:style>
  <w:style w:type="paragraph" w:customStyle="1" w:styleId="MTDisplayEquation">
    <w:name w:val="MTDisplayEquation"/>
    <w:basedOn w:val="Normal"/>
    <w:next w:val="Normal"/>
    <w:link w:val="MTDisplayEquationChar"/>
    <w:rsid w:val="00F1182C"/>
    <w:pPr>
      <w:tabs>
        <w:tab w:val="center" w:pos="4680"/>
        <w:tab w:val="right" w:pos="9360"/>
      </w:tabs>
    </w:pPr>
  </w:style>
  <w:style w:type="character" w:customStyle="1" w:styleId="MTDisplayEquationChar">
    <w:name w:val="MTDisplayEquation Char"/>
    <w:basedOn w:val="DefaultParagraphFont"/>
    <w:link w:val="MTDisplayEquation"/>
    <w:rsid w:val="00F1182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847419"/>
    <w:rPr>
      <w:b/>
      <w:bCs/>
    </w:rPr>
  </w:style>
  <w:style w:type="character" w:customStyle="1" w:styleId="CommentSubjectChar">
    <w:name w:val="Comment Subject Char"/>
    <w:basedOn w:val="CommentTextChar"/>
    <w:link w:val="CommentSubject"/>
    <w:uiPriority w:val="99"/>
    <w:semiHidden/>
    <w:rsid w:val="00847419"/>
    <w:rPr>
      <w:rFonts w:ascii="Times New Roman" w:hAnsi="Times New Roman"/>
      <w:b/>
      <w:bCs/>
      <w:sz w:val="20"/>
      <w:szCs w:val="20"/>
    </w:rPr>
  </w:style>
  <w:style w:type="character" w:customStyle="1" w:styleId="MTEquationSection">
    <w:name w:val="MTEquationSection"/>
    <w:basedOn w:val="DefaultParagraphFont"/>
    <w:rsid w:val="00966FC1"/>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oleObject" Target="embeddings/oleObject40.bin"/><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png"/><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image" Target="media/image36.png"/><Relationship Id="rId79" Type="http://schemas.openxmlformats.org/officeDocument/2006/relationships/image" Target="media/image39.wmf"/><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image" Target="media/image31.wmf"/><Relationship Id="rId69" Type="http://schemas.openxmlformats.org/officeDocument/2006/relationships/oleObject" Target="embeddings/oleObject31.bin"/><Relationship Id="rId8" Type="http://schemas.openxmlformats.org/officeDocument/2006/relationships/image" Target="media/image2.wmf"/><Relationship Id="rId51" Type="http://schemas.openxmlformats.org/officeDocument/2006/relationships/image" Target="media/image24.png"/><Relationship Id="rId72" Type="http://schemas.openxmlformats.org/officeDocument/2006/relationships/image" Target="media/image35.wmf"/><Relationship Id="rId80" Type="http://schemas.openxmlformats.org/officeDocument/2006/relationships/oleObject" Target="embeddings/oleObject36.bin"/><Relationship Id="rId85" Type="http://schemas.openxmlformats.org/officeDocument/2006/relationships/oleObject" Target="embeddings/oleObject38.bin"/><Relationship Id="rId93" Type="http://schemas.openxmlformats.org/officeDocument/2006/relationships/image" Target="media/image47.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7.wmf"/><Relationship Id="rId83" Type="http://schemas.openxmlformats.org/officeDocument/2006/relationships/image" Target="media/image41.png"/><Relationship Id="rId88" Type="http://schemas.openxmlformats.org/officeDocument/2006/relationships/image" Target="media/image44.wmf"/><Relationship Id="rId91"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image" Target="media/image40.wmf"/><Relationship Id="rId86" Type="http://schemas.openxmlformats.org/officeDocument/2006/relationships/image" Target="media/image43.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34.bin"/><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6.png"/><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39.bin"/><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CC00-5228-43B8-97B5-45D60CC1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Hyun-Seob Song</dc:creator>
  <cp:keywords/>
  <dc:description/>
  <cp:lastModifiedBy>Song, Hyun-Seob (Hyun)</cp:lastModifiedBy>
  <cp:revision>3</cp:revision>
  <dcterms:created xsi:type="dcterms:W3CDTF">2019-04-30T20:24:00Z</dcterms:created>
  <dcterms:modified xsi:type="dcterms:W3CDTF">2019-04-30T20:25:00Z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(S#E1)</vt:lpwstr>
  </property>
  <property fmtid="{D5CDD505-2E9C-101B-9397-08002B2CF9AE}" pid="4" name="MTCustomEquationNumber">
    <vt:lpwstr>1</vt:lpwstr>
  </property>
</Properties>
</file>