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E4" w:rsidRPr="00FA09E4" w:rsidRDefault="00FA09E4" w:rsidP="00FA09E4">
      <w:pPr>
        <w:autoSpaceDE w:val="0"/>
        <w:autoSpaceDN w:val="0"/>
        <w:adjustRightInd w:val="0"/>
        <w:spacing w:before="0" w:after="0"/>
        <w:jc w:val="both"/>
      </w:pPr>
      <w:r w:rsidRPr="00FA09E4">
        <w:rPr>
          <w:rFonts w:cs="Times New Roman"/>
          <w:szCs w:val="24"/>
        </w:rPr>
        <w:t xml:space="preserve">Table </w:t>
      </w:r>
      <w:r w:rsidR="00866BE2">
        <w:rPr>
          <w:rFonts w:cs="Times New Roman"/>
          <w:szCs w:val="24"/>
        </w:rPr>
        <w:t>3</w:t>
      </w:r>
      <w:r w:rsidRPr="00FA09E4">
        <w:rPr>
          <w:rFonts w:cs="Times New Roman"/>
          <w:szCs w:val="24"/>
        </w:rPr>
        <w:t xml:space="preserve">. </w:t>
      </w:r>
      <w:r w:rsidRPr="00FA09E4">
        <w:t>Statistical values of main effects and interaction of General Linear Models (GLM) used for analyze of the changes of serum BDNF levels between baseline and 48h after dosing session (D2), for control group and patients with major depression of both treatments (ayahuasca and placebo).</w:t>
      </w:r>
    </w:p>
    <w:p w:rsidR="00FA09E4" w:rsidRPr="00F33708" w:rsidRDefault="00FA09E4" w:rsidP="00FA09E4">
      <w:pPr>
        <w:autoSpaceDE w:val="0"/>
        <w:autoSpaceDN w:val="0"/>
        <w:adjustRightInd w:val="0"/>
        <w:spacing w:before="0" w:after="0"/>
        <w:jc w:val="both"/>
        <w:rPr>
          <w:rFonts w:cs="Times New Roman"/>
          <w:szCs w:val="24"/>
        </w:rPr>
      </w:pPr>
    </w:p>
    <w:tbl>
      <w:tblPr>
        <w:tblStyle w:val="SombreamentoClaro"/>
        <w:tblW w:w="8931" w:type="dxa"/>
        <w:jc w:val="center"/>
        <w:tblBorders>
          <w:top w:val="single" w:sz="4" w:space="0" w:color="auto"/>
          <w:bottom w:val="single" w:sz="4" w:space="0" w:color="auto"/>
        </w:tblBorders>
        <w:tblLook w:val="04A0" w:firstRow="1" w:lastRow="0" w:firstColumn="1" w:lastColumn="0" w:noHBand="0" w:noVBand="1"/>
      </w:tblPr>
      <w:tblGrid>
        <w:gridCol w:w="3256"/>
        <w:gridCol w:w="2596"/>
        <w:gridCol w:w="1410"/>
        <w:gridCol w:w="1669"/>
      </w:tblGrid>
      <w:tr w:rsidR="00FA09E4" w:rsidRPr="00CB5BC1" w:rsidTr="00AF7292">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bottom w:val="single" w:sz="4" w:space="0" w:color="auto"/>
            </w:tcBorders>
            <w:shd w:val="clear" w:color="auto" w:fill="auto"/>
          </w:tcPr>
          <w:p w:rsidR="00FA09E4" w:rsidRPr="00CB5BC1" w:rsidRDefault="00FA09E4" w:rsidP="00AF7292">
            <w:pPr>
              <w:autoSpaceDE w:val="0"/>
              <w:autoSpaceDN w:val="0"/>
              <w:adjustRightInd w:val="0"/>
              <w:spacing w:after="0"/>
              <w:rPr>
                <w:rFonts w:cs="Times New Roman"/>
                <w:color w:val="auto"/>
                <w:szCs w:val="24"/>
              </w:rPr>
            </w:pPr>
            <w:r>
              <w:rPr>
                <w:rFonts w:cs="Times New Roman"/>
                <w:color w:val="auto"/>
                <w:szCs w:val="24"/>
              </w:rPr>
              <w:t>EFFECT</w:t>
            </w:r>
          </w:p>
        </w:tc>
        <w:tc>
          <w:tcPr>
            <w:tcW w:w="2596" w:type="dxa"/>
            <w:tcBorders>
              <w:top w:val="single" w:sz="4" w:space="0" w:color="auto"/>
              <w:bottom w:val="single" w:sz="4" w:space="0" w:color="auto"/>
            </w:tcBorders>
            <w:shd w:val="clear" w:color="auto" w:fill="auto"/>
          </w:tcPr>
          <w:p w:rsidR="00FA09E4" w:rsidRPr="00CB5BC1" w:rsidRDefault="00FA09E4" w:rsidP="00AF7292">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cs="Times New Roman"/>
                <w:color w:val="auto"/>
                <w:szCs w:val="24"/>
              </w:rPr>
            </w:pPr>
            <w:r>
              <w:rPr>
                <w:rFonts w:cs="Times New Roman"/>
                <w:color w:val="auto"/>
                <w:szCs w:val="24"/>
              </w:rPr>
              <w:t>F</w:t>
            </w:r>
          </w:p>
        </w:tc>
        <w:tc>
          <w:tcPr>
            <w:tcW w:w="1410" w:type="dxa"/>
            <w:tcBorders>
              <w:top w:val="single" w:sz="4" w:space="0" w:color="auto"/>
              <w:bottom w:val="single" w:sz="4" w:space="0" w:color="auto"/>
            </w:tcBorders>
          </w:tcPr>
          <w:p w:rsidR="00FA09E4" w:rsidRDefault="00FA09E4" w:rsidP="00AF7292">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p</w:t>
            </w:r>
          </w:p>
        </w:tc>
        <w:tc>
          <w:tcPr>
            <w:tcW w:w="1669" w:type="dxa"/>
            <w:tcBorders>
              <w:top w:val="single" w:sz="4" w:space="0" w:color="auto"/>
              <w:bottom w:val="single" w:sz="4" w:space="0" w:color="auto"/>
            </w:tcBorders>
          </w:tcPr>
          <w:p w:rsidR="00FA09E4" w:rsidRDefault="00FA09E4" w:rsidP="00AF7292">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DF</w:t>
            </w:r>
          </w:p>
        </w:tc>
      </w:tr>
      <w:tr w:rsidR="00FA09E4" w:rsidRPr="00CB5BC1" w:rsidTr="00AF729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tcBorders>
            <w:shd w:val="clear" w:color="auto" w:fill="auto"/>
          </w:tcPr>
          <w:p w:rsidR="00FA09E4" w:rsidRPr="00CB5BC1" w:rsidRDefault="00FA09E4" w:rsidP="00AF7292">
            <w:pPr>
              <w:autoSpaceDE w:val="0"/>
              <w:autoSpaceDN w:val="0"/>
              <w:adjustRightInd w:val="0"/>
              <w:spacing w:after="0"/>
              <w:rPr>
                <w:rFonts w:cs="Times New Roman"/>
                <w:b w:val="0"/>
                <w:color w:val="auto"/>
                <w:szCs w:val="24"/>
              </w:rPr>
            </w:pPr>
            <w:r>
              <w:rPr>
                <w:rFonts w:cs="Times New Roman"/>
                <w:b w:val="0"/>
                <w:color w:val="auto"/>
                <w:szCs w:val="24"/>
              </w:rPr>
              <w:t>Inte</w:t>
            </w:r>
            <w:r w:rsidR="00736F25">
              <w:rPr>
                <w:rFonts w:cs="Times New Roman"/>
                <w:b w:val="0"/>
                <w:color w:val="auto"/>
                <w:szCs w:val="24"/>
              </w:rPr>
              <w:t>r</w:t>
            </w:r>
            <w:bookmarkStart w:id="0" w:name="_GoBack"/>
            <w:bookmarkEnd w:id="0"/>
            <w:r>
              <w:rPr>
                <w:rFonts w:cs="Times New Roman"/>
                <w:b w:val="0"/>
                <w:color w:val="auto"/>
                <w:szCs w:val="24"/>
              </w:rPr>
              <w:t>cept</w:t>
            </w:r>
          </w:p>
        </w:tc>
        <w:tc>
          <w:tcPr>
            <w:tcW w:w="2596" w:type="dxa"/>
            <w:tcBorders>
              <w:top w:val="single" w:sz="4" w:space="0" w:color="auto"/>
            </w:tcBorders>
            <w:shd w:val="clear" w:color="auto" w:fill="auto"/>
          </w:tcPr>
          <w:p w:rsidR="00FA09E4" w:rsidRPr="00CB5BC1"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Pr>
                <w:rFonts w:cs="Times New Roman"/>
                <w:color w:val="auto"/>
                <w:szCs w:val="24"/>
              </w:rPr>
              <w:t>75437.76</w:t>
            </w:r>
          </w:p>
        </w:tc>
        <w:tc>
          <w:tcPr>
            <w:tcW w:w="1410" w:type="dxa"/>
            <w:tcBorders>
              <w:top w:val="single" w:sz="4" w:space="0" w:color="auto"/>
            </w:tcBorders>
            <w:shd w:val="clear" w:color="auto" w:fill="FFFFFF" w:themeFill="background1"/>
          </w:tcPr>
          <w:p w:rsidR="00FA09E4" w:rsidRPr="00CB5BC1"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0.001</w:t>
            </w:r>
          </w:p>
        </w:tc>
        <w:tc>
          <w:tcPr>
            <w:tcW w:w="1669" w:type="dxa"/>
            <w:tcBorders>
              <w:top w:val="single" w:sz="4" w:space="0" w:color="auto"/>
            </w:tcBorders>
            <w:shd w:val="clear" w:color="auto" w:fill="FFFFFF" w:themeFill="background1"/>
          </w:tcPr>
          <w:p w:rsidR="00FA09E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w:t>
            </w:r>
          </w:p>
        </w:tc>
      </w:tr>
      <w:tr w:rsidR="00FA09E4" w:rsidRPr="00CB5BC1" w:rsidTr="00AF7292">
        <w:trPr>
          <w:trHeight w:val="2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FA09E4" w:rsidRPr="00CA3014" w:rsidRDefault="00FA09E4" w:rsidP="00AF7292">
            <w:pPr>
              <w:autoSpaceDE w:val="0"/>
              <w:autoSpaceDN w:val="0"/>
              <w:adjustRightInd w:val="0"/>
              <w:spacing w:after="0"/>
              <w:rPr>
                <w:rFonts w:cs="Times New Roman"/>
                <w:b w:val="0"/>
                <w:color w:val="BFBFBF" w:themeColor="background1" w:themeShade="BF"/>
                <w:szCs w:val="24"/>
              </w:rPr>
            </w:pPr>
            <w:r w:rsidRPr="00CA3014">
              <w:rPr>
                <w:rFonts w:cs="Times New Roman"/>
                <w:b w:val="0"/>
                <w:color w:val="BFBFBF" w:themeColor="background1" w:themeShade="BF"/>
                <w:szCs w:val="24"/>
              </w:rPr>
              <w:t>Group</w:t>
            </w:r>
          </w:p>
        </w:tc>
        <w:tc>
          <w:tcPr>
            <w:tcW w:w="2596" w:type="dxa"/>
            <w:shd w:val="clear" w:color="auto" w:fill="auto"/>
          </w:tcPr>
          <w:p w:rsidR="00FA09E4" w:rsidRPr="00CA301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1.63</w:t>
            </w:r>
          </w:p>
        </w:tc>
        <w:tc>
          <w:tcPr>
            <w:tcW w:w="1410" w:type="dxa"/>
            <w:shd w:val="clear" w:color="auto" w:fill="FFFFFF" w:themeFill="background1"/>
          </w:tcPr>
          <w:p w:rsidR="00FA09E4" w:rsidRPr="00CA301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0.20</w:t>
            </w:r>
          </w:p>
        </w:tc>
        <w:tc>
          <w:tcPr>
            <w:tcW w:w="1669" w:type="dxa"/>
            <w:shd w:val="clear" w:color="auto" w:fill="FFFFFF" w:themeFill="background1"/>
          </w:tcPr>
          <w:p w:rsidR="00FA09E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w:t>
            </w:r>
          </w:p>
        </w:tc>
      </w:tr>
      <w:tr w:rsidR="00FA09E4" w:rsidRPr="00CB5BC1" w:rsidTr="00AF729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FA09E4" w:rsidRPr="00CB5BC1" w:rsidRDefault="00FA09E4" w:rsidP="00AF7292">
            <w:pPr>
              <w:autoSpaceDE w:val="0"/>
              <w:autoSpaceDN w:val="0"/>
              <w:adjustRightInd w:val="0"/>
              <w:spacing w:after="0"/>
              <w:rPr>
                <w:rFonts w:cs="Times New Roman"/>
                <w:b w:val="0"/>
                <w:color w:val="auto"/>
                <w:szCs w:val="24"/>
              </w:rPr>
            </w:pPr>
            <w:r>
              <w:rPr>
                <w:rFonts w:cs="Times New Roman"/>
                <w:b w:val="0"/>
                <w:color w:val="auto"/>
                <w:szCs w:val="24"/>
              </w:rPr>
              <w:t>Treatment</w:t>
            </w:r>
          </w:p>
        </w:tc>
        <w:tc>
          <w:tcPr>
            <w:tcW w:w="2596" w:type="dxa"/>
            <w:shd w:val="clear" w:color="auto" w:fill="auto"/>
          </w:tcPr>
          <w:p w:rsidR="00FA09E4" w:rsidRPr="00CA301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szCs w:val="24"/>
              </w:rPr>
            </w:pPr>
            <w:r w:rsidRPr="00CA3014">
              <w:rPr>
                <w:rFonts w:cs="Times New Roman"/>
                <w:color w:val="auto"/>
                <w:szCs w:val="24"/>
              </w:rPr>
              <w:t>4.81</w:t>
            </w:r>
          </w:p>
        </w:tc>
        <w:tc>
          <w:tcPr>
            <w:tcW w:w="1410" w:type="dxa"/>
            <w:shd w:val="clear" w:color="auto" w:fill="FFFFFF" w:themeFill="background1"/>
          </w:tcPr>
          <w:p w:rsidR="00FA09E4" w:rsidRPr="00CA301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CA3014">
              <w:rPr>
                <w:rFonts w:cs="Times New Roman"/>
                <w:szCs w:val="24"/>
              </w:rPr>
              <w:t>0.03</w:t>
            </w:r>
          </w:p>
        </w:tc>
        <w:tc>
          <w:tcPr>
            <w:tcW w:w="1669" w:type="dxa"/>
            <w:shd w:val="clear" w:color="auto" w:fill="FFFFFF" w:themeFill="background1"/>
          </w:tcPr>
          <w:p w:rsidR="00FA09E4" w:rsidRPr="00CA301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b/>
                <w:szCs w:val="24"/>
              </w:rPr>
            </w:pPr>
            <w:r>
              <w:rPr>
                <w:rFonts w:cs="Times New Roman"/>
                <w:b/>
                <w:szCs w:val="24"/>
              </w:rPr>
              <w:t>1</w:t>
            </w:r>
          </w:p>
        </w:tc>
      </w:tr>
      <w:tr w:rsidR="00FA09E4" w:rsidRPr="00CB5BC1" w:rsidTr="00AF7292">
        <w:trPr>
          <w:trHeight w:val="2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FA09E4" w:rsidRPr="00CA3014" w:rsidRDefault="00FA09E4" w:rsidP="00AF7292">
            <w:pPr>
              <w:autoSpaceDE w:val="0"/>
              <w:autoSpaceDN w:val="0"/>
              <w:adjustRightInd w:val="0"/>
              <w:spacing w:after="0"/>
              <w:rPr>
                <w:rFonts w:cs="Times New Roman"/>
                <w:b w:val="0"/>
                <w:color w:val="BFBFBF" w:themeColor="background1" w:themeShade="BF"/>
                <w:szCs w:val="24"/>
              </w:rPr>
            </w:pPr>
            <w:r w:rsidRPr="00CA3014">
              <w:rPr>
                <w:rFonts w:cs="Times New Roman"/>
                <w:b w:val="0"/>
                <w:color w:val="BFBFBF" w:themeColor="background1" w:themeShade="BF"/>
                <w:szCs w:val="24"/>
              </w:rPr>
              <w:t>Phase</w:t>
            </w:r>
          </w:p>
        </w:tc>
        <w:tc>
          <w:tcPr>
            <w:tcW w:w="2596" w:type="dxa"/>
            <w:shd w:val="clear" w:color="auto" w:fill="auto"/>
          </w:tcPr>
          <w:p w:rsidR="00FA09E4" w:rsidRPr="00CA301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2.22</w:t>
            </w:r>
          </w:p>
        </w:tc>
        <w:tc>
          <w:tcPr>
            <w:tcW w:w="1410" w:type="dxa"/>
            <w:shd w:val="clear" w:color="auto" w:fill="FFFFFF" w:themeFill="background1"/>
          </w:tcPr>
          <w:p w:rsidR="00FA09E4" w:rsidRPr="00CA301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0.14</w:t>
            </w:r>
          </w:p>
        </w:tc>
        <w:tc>
          <w:tcPr>
            <w:tcW w:w="1669" w:type="dxa"/>
            <w:shd w:val="clear" w:color="auto" w:fill="FFFFFF" w:themeFill="background1"/>
          </w:tcPr>
          <w:p w:rsidR="00FA09E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w:t>
            </w:r>
          </w:p>
        </w:tc>
      </w:tr>
      <w:tr w:rsidR="00FA09E4" w:rsidRPr="00CB5BC1" w:rsidTr="00AF729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FA09E4" w:rsidRPr="00CA3014" w:rsidRDefault="00FA09E4" w:rsidP="00AF7292">
            <w:pPr>
              <w:autoSpaceDE w:val="0"/>
              <w:autoSpaceDN w:val="0"/>
              <w:adjustRightInd w:val="0"/>
              <w:spacing w:after="0"/>
              <w:rPr>
                <w:rFonts w:cs="Times New Roman"/>
                <w:b w:val="0"/>
                <w:color w:val="BFBFBF" w:themeColor="background1" w:themeShade="BF"/>
                <w:szCs w:val="24"/>
              </w:rPr>
            </w:pPr>
            <w:r w:rsidRPr="00CA3014">
              <w:rPr>
                <w:rFonts w:cs="Times New Roman"/>
                <w:b w:val="0"/>
                <w:color w:val="BFBFBF" w:themeColor="background1" w:themeShade="BF"/>
                <w:szCs w:val="24"/>
              </w:rPr>
              <w:t>Group*Treatment</w:t>
            </w:r>
          </w:p>
        </w:tc>
        <w:tc>
          <w:tcPr>
            <w:tcW w:w="2596" w:type="dxa"/>
            <w:shd w:val="clear" w:color="auto" w:fill="auto"/>
          </w:tcPr>
          <w:p w:rsidR="00FA09E4" w:rsidRPr="00CA301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0.08</w:t>
            </w:r>
          </w:p>
        </w:tc>
        <w:tc>
          <w:tcPr>
            <w:tcW w:w="1410" w:type="dxa"/>
            <w:shd w:val="clear" w:color="auto" w:fill="FFFFFF" w:themeFill="background1"/>
          </w:tcPr>
          <w:p w:rsidR="00FA09E4" w:rsidRPr="00CA301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0.77</w:t>
            </w:r>
          </w:p>
        </w:tc>
        <w:tc>
          <w:tcPr>
            <w:tcW w:w="1669" w:type="dxa"/>
            <w:shd w:val="clear" w:color="auto" w:fill="FFFFFF" w:themeFill="background1"/>
          </w:tcPr>
          <w:p w:rsidR="00FA09E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w:t>
            </w:r>
          </w:p>
        </w:tc>
      </w:tr>
      <w:tr w:rsidR="00FA09E4" w:rsidRPr="00CB5BC1" w:rsidTr="00AF7292">
        <w:trPr>
          <w:trHeight w:val="2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FA09E4" w:rsidRPr="00CA3014" w:rsidRDefault="00FA09E4" w:rsidP="00AF7292">
            <w:pPr>
              <w:autoSpaceDE w:val="0"/>
              <w:autoSpaceDN w:val="0"/>
              <w:adjustRightInd w:val="0"/>
              <w:spacing w:after="0"/>
              <w:rPr>
                <w:rFonts w:cs="Times New Roman"/>
                <w:b w:val="0"/>
                <w:color w:val="BFBFBF" w:themeColor="background1" w:themeShade="BF"/>
                <w:szCs w:val="24"/>
              </w:rPr>
            </w:pPr>
            <w:r w:rsidRPr="00CA3014">
              <w:rPr>
                <w:rFonts w:cs="Times New Roman"/>
                <w:b w:val="0"/>
                <w:color w:val="BFBFBF" w:themeColor="background1" w:themeShade="BF"/>
                <w:szCs w:val="24"/>
              </w:rPr>
              <w:t>Group*Phase</w:t>
            </w:r>
          </w:p>
        </w:tc>
        <w:tc>
          <w:tcPr>
            <w:tcW w:w="2596" w:type="dxa"/>
            <w:shd w:val="clear" w:color="auto" w:fill="auto"/>
          </w:tcPr>
          <w:p w:rsidR="00FA09E4" w:rsidRPr="00CA301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0.42</w:t>
            </w:r>
          </w:p>
        </w:tc>
        <w:tc>
          <w:tcPr>
            <w:tcW w:w="1410" w:type="dxa"/>
            <w:shd w:val="clear" w:color="auto" w:fill="FFFFFF" w:themeFill="background1"/>
          </w:tcPr>
          <w:p w:rsidR="00FA09E4" w:rsidRPr="00CA301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0.51</w:t>
            </w:r>
          </w:p>
        </w:tc>
        <w:tc>
          <w:tcPr>
            <w:tcW w:w="1669" w:type="dxa"/>
            <w:shd w:val="clear" w:color="auto" w:fill="FFFFFF" w:themeFill="background1"/>
          </w:tcPr>
          <w:p w:rsidR="00FA09E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w:t>
            </w:r>
          </w:p>
        </w:tc>
      </w:tr>
      <w:tr w:rsidR="00FA09E4" w:rsidRPr="00CB5BC1" w:rsidTr="00AF729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FA09E4" w:rsidRPr="00CA3014" w:rsidRDefault="00FA09E4" w:rsidP="00AF7292">
            <w:pPr>
              <w:autoSpaceDE w:val="0"/>
              <w:autoSpaceDN w:val="0"/>
              <w:adjustRightInd w:val="0"/>
              <w:spacing w:after="0"/>
              <w:rPr>
                <w:b w:val="0"/>
                <w:color w:val="BFBFBF" w:themeColor="background1" w:themeShade="BF"/>
                <w:szCs w:val="24"/>
              </w:rPr>
            </w:pPr>
            <w:r w:rsidRPr="00CA3014">
              <w:rPr>
                <w:b w:val="0"/>
                <w:color w:val="BFBFBF" w:themeColor="background1" w:themeShade="BF"/>
                <w:szCs w:val="24"/>
              </w:rPr>
              <w:t>Treatment*Phase</w:t>
            </w:r>
          </w:p>
        </w:tc>
        <w:tc>
          <w:tcPr>
            <w:tcW w:w="2596" w:type="dxa"/>
            <w:shd w:val="clear" w:color="auto" w:fill="auto"/>
          </w:tcPr>
          <w:p w:rsidR="00FA09E4" w:rsidRPr="00CA301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0.08</w:t>
            </w:r>
          </w:p>
        </w:tc>
        <w:tc>
          <w:tcPr>
            <w:tcW w:w="1410" w:type="dxa"/>
            <w:shd w:val="clear" w:color="auto" w:fill="FFFFFF" w:themeFill="background1"/>
          </w:tcPr>
          <w:p w:rsidR="00FA09E4" w:rsidRPr="00CA301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0.76</w:t>
            </w:r>
          </w:p>
        </w:tc>
        <w:tc>
          <w:tcPr>
            <w:tcW w:w="1669" w:type="dxa"/>
            <w:shd w:val="clear" w:color="auto" w:fill="FFFFFF" w:themeFill="background1"/>
          </w:tcPr>
          <w:p w:rsidR="00FA09E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w:t>
            </w:r>
          </w:p>
        </w:tc>
      </w:tr>
      <w:tr w:rsidR="00FA09E4" w:rsidRPr="00CB5BC1" w:rsidTr="00AF7292">
        <w:trPr>
          <w:trHeight w:val="2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FA09E4" w:rsidRPr="00CA3014" w:rsidRDefault="00FA09E4" w:rsidP="00AF7292">
            <w:pPr>
              <w:autoSpaceDE w:val="0"/>
              <w:autoSpaceDN w:val="0"/>
              <w:adjustRightInd w:val="0"/>
              <w:spacing w:after="0"/>
              <w:rPr>
                <w:rFonts w:cs="Times New Roman"/>
                <w:b w:val="0"/>
                <w:color w:val="BFBFBF" w:themeColor="background1" w:themeShade="BF"/>
                <w:szCs w:val="24"/>
              </w:rPr>
            </w:pPr>
            <w:r w:rsidRPr="00CA3014">
              <w:rPr>
                <w:rFonts w:cs="Times New Roman"/>
                <w:b w:val="0"/>
                <w:color w:val="BFBFBF" w:themeColor="background1" w:themeShade="BF"/>
                <w:szCs w:val="24"/>
              </w:rPr>
              <w:t>Group*Treatment*Phase</w:t>
            </w:r>
          </w:p>
        </w:tc>
        <w:tc>
          <w:tcPr>
            <w:tcW w:w="2596" w:type="dxa"/>
            <w:shd w:val="clear" w:color="auto" w:fill="auto"/>
          </w:tcPr>
          <w:p w:rsidR="00FA09E4" w:rsidRPr="00CA301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3.90</w:t>
            </w:r>
          </w:p>
        </w:tc>
        <w:tc>
          <w:tcPr>
            <w:tcW w:w="1410" w:type="dxa"/>
            <w:shd w:val="clear" w:color="auto" w:fill="FFFFFF" w:themeFill="background1"/>
          </w:tcPr>
          <w:p w:rsidR="00FA09E4" w:rsidRPr="00CA301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BFBFBF" w:themeColor="background1" w:themeShade="BF"/>
                <w:szCs w:val="24"/>
              </w:rPr>
            </w:pPr>
            <w:r w:rsidRPr="00CA3014">
              <w:rPr>
                <w:rFonts w:cs="Times New Roman"/>
                <w:color w:val="BFBFBF" w:themeColor="background1" w:themeShade="BF"/>
                <w:szCs w:val="24"/>
              </w:rPr>
              <w:t>0.053</w:t>
            </w:r>
          </w:p>
        </w:tc>
        <w:tc>
          <w:tcPr>
            <w:tcW w:w="1669" w:type="dxa"/>
            <w:shd w:val="clear" w:color="auto" w:fill="FFFFFF" w:themeFill="background1"/>
          </w:tcPr>
          <w:p w:rsidR="00FA09E4" w:rsidRDefault="00FA09E4" w:rsidP="00AF7292">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w:t>
            </w:r>
          </w:p>
        </w:tc>
      </w:tr>
      <w:tr w:rsidR="00FA09E4" w:rsidRPr="00CB5BC1" w:rsidTr="00AF729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rsidR="00FA09E4" w:rsidRPr="00CB5BC1" w:rsidRDefault="00FA09E4" w:rsidP="00AF7292">
            <w:pPr>
              <w:autoSpaceDE w:val="0"/>
              <w:autoSpaceDN w:val="0"/>
              <w:adjustRightInd w:val="0"/>
              <w:spacing w:after="0"/>
              <w:rPr>
                <w:rFonts w:cs="Times New Roman"/>
                <w:b w:val="0"/>
                <w:szCs w:val="24"/>
              </w:rPr>
            </w:pPr>
            <w:r w:rsidRPr="00CA3014">
              <w:rPr>
                <w:rFonts w:cs="Times New Roman"/>
                <w:b w:val="0"/>
                <w:color w:val="BFBFBF" w:themeColor="background1" w:themeShade="BF"/>
                <w:szCs w:val="24"/>
              </w:rPr>
              <w:t>Error</w:t>
            </w:r>
          </w:p>
        </w:tc>
        <w:tc>
          <w:tcPr>
            <w:tcW w:w="2596" w:type="dxa"/>
            <w:shd w:val="clear" w:color="auto" w:fill="auto"/>
          </w:tcPr>
          <w:p w:rsidR="00FA09E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410" w:type="dxa"/>
            <w:shd w:val="clear" w:color="auto" w:fill="FFFFFF" w:themeFill="background1"/>
          </w:tcPr>
          <w:p w:rsidR="00FA09E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669" w:type="dxa"/>
            <w:shd w:val="clear" w:color="auto" w:fill="FFFFFF" w:themeFill="background1"/>
          </w:tcPr>
          <w:p w:rsidR="00FA09E4" w:rsidRDefault="00FA09E4" w:rsidP="00AF7292">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bl>
    <w:p w:rsidR="005C4B43" w:rsidRPr="00CA3014" w:rsidRDefault="00FA09E4" w:rsidP="00CA3014">
      <w:pPr>
        <w:rPr>
          <w:vertAlign w:val="superscript"/>
        </w:rPr>
      </w:pPr>
      <w:r>
        <w:rPr>
          <w:vertAlign w:val="superscript"/>
        </w:rPr>
        <w:t>A</w:t>
      </w:r>
      <w:r w:rsidR="00CA3014" w:rsidRPr="00CA3014">
        <w:rPr>
          <w:vertAlign w:val="superscript"/>
        </w:rPr>
        <w:t>ll values in black correspond to statistical significance and values in gray to non-significant ones.</w:t>
      </w:r>
    </w:p>
    <w:sectPr w:rsidR="005C4B43" w:rsidRPr="00CA30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CC"/>
    <w:rsid w:val="001B50D9"/>
    <w:rsid w:val="00695393"/>
    <w:rsid w:val="00736F25"/>
    <w:rsid w:val="00765FEC"/>
    <w:rsid w:val="00866BE2"/>
    <w:rsid w:val="00912BE8"/>
    <w:rsid w:val="00C04ECC"/>
    <w:rsid w:val="00C83158"/>
    <w:rsid w:val="00CA3014"/>
    <w:rsid w:val="00FA09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31FC"/>
  <w15:docId w15:val="{95F4E97B-4C7C-4A07-BF40-001825BF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CC"/>
    <w:pPr>
      <w:spacing w:before="120" w:after="240" w:line="240" w:lineRule="auto"/>
    </w:pPr>
    <w:rPr>
      <w:rFonts w:ascii="Times New Roman" w:hAnsi="Times New Roman"/>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unhideWhenUsed/>
    <w:rsid w:val="00C04ECC"/>
    <w:rPr>
      <w:sz w:val="16"/>
      <w:szCs w:val="16"/>
    </w:rPr>
  </w:style>
  <w:style w:type="paragraph" w:styleId="Textodecomentrio">
    <w:name w:val="annotation text"/>
    <w:basedOn w:val="Normal"/>
    <w:link w:val="TextodecomentrioChar"/>
    <w:uiPriority w:val="99"/>
    <w:unhideWhenUsed/>
    <w:rsid w:val="00C04ECC"/>
    <w:rPr>
      <w:sz w:val="20"/>
      <w:szCs w:val="20"/>
    </w:rPr>
  </w:style>
  <w:style w:type="character" w:customStyle="1" w:styleId="TextodecomentrioChar">
    <w:name w:val="Texto de comentário Char"/>
    <w:basedOn w:val="Fontepargpadro"/>
    <w:link w:val="Textodecomentrio"/>
    <w:uiPriority w:val="99"/>
    <w:rsid w:val="00C04ECC"/>
    <w:rPr>
      <w:rFonts w:ascii="Times New Roman" w:hAnsi="Times New Roman"/>
      <w:sz w:val="20"/>
      <w:szCs w:val="20"/>
      <w:lang w:val="en-US"/>
    </w:rPr>
  </w:style>
  <w:style w:type="table" w:styleId="SombreamentoClaro">
    <w:name w:val="Light Shading"/>
    <w:basedOn w:val="Tabelanormal"/>
    <w:uiPriority w:val="60"/>
    <w:rsid w:val="00C04ECC"/>
    <w:pPr>
      <w:spacing w:after="0" w:line="240" w:lineRule="auto"/>
    </w:pPr>
    <w:rPr>
      <w:rFonts w:asciiTheme="majorHAnsi" w:hAnsiTheme="majorHAnsi"/>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C04ECC"/>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4EC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532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Cecília Galvão</dc:creator>
  <cp:lastModifiedBy>LMH</cp:lastModifiedBy>
  <cp:revision>3</cp:revision>
  <dcterms:created xsi:type="dcterms:W3CDTF">2019-04-22T18:08:00Z</dcterms:created>
  <dcterms:modified xsi:type="dcterms:W3CDTF">2019-05-20T14:58:00Z</dcterms:modified>
</cp:coreProperties>
</file>