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11736F98" w:rsidR="00654E8F" w:rsidRDefault="00654E8F" w:rsidP="0001436A">
      <w:pPr>
        <w:pStyle w:val="SupplementaryMaterial"/>
      </w:pPr>
      <w:bookmarkStart w:id="0" w:name="_GoBack"/>
      <w:bookmarkEnd w:id="0"/>
      <w:r w:rsidRPr="001549D3">
        <w:t>Supplementary Material</w:t>
      </w:r>
    </w:p>
    <w:p w14:paraId="4215BE90" w14:textId="3502415D" w:rsidR="009E495D" w:rsidRPr="00907CB3" w:rsidRDefault="00907CB3" w:rsidP="004B5D00">
      <w:pPr>
        <w:rPr>
          <w:b/>
        </w:rPr>
      </w:pPr>
      <w:r>
        <w:rPr>
          <w:b/>
        </w:rPr>
        <w:t>1</w:t>
      </w:r>
      <w:r>
        <w:rPr>
          <w:b/>
        </w:rPr>
        <w:tab/>
      </w:r>
      <w:r w:rsidR="00F77C71" w:rsidRPr="00907CB3">
        <w:rPr>
          <w:b/>
        </w:rPr>
        <w:t xml:space="preserve">Results </w:t>
      </w:r>
      <w:r w:rsidR="009E495D" w:rsidRPr="00907CB3">
        <w:rPr>
          <w:b/>
        </w:rPr>
        <w:t>of assumption</w:t>
      </w:r>
      <w:r w:rsidR="004B5D00" w:rsidRPr="004B5D00">
        <w:rPr>
          <w:b/>
        </w:rPr>
        <w:t xml:space="preserve"> </w:t>
      </w:r>
      <w:r w:rsidR="004B5D00" w:rsidRPr="00907CB3">
        <w:rPr>
          <w:b/>
        </w:rPr>
        <w:t>tests</w:t>
      </w:r>
      <w:r w:rsidR="004B5D00">
        <w:rPr>
          <w:b/>
        </w:rPr>
        <w:t xml:space="preserve"> for </w:t>
      </w:r>
      <w:r w:rsidR="001F19B5">
        <w:rPr>
          <w:b/>
        </w:rPr>
        <w:t xml:space="preserve">partial </w:t>
      </w:r>
      <w:r w:rsidR="004B5D00">
        <w:rPr>
          <w:b/>
        </w:rPr>
        <w:t>correlation statistics</w:t>
      </w:r>
    </w:p>
    <w:p w14:paraId="1124322A" w14:textId="55D188A6" w:rsidR="00806258" w:rsidRDefault="00907CB3" w:rsidP="009E495D">
      <w:r>
        <w:t>1.1</w:t>
      </w:r>
      <w:r>
        <w:tab/>
      </w:r>
      <w:r w:rsidR="009E495D">
        <w:t xml:space="preserve">Normality </w:t>
      </w:r>
    </w:p>
    <w:p w14:paraId="5E79FEA5" w14:textId="6312B35B" w:rsidR="004B40EA" w:rsidRDefault="00907CB3" w:rsidP="006A21A2">
      <w:pPr>
        <w:ind w:firstLine="720"/>
      </w:pPr>
      <w:r>
        <w:t xml:space="preserve">The Kolmogorov-Smirnov and </w:t>
      </w:r>
      <w:r w:rsidR="009A60A1">
        <w:t>Shapiro-Wilk tests of normality and tests of skewness and kurtosis were significant for all investigated variables. However, it is not recommended to run normality tests on large sample sizes, as is the case in this study (</w:t>
      </w:r>
      <w:r w:rsidR="009A60A1" w:rsidRPr="009A60A1">
        <w:rPr>
          <w:i/>
        </w:rPr>
        <w:t>N</w:t>
      </w:r>
      <w:r w:rsidR="009A60A1">
        <w:t xml:space="preserve">=632) </w:t>
      </w:r>
      <w:r>
        <w:fldChar w:fldCharType="begin"/>
      </w:r>
      <w:r>
        <w:instrText xml:space="preserve"> ADDIN EN.CITE &lt;EndNote&gt;&lt;Cite&gt;&lt;Author&gt;Field&lt;/Author&gt;&lt;Year&gt;2009&lt;/Year&gt;&lt;RecNum&gt;590&lt;/RecNum&gt;&lt;Suffix&gt;`, page 139`, 148&lt;/Suffix&gt;&lt;DisplayText&gt;(Field, 2009, page 139, 148)&lt;/DisplayText&gt;&lt;record&gt;&lt;rec-number&gt;590&lt;/rec-number&gt;&lt;foreign-keys&gt;&lt;key app="EN" db-id="9w5atd5to5vfaaevdzj52fpevpxvdva9f5za" timestamp="1554895206"&gt;590&lt;/key&gt;&lt;/foreign-keys&gt;&lt;ref-type name="Book"&gt;6&lt;/ref-type&gt;&lt;contributors&gt;&lt;authors&gt;&lt;author&gt;Field, Andy&lt;/author&gt;&lt;/authors&gt;&lt;/contributors&gt;&lt;titles&gt;&lt;title&gt;Discovering statistics using SPSS&lt;/title&gt;&lt;/titles&gt;&lt;dates&gt;&lt;year&gt;2009&lt;/year&gt;&lt;/dates&gt;&lt;publisher&gt;Sage publications&lt;/publisher&gt;&lt;isbn&gt;1847879063&lt;/isbn&gt;&lt;urls&gt;&lt;/urls&gt;&lt;/record&gt;&lt;/Cite&gt;&lt;/EndNote&gt;</w:instrText>
      </w:r>
      <w:r>
        <w:fldChar w:fldCharType="separate"/>
      </w:r>
      <w:r>
        <w:rPr>
          <w:noProof/>
        </w:rPr>
        <w:t>(Field, 2009, page 139, 148)</w:t>
      </w:r>
      <w:r>
        <w:fldChar w:fldCharType="end"/>
      </w:r>
      <w:r w:rsidR="009A60A1">
        <w:t xml:space="preserve">. </w:t>
      </w:r>
      <w:r w:rsidR="00764C91">
        <w:t xml:space="preserve">Therefore, we also </w:t>
      </w:r>
      <w:r w:rsidR="006A21A2">
        <w:t>visually investigated the</w:t>
      </w:r>
      <w:r w:rsidR="00764C91">
        <w:t xml:space="preserve"> histograms for each of the continuous variables investigated in this study</w:t>
      </w:r>
      <w:r w:rsidR="004B5D00">
        <w:t>, which support</w:t>
      </w:r>
      <w:r w:rsidR="006A21A2">
        <w:t>ed</w:t>
      </w:r>
      <w:r w:rsidR="004B5D00">
        <w:t xml:space="preserve"> the non-normality results in most variables</w:t>
      </w:r>
      <w:r w:rsidR="00764C91">
        <w:t xml:space="preserve">. Based on these results, Spearman’s rho correlations were applied. </w:t>
      </w:r>
    </w:p>
    <w:p w14:paraId="1DF57EE5" w14:textId="77777777" w:rsidR="001F19B5" w:rsidRDefault="007A4442" w:rsidP="001F19B5">
      <w:r>
        <w:t>1.2</w:t>
      </w:r>
      <w:r>
        <w:tab/>
      </w:r>
      <w:r w:rsidR="001F19B5">
        <w:t>Variable types</w:t>
      </w:r>
    </w:p>
    <w:p w14:paraId="048D4602" w14:textId="1B0A0A5F" w:rsidR="004B5D00" w:rsidRDefault="001F19B5" w:rsidP="006A21A2">
      <w:pPr>
        <w:ind w:firstLine="720"/>
      </w:pPr>
      <w:r>
        <w:t>All independent variables</w:t>
      </w:r>
      <w:r w:rsidR="006A21A2">
        <w:t xml:space="preserve"> (apart from sex)</w:t>
      </w:r>
      <w:r>
        <w:t xml:space="preserve"> as well as the dependent variable </w:t>
      </w:r>
      <w:r w:rsidR="006A21A2">
        <w:t>were</w:t>
      </w:r>
      <w:r>
        <w:t xml:space="preserve"> measured on a continuous scale. </w:t>
      </w:r>
      <w:r w:rsidR="006A21A2">
        <w:t xml:space="preserve">Sex was the only categorical variable, and used as a control in the Spearman’s rho correlations. </w:t>
      </w:r>
    </w:p>
    <w:p w14:paraId="150B2DA8" w14:textId="01C6000C" w:rsidR="004943ED" w:rsidRDefault="004943ED" w:rsidP="009E495D">
      <w:r>
        <w:t>1.3</w:t>
      </w:r>
      <w:r>
        <w:tab/>
        <w:t>Linearity</w:t>
      </w:r>
    </w:p>
    <w:p w14:paraId="36DE9A27" w14:textId="0E90A87A" w:rsidR="004943ED" w:rsidRDefault="004943ED" w:rsidP="006A21A2">
      <w:pPr>
        <w:ind w:firstLine="720"/>
      </w:pPr>
      <w:r>
        <w:t xml:space="preserve">Based on simple scatter plots with fit lines, created in SPSS graph builder, all </w:t>
      </w:r>
      <w:r w:rsidR="006A21A2">
        <w:t>variables had</w:t>
      </w:r>
      <w:r>
        <w:t xml:space="preserve"> linear relationships with sleep quality as measured with PSQI. </w:t>
      </w:r>
    </w:p>
    <w:p w14:paraId="34CF876A" w14:textId="1043C1E4" w:rsidR="004943ED" w:rsidRDefault="004943ED" w:rsidP="009E495D">
      <w:r>
        <w:t>1.4</w:t>
      </w:r>
      <w:r>
        <w:tab/>
        <w:t>Outliers</w:t>
      </w:r>
    </w:p>
    <w:p w14:paraId="3BF2E52E" w14:textId="23269049" w:rsidR="004943ED" w:rsidRDefault="004943ED" w:rsidP="006A21A2">
      <w:pPr>
        <w:ind w:firstLine="720"/>
      </w:pPr>
      <w:r>
        <w:t xml:space="preserve">There </w:t>
      </w:r>
      <w:r w:rsidR="006A21A2">
        <w:t>were</w:t>
      </w:r>
      <w:r>
        <w:t xml:space="preserve"> no significant outliers. </w:t>
      </w:r>
    </w:p>
    <w:p w14:paraId="081633F3" w14:textId="77777777" w:rsidR="004943ED" w:rsidRDefault="004943ED" w:rsidP="009E495D"/>
    <w:p w14:paraId="475EA04C" w14:textId="5AFFF7F6" w:rsidR="004B5D00" w:rsidRDefault="004B5D00" w:rsidP="009E495D">
      <w:r w:rsidRPr="004B5D00">
        <w:rPr>
          <w:b/>
        </w:rPr>
        <w:t>2</w:t>
      </w:r>
      <w:r>
        <w:tab/>
      </w:r>
      <w:r w:rsidRPr="00907CB3">
        <w:rPr>
          <w:b/>
        </w:rPr>
        <w:t>Results of assumption</w:t>
      </w:r>
      <w:r w:rsidRPr="004B5D00">
        <w:rPr>
          <w:b/>
        </w:rPr>
        <w:t xml:space="preserve"> </w:t>
      </w:r>
      <w:r w:rsidRPr="00907CB3">
        <w:rPr>
          <w:b/>
        </w:rPr>
        <w:t>tests</w:t>
      </w:r>
      <w:r>
        <w:rPr>
          <w:b/>
        </w:rPr>
        <w:t xml:space="preserve"> for multiple regression statistics</w:t>
      </w:r>
    </w:p>
    <w:p w14:paraId="126E6AA8" w14:textId="08D71AA6" w:rsidR="004B5D00" w:rsidRDefault="004B5D00" w:rsidP="004B5D00">
      <w:r>
        <w:t>2.1</w:t>
      </w:r>
      <w:r>
        <w:tab/>
        <w:t xml:space="preserve">Normality </w:t>
      </w:r>
      <w:r w:rsidR="006D3F58">
        <w:t xml:space="preserve">of distributed errors </w:t>
      </w:r>
    </w:p>
    <w:p w14:paraId="4D26E1BF" w14:textId="293F200C" w:rsidR="004B5D00" w:rsidRDefault="004B5D00" w:rsidP="006A21A2">
      <w:pPr>
        <w:ind w:firstLine="720"/>
      </w:pPr>
      <w:r>
        <w:t xml:space="preserve">For the multiple regression analyses, the normality assumption applies to the error distributions (residuals), rather the predictors and the outcome variables </w:t>
      </w:r>
      <w:r>
        <w:fldChar w:fldCharType="begin"/>
      </w:r>
      <w:r>
        <w:instrText xml:space="preserve"> ADDIN EN.CITE &lt;EndNote&gt;&lt;Cite&gt;&lt;Author&gt;Field&lt;/Author&gt;&lt;Year&gt;2009&lt;/Year&gt;&lt;RecNum&gt;590&lt;/RecNum&gt;&lt;Suffix&gt;`, page 221&lt;/Suffix&gt;&lt;DisplayText&gt;(Field, 2009, page 221)&lt;/DisplayText&gt;&lt;record&gt;&lt;rec-number&gt;590&lt;/rec-number&gt;&lt;foreign-keys&gt;&lt;key app="EN" db-id="9w5atd5to5vfaaevdzj52fpevpxvdva9f5za" timestamp="1554895206"&gt;590&lt;/key&gt;&lt;/foreign-keys&gt;&lt;ref-type name="Book"&gt;6&lt;/ref-type&gt;&lt;contributors&gt;&lt;authors&gt;&lt;author&gt;Field, Andy&lt;/author&gt;&lt;/authors&gt;&lt;/contributors&gt;&lt;titles&gt;&lt;title&gt;Discovering statistics using SPSS&lt;/title&gt;&lt;/titles&gt;&lt;dates&gt;&lt;year&gt;2009&lt;/year&gt;&lt;/dates&gt;&lt;publisher&gt;Sage publications&lt;/publisher&gt;&lt;isbn&gt;1847879063&lt;/isbn&gt;&lt;urls&gt;&lt;/urls&gt;&lt;/record&gt;&lt;/Cite&gt;&lt;/EndNote&gt;</w:instrText>
      </w:r>
      <w:r>
        <w:fldChar w:fldCharType="separate"/>
      </w:r>
      <w:r>
        <w:rPr>
          <w:noProof/>
        </w:rPr>
        <w:t>(Field, 2009, page 221)</w:t>
      </w:r>
      <w:r>
        <w:fldChar w:fldCharType="end"/>
      </w:r>
      <w:r>
        <w:t>. This assumption has been checked using the Predicted Probability (P-P plot) in SPSS. No drastic deviations from the line (i.e. points crossing the line horizontally)</w:t>
      </w:r>
      <w:r w:rsidR="006A21A2">
        <w:t xml:space="preserve"> were identified, which</w:t>
      </w:r>
      <w:r>
        <w:t xml:space="preserve"> implies no drastic deviations in the distribution of errors. </w:t>
      </w:r>
    </w:p>
    <w:p w14:paraId="1FFE2EAD" w14:textId="7E2AE8E0" w:rsidR="009E495D" w:rsidRDefault="006D3F58" w:rsidP="009E495D">
      <w:r>
        <w:t>2.2</w:t>
      </w:r>
      <w:r w:rsidR="007A4442">
        <w:tab/>
      </w:r>
      <w:r w:rsidR="009E495D">
        <w:t xml:space="preserve">Multicollinearity </w:t>
      </w:r>
    </w:p>
    <w:p w14:paraId="5AEB62F1" w14:textId="6E47BC74" w:rsidR="0078799C" w:rsidRDefault="0099660E" w:rsidP="006A21A2">
      <w:pPr>
        <w:ind w:firstLine="720"/>
      </w:pPr>
      <w:r>
        <w:t xml:space="preserve">SPSS has been used to produce the variance inflation factor (VIF), a measure of multicollinearity, which indicates the strength of the linear relationship between predictors. Two indicators may be used to evaluate whether there is cause for concern in regards to multicollinearity. Firstly, values that are greater than 10, and secondly, when the average of all VIF factors is much </w:t>
      </w:r>
      <w:r>
        <w:lastRenderedPageBreak/>
        <w:t xml:space="preserve">greater than 1 </w:t>
      </w:r>
      <w:r>
        <w:fldChar w:fldCharType="begin"/>
      </w:r>
      <w:r>
        <w:instrText xml:space="preserve"> ADDIN EN.CITE &lt;EndNote&gt;&lt;Cite&gt;&lt;Author&gt;Field&lt;/Author&gt;&lt;Year&gt;2009&lt;/Year&gt;&lt;RecNum&gt;590&lt;/RecNum&gt;&lt;Suffix&gt;`, page 242&lt;/Suffix&gt;&lt;DisplayText&gt;(Field, 2009, page 242)&lt;/DisplayText&gt;&lt;record&gt;&lt;rec-number&gt;590&lt;/rec-number&gt;&lt;foreign-keys&gt;&lt;key app="EN" db-id="9w5atd5to5vfaaevdzj52fpevpxvdva9f5za" timestamp="1554895206"&gt;590&lt;/key&gt;&lt;/foreign-keys&gt;&lt;ref-type name="Book"&gt;6&lt;/ref-type&gt;&lt;contributors&gt;&lt;authors&gt;&lt;author&gt;Field, Andy&lt;/author&gt;&lt;/authors&gt;&lt;/contributors&gt;&lt;titles&gt;&lt;title&gt;Discovering statistics using SPSS&lt;/title&gt;&lt;/titles&gt;&lt;dates&gt;&lt;year&gt;2009&lt;/year&gt;&lt;/dates&gt;&lt;publisher&gt;Sage publications&lt;/publisher&gt;&lt;isbn&gt;1847879063&lt;/isbn&gt;&lt;urls&gt;&lt;/urls&gt;&lt;/record&gt;&lt;/Cite&gt;&lt;/EndNote&gt;</w:instrText>
      </w:r>
      <w:r>
        <w:fldChar w:fldCharType="separate"/>
      </w:r>
      <w:r>
        <w:rPr>
          <w:noProof/>
        </w:rPr>
        <w:t>(Field, 2009, page 242)</w:t>
      </w:r>
      <w:r>
        <w:fldChar w:fldCharType="end"/>
      </w:r>
      <w:r>
        <w:t xml:space="preserve">. Neither of these indicators are present in the data (see Table 1 </w:t>
      </w:r>
      <w:r w:rsidR="0078799C">
        <w:t xml:space="preserve">for the VIF values in Model 1, </w:t>
      </w:r>
      <w:r>
        <w:t xml:space="preserve">and </w:t>
      </w:r>
      <w:r w:rsidR="0078799C">
        <w:t xml:space="preserve">Table </w:t>
      </w:r>
      <w:r>
        <w:t>2</w:t>
      </w:r>
      <w:r w:rsidR="0078799C">
        <w:t xml:space="preserve"> for VIF values in Model 2</w:t>
      </w:r>
      <w:r>
        <w:t>).</w:t>
      </w:r>
    </w:p>
    <w:tbl>
      <w:tblPr>
        <w:tblStyle w:val="TableGrid"/>
        <w:tblW w:w="0" w:type="auto"/>
        <w:tblLook w:val="04A0" w:firstRow="1" w:lastRow="0" w:firstColumn="1" w:lastColumn="0" w:noHBand="0" w:noVBand="1"/>
      </w:tblPr>
      <w:tblGrid>
        <w:gridCol w:w="4883"/>
        <w:gridCol w:w="4884"/>
      </w:tblGrid>
      <w:tr w:rsidR="0078799C" w14:paraId="1DCC1967" w14:textId="77777777" w:rsidTr="0078799C">
        <w:tc>
          <w:tcPr>
            <w:tcW w:w="9767" w:type="dxa"/>
            <w:gridSpan w:val="2"/>
            <w:tcBorders>
              <w:top w:val="nil"/>
              <w:left w:val="nil"/>
              <w:right w:val="nil"/>
            </w:tcBorders>
          </w:tcPr>
          <w:p w14:paraId="3A8BBC85" w14:textId="1E0E54FB" w:rsidR="0078799C" w:rsidRDefault="0078799C" w:rsidP="0078799C">
            <w:pPr>
              <w:spacing w:after="0"/>
            </w:pPr>
            <w:r>
              <w:t>Table 1</w:t>
            </w:r>
            <w:r>
              <w:br/>
            </w:r>
            <w:r w:rsidRPr="0078799C">
              <w:rPr>
                <w:i/>
              </w:rPr>
              <w:t>Multicollinearity diagnostics for multiple linear regression investigating predictors of sleep quality, Model 1, based on cross-sectional data in 632 junior athletes.</w:t>
            </w:r>
          </w:p>
        </w:tc>
      </w:tr>
      <w:tr w:rsidR="0078799C" w14:paraId="3EBECE93" w14:textId="77777777" w:rsidTr="0078799C">
        <w:tc>
          <w:tcPr>
            <w:tcW w:w="4883" w:type="dxa"/>
            <w:tcBorders>
              <w:left w:val="nil"/>
              <w:right w:val="nil"/>
            </w:tcBorders>
          </w:tcPr>
          <w:p w14:paraId="39F74B27" w14:textId="460F319C" w:rsidR="0078799C" w:rsidRDefault="0078799C" w:rsidP="0078799C">
            <w:pPr>
              <w:spacing w:after="0"/>
            </w:pPr>
            <w:r>
              <w:t>Variable</w:t>
            </w:r>
          </w:p>
        </w:tc>
        <w:tc>
          <w:tcPr>
            <w:tcW w:w="4884" w:type="dxa"/>
            <w:tcBorders>
              <w:left w:val="nil"/>
              <w:right w:val="nil"/>
            </w:tcBorders>
          </w:tcPr>
          <w:p w14:paraId="5F0ADCA0" w14:textId="7AAA76A8" w:rsidR="0078799C" w:rsidRDefault="0078799C" w:rsidP="0078799C">
            <w:pPr>
              <w:spacing w:after="0"/>
            </w:pPr>
            <w:r>
              <w:t>VIF</w:t>
            </w:r>
          </w:p>
        </w:tc>
      </w:tr>
      <w:tr w:rsidR="0078799C" w14:paraId="65960AF6" w14:textId="77777777" w:rsidTr="0078799C">
        <w:tc>
          <w:tcPr>
            <w:tcW w:w="4883" w:type="dxa"/>
            <w:tcBorders>
              <w:left w:val="nil"/>
              <w:bottom w:val="nil"/>
              <w:right w:val="nil"/>
            </w:tcBorders>
          </w:tcPr>
          <w:p w14:paraId="3907BF2F" w14:textId="331F642A" w:rsidR="0078799C" w:rsidRDefault="0078799C" w:rsidP="0078799C">
            <w:pPr>
              <w:spacing w:after="0"/>
            </w:pPr>
            <w:r>
              <w:t xml:space="preserve">Sex </w:t>
            </w:r>
          </w:p>
        </w:tc>
        <w:tc>
          <w:tcPr>
            <w:tcW w:w="4884" w:type="dxa"/>
            <w:tcBorders>
              <w:left w:val="nil"/>
              <w:bottom w:val="nil"/>
              <w:right w:val="nil"/>
            </w:tcBorders>
          </w:tcPr>
          <w:p w14:paraId="793E497C" w14:textId="46ADF6A1"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24</w:t>
            </w:r>
          </w:p>
        </w:tc>
      </w:tr>
      <w:tr w:rsidR="0078799C" w14:paraId="06D43F61" w14:textId="77777777" w:rsidTr="0078799C">
        <w:tc>
          <w:tcPr>
            <w:tcW w:w="4883" w:type="dxa"/>
            <w:tcBorders>
              <w:top w:val="nil"/>
              <w:left w:val="nil"/>
              <w:bottom w:val="nil"/>
              <w:right w:val="nil"/>
            </w:tcBorders>
          </w:tcPr>
          <w:p w14:paraId="482F7561" w14:textId="7CCB6021" w:rsidR="0078799C" w:rsidRDefault="0078799C" w:rsidP="0078799C">
            <w:pPr>
              <w:spacing w:after="0"/>
            </w:pPr>
            <w:r>
              <w:t>Perception of self</w:t>
            </w:r>
          </w:p>
        </w:tc>
        <w:tc>
          <w:tcPr>
            <w:tcW w:w="4884" w:type="dxa"/>
            <w:tcBorders>
              <w:top w:val="nil"/>
              <w:left w:val="nil"/>
              <w:bottom w:val="nil"/>
              <w:right w:val="nil"/>
            </w:tcBorders>
          </w:tcPr>
          <w:p w14:paraId="5FB6E74C" w14:textId="58C4FA59" w:rsidR="0078799C" w:rsidRPr="0078799C" w:rsidRDefault="0078799C" w:rsidP="004B5D00">
            <w:pPr>
              <w:spacing w:after="0"/>
              <w:rPr>
                <w:rFonts w:cs="Times New Roman"/>
                <w:szCs w:val="24"/>
              </w:rPr>
            </w:pPr>
            <w:r w:rsidRPr="0099660E">
              <w:rPr>
                <w:rFonts w:cs="Times New Roman"/>
                <w:color w:val="010205"/>
                <w:szCs w:val="24"/>
              </w:rPr>
              <w:t>2</w:t>
            </w:r>
            <w:r w:rsidR="004B5D00">
              <w:rPr>
                <w:rFonts w:cs="Times New Roman"/>
                <w:color w:val="010205"/>
                <w:szCs w:val="24"/>
              </w:rPr>
              <w:t>.</w:t>
            </w:r>
            <w:r w:rsidRPr="0099660E">
              <w:rPr>
                <w:rFonts w:cs="Times New Roman"/>
                <w:color w:val="010205"/>
                <w:szCs w:val="24"/>
              </w:rPr>
              <w:t>7</w:t>
            </w:r>
            <w:r w:rsidR="004B5D00">
              <w:rPr>
                <w:rFonts w:cs="Times New Roman"/>
                <w:color w:val="010205"/>
                <w:szCs w:val="24"/>
              </w:rPr>
              <w:t>4</w:t>
            </w:r>
          </w:p>
        </w:tc>
      </w:tr>
      <w:tr w:rsidR="0078799C" w14:paraId="63ECBBE4" w14:textId="77777777" w:rsidTr="0078799C">
        <w:tc>
          <w:tcPr>
            <w:tcW w:w="4883" w:type="dxa"/>
            <w:tcBorders>
              <w:top w:val="nil"/>
              <w:left w:val="nil"/>
              <w:bottom w:val="nil"/>
              <w:right w:val="nil"/>
            </w:tcBorders>
          </w:tcPr>
          <w:p w14:paraId="17902DE1" w14:textId="3AFFE21A" w:rsidR="0078799C" w:rsidRDefault="0078799C" w:rsidP="0078799C">
            <w:pPr>
              <w:spacing w:after="0"/>
            </w:pPr>
            <w:r>
              <w:t>Planned future</w:t>
            </w:r>
          </w:p>
        </w:tc>
        <w:tc>
          <w:tcPr>
            <w:tcW w:w="4884" w:type="dxa"/>
            <w:tcBorders>
              <w:top w:val="nil"/>
              <w:left w:val="nil"/>
              <w:bottom w:val="nil"/>
              <w:right w:val="nil"/>
            </w:tcBorders>
          </w:tcPr>
          <w:p w14:paraId="113CC8B7" w14:textId="65D9ED10"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9</w:t>
            </w:r>
            <w:r w:rsidR="004B5D00">
              <w:rPr>
                <w:rFonts w:cs="Times New Roman"/>
                <w:color w:val="010205"/>
                <w:szCs w:val="24"/>
              </w:rPr>
              <w:t>6</w:t>
            </w:r>
          </w:p>
        </w:tc>
      </w:tr>
      <w:tr w:rsidR="0078799C" w14:paraId="7DF51ABD" w14:textId="77777777" w:rsidTr="0078799C">
        <w:tc>
          <w:tcPr>
            <w:tcW w:w="4883" w:type="dxa"/>
            <w:tcBorders>
              <w:top w:val="nil"/>
              <w:left w:val="nil"/>
              <w:bottom w:val="nil"/>
              <w:right w:val="nil"/>
            </w:tcBorders>
          </w:tcPr>
          <w:p w14:paraId="0BF10880" w14:textId="56728636" w:rsidR="0078799C" w:rsidRDefault="0078799C" w:rsidP="0078799C">
            <w:pPr>
              <w:spacing w:after="0"/>
            </w:pPr>
            <w:r>
              <w:t>Social competence</w:t>
            </w:r>
          </w:p>
        </w:tc>
        <w:tc>
          <w:tcPr>
            <w:tcW w:w="4884" w:type="dxa"/>
            <w:tcBorders>
              <w:top w:val="nil"/>
              <w:left w:val="nil"/>
              <w:bottom w:val="nil"/>
              <w:right w:val="nil"/>
            </w:tcBorders>
          </w:tcPr>
          <w:p w14:paraId="38DFD4D7" w14:textId="2E38C44B"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3</w:t>
            </w:r>
            <w:r w:rsidR="004B5D00">
              <w:rPr>
                <w:rFonts w:cs="Times New Roman"/>
                <w:color w:val="010205"/>
                <w:szCs w:val="24"/>
              </w:rPr>
              <w:t>7</w:t>
            </w:r>
          </w:p>
        </w:tc>
      </w:tr>
      <w:tr w:rsidR="0078799C" w14:paraId="06AB860D" w14:textId="77777777" w:rsidTr="0078799C">
        <w:tc>
          <w:tcPr>
            <w:tcW w:w="4883" w:type="dxa"/>
            <w:tcBorders>
              <w:top w:val="nil"/>
              <w:left w:val="nil"/>
              <w:bottom w:val="nil"/>
              <w:right w:val="nil"/>
            </w:tcBorders>
          </w:tcPr>
          <w:p w14:paraId="3F0FAE4F" w14:textId="4895FADF" w:rsidR="0078799C" w:rsidRDefault="0078799C" w:rsidP="0078799C">
            <w:pPr>
              <w:spacing w:after="0"/>
            </w:pPr>
            <w:r>
              <w:t xml:space="preserve">Family cohesion </w:t>
            </w:r>
          </w:p>
        </w:tc>
        <w:tc>
          <w:tcPr>
            <w:tcW w:w="4884" w:type="dxa"/>
            <w:tcBorders>
              <w:top w:val="nil"/>
              <w:left w:val="nil"/>
              <w:bottom w:val="nil"/>
              <w:right w:val="nil"/>
            </w:tcBorders>
          </w:tcPr>
          <w:p w14:paraId="579EEB08" w14:textId="2FF8C0BE"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86</w:t>
            </w:r>
          </w:p>
        </w:tc>
      </w:tr>
      <w:tr w:rsidR="0078799C" w14:paraId="1535FFDF" w14:textId="77777777" w:rsidTr="0078799C">
        <w:tc>
          <w:tcPr>
            <w:tcW w:w="4883" w:type="dxa"/>
            <w:tcBorders>
              <w:top w:val="nil"/>
              <w:left w:val="nil"/>
              <w:bottom w:val="nil"/>
              <w:right w:val="nil"/>
            </w:tcBorders>
          </w:tcPr>
          <w:p w14:paraId="22080F12" w14:textId="03ABB600" w:rsidR="0078799C" w:rsidRDefault="0078799C" w:rsidP="0078799C">
            <w:pPr>
              <w:spacing w:after="0"/>
            </w:pPr>
            <w:r>
              <w:t>Social resources</w:t>
            </w:r>
          </w:p>
        </w:tc>
        <w:tc>
          <w:tcPr>
            <w:tcW w:w="4884" w:type="dxa"/>
            <w:tcBorders>
              <w:top w:val="nil"/>
              <w:left w:val="nil"/>
              <w:bottom w:val="nil"/>
              <w:right w:val="nil"/>
            </w:tcBorders>
          </w:tcPr>
          <w:p w14:paraId="2A36D92B" w14:textId="7E929C28" w:rsidR="0078799C" w:rsidRPr="0078799C" w:rsidRDefault="0078799C" w:rsidP="004B5D00">
            <w:pPr>
              <w:spacing w:after="0"/>
              <w:rPr>
                <w:rFonts w:cs="Times New Roman"/>
                <w:szCs w:val="24"/>
              </w:rPr>
            </w:pPr>
            <w:r w:rsidRPr="0099660E">
              <w:rPr>
                <w:rFonts w:cs="Times New Roman"/>
                <w:color w:val="010205"/>
                <w:szCs w:val="24"/>
              </w:rPr>
              <w:t>2</w:t>
            </w:r>
            <w:r w:rsidR="004B5D00">
              <w:rPr>
                <w:rFonts w:cs="Times New Roman"/>
                <w:color w:val="010205"/>
                <w:szCs w:val="24"/>
              </w:rPr>
              <w:t>.</w:t>
            </w:r>
            <w:r w:rsidRPr="0099660E">
              <w:rPr>
                <w:rFonts w:cs="Times New Roman"/>
                <w:color w:val="010205"/>
                <w:szCs w:val="24"/>
              </w:rPr>
              <w:t>2</w:t>
            </w:r>
            <w:r w:rsidR="004B5D00">
              <w:rPr>
                <w:rFonts w:cs="Times New Roman"/>
                <w:color w:val="010205"/>
                <w:szCs w:val="24"/>
              </w:rPr>
              <w:t>6</w:t>
            </w:r>
          </w:p>
        </w:tc>
      </w:tr>
      <w:tr w:rsidR="0078799C" w14:paraId="656D8E51" w14:textId="77777777" w:rsidTr="0078799C">
        <w:tc>
          <w:tcPr>
            <w:tcW w:w="4883" w:type="dxa"/>
            <w:tcBorders>
              <w:top w:val="nil"/>
              <w:left w:val="nil"/>
              <w:bottom w:val="nil"/>
              <w:right w:val="nil"/>
            </w:tcBorders>
          </w:tcPr>
          <w:p w14:paraId="79E53F5D" w14:textId="627D2AC3" w:rsidR="0078799C" w:rsidRDefault="0078799C" w:rsidP="0078799C">
            <w:pPr>
              <w:spacing w:after="0"/>
            </w:pPr>
            <w:r>
              <w:t xml:space="preserve">Structured style </w:t>
            </w:r>
          </w:p>
        </w:tc>
        <w:tc>
          <w:tcPr>
            <w:tcW w:w="4884" w:type="dxa"/>
            <w:tcBorders>
              <w:top w:val="nil"/>
              <w:left w:val="nil"/>
              <w:bottom w:val="nil"/>
              <w:right w:val="nil"/>
            </w:tcBorders>
          </w:tcPr>
          <w:p w14:paraId="6ABCBB62" w14:textId="7274C59E"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4</w:t>
            </w:r>
            <w:r w:rsidR="004B5D00">
              <w:rPr>
                <w:rFonts w:cs="Times New Roman"/>
                <w:color w:val="010205"/>
                <w:szCs w:val="24"/>
              </w:rPr>
              <w:t>2</w:t>
            </w:r>
          </w:p>
        </w:tc>
      </w:tr>
      <w:tr w:rsidR="0078799C" w14:paraId="4A2E2820" w14:textId="77777777" w:rsidTr="0078799C">
        <w:tc>
          <w:tcPr>
            <w:tcW w:w="4883" w:type="dxa"/>
            <w:tcBorders>
              <w:top w:val="nil"/>
              <w:left w:val="nil"/>
              <w:bottom w:val="nil"/>
              <w:right w:val="nil"/>
            </w:tcBorders>
          </w:tcPr>
          <w:p w14:paraId="5E5BA63C" w14:textId="4C748A07" w:rsidR="0078799C" w:rsidRDefault="0078799C" w:rsidP="0078799C">
            <w:pPr>
              <w:spacing w:after="0"/>
            </w:pPr>
            <w:r>
              <w:t>Negative affect</w:t>
            </w:r>
          </w:p>
        </w:tc>
        <w:tc>
          <w:tcPr>
            <w:tcW w:w="4884" w:type="dxa"/>
            <w:tcBorders>
              <w:top w:val="nil"/>
              <w:left w:val="nil"/>
              <w:bottom w:val="nil"/>
              <w:right w:val="nil"/>
            </w:tcBorders>
          </w:tcPr>
          <w:p w14:paraId="7D052A21" w14:textId="4B7031D6" w:rsidR="0078799C" w:rsidRPr="0078799C" w:rsidRDefault="0078799C" w:rsidP="004B5D00">
            <w:pPr>
              <w:spacing w:after="0"/>
              <w:rPr>
                <w:rFonts w:cs="Times New Roman"/>
                <w:szCs w:val="24"/>
              </w:rPr>
            </w:pPr>
            <w:r w:rsidRPr="0099660E">
              <w:rPr>
                <w:rFonts w:cs="Times New Roman"/>
                <w:color w:val="010205"/>
                <w:szCs w:val="24"/>
              </w:rPr>
              <w:t>1</w:t>
            </w:r>
            <w:r w:rsidR="004B5D00">
              <w:rPr>
                <w:rFonts w:cs="Times New Roman"/>
                <w:color w:val="010205"/>
                <w:szCs w:val="24"/>
              </w:rPr>
              <w:t>.</w:t>
            </w:r>
            <w:r w:rsidRPr="0099660E">
              <w:rPr>
                <w:rFonts w:cs="Times New Roman"/>
                <w:color w:val="010205"/>
                <w:szCs w:val="24"/>
              </w:rPr>
              <w:t>64</w:t>
            </w:r>
          </w:p>
        </w:tc>
      </w:tr>
      <w:tr w:rsidR="0078799C" w14:paraId="218EB5DB" w14:textId="77777777" w:rsidTr="0078799C">
        <w:tc>
          <w:tcPr>
            <w:tcW w:w="4883" w:type="dxa"/>
            <w:tcBorders>
              <w:top w:val="nil"/>
              <w:left w:val="nil"/>
              <w:bottom w:val="nil"/>
              <w:right w:val="nil"/>
            </w:tcBorders>
          </w:tcPr>
          <w:p w14:paraId="3EC3CD86" w14:textId="4E364876" w:rsidR="0078799C" w:rsidRDefault="0078799C" w:rsidP="0078799C">
            <w:pPr>
              <w:spacing w:after="0"/>
            </w:pPr>
            <w:r>
              <w:t>Worry</w:t>
            </w:r>
          </w:p>
        </w:tc>
        <w:tc>
          <w:tcPr>
            <w:tcW w:w="4884" w:type="dxa"/>
            <w:tcBorders>
              <w:top w:val="nil"/>
              <w:left w:val="nil"/>
              <w:bottom w:val="nil"/>
              <w:right w:val="nil"/>
            </w:tcBorders>
          </w:tcPr>
          <w:p w14:paraId="78B06139" w14:textId="07560D21" w:rsidR="0078799C" w:rsidRPr="0078799C" w:rsidRDefault="0078799C" w:rsidP="004B5D00">
            <w:pPr>
              <w:spacing w:after="0"/>
              <w:rPr>
                <w:rFonts w:cs="Times New Roman"/>
                <w:color w:val="010205"/>
                <w:szCs w:val="24"/>
              </w:rPr>
            </w:pPr>
            <w:r w:rsidRPr="0099660E">
              <w:rPr>
                <w:rFonts w:cs="Times New Roman"/>
                <w:color w:val="010205"/>
                <w:szCs w:val="24"/>
                <w:lang w:val="nb-NO"/>
              </w:rPr>
              <w:t>2</w:t>
            </w:r>
            <w:r w:rsidR="004B5D00">
              <w:rPr>
                <w:rFonts w:cs="Times New Roman"/>
                <w:color w:val="010205"/>
                <w:szCs w:val="24"/>
                <w:lang w:val="nb-NO"/>
              </w:rPr>
              <w:t>.</w:t>
            </w:r>
            <w:r w:rsidRPr="0099660E">
              <w:rPr>
                <w:rFonts w:cs="Times New Roman"/>
                <w:color w:val="010205"/>
                <w:szCs w:val="24"/>
                <w:lang w:val="nb-NO"/>
              </w:rPr>
              <w:t>1</w:t>
            </w:r>
            <w:r w:rsidR="004B5D00">
              <w:rPr>
                <w:rFonts w:cs="Times New Roman"/>
                <w:color w:val="010205"/>
                <w:szCs w:val="24"/>
                <w:lang w:val="nb-NO"/>
              </w:rPr>
              <w:t>9</w:t>
            </w:r>
          </w:p>
        </w:tc>
      </w:tr>
      <w:tr w:rsidR="0078799C" w14:paraId="3784E0C7" w14:textId="77777777" w:rsidTr="0078799C">
        <w:tc>
          <w:tcPr>
            <w:tcW w:w="4883" w:type="dxa"/>
            <w:tcBorders>
              <w:top w:val="nil"/>
              <w:left w:val="nil"/>
              <w:bottom w:val="nil"/>
              <w:right w:val="nil"/>
            </w:tcBorders>
          </w:tcPr>
          <w:p w14:paraId="634EEFEC" w14:textId="4E4CAC76" w:rsidR="0078799C" w:rsidRDefault="0078799C" w:rsidP="0078799C">
            <w:pPr>
              <w:spacing w:after="0"/>
            </w:pPr>
            <w:r>
              <w:t>Perceived stress</w:t>
            </w:r>
          </w:p>
        </w:tc>
        <w:tc>
          <w:tcPr>
            <w:tcW w:w="4884" w:type="dxa"/>
            <w:tcBorders>
              <w:top w:val="nil"/>
              <w:left w:val="nil"/>
              <w:bottom w:val="nil"/>
              <w:right w:val="nil"/>
            </w:tcBorders>
          </w:tcPr>
          <w:p w14:paraId="66572074" w14:textId="5DB68C25" w:rsidR="0078799C" w:rsidRPr="0078799C" w:rsidRDefault="0078799C" w:rsidP="004B5D00">
            <w:pPr>
              <w:spacing w:after="0"/>
              <w:rPr>
                <w:rFonts w:cs="Times New Roman"/>
                <w:color w:val="010205"/>
                <w:szCs w:val="24"/>
              </w:rPr>
            </w:pPr>
            <w:r w:rsidRPr="0099660E">
              <w:rPr>
                <w:rFonts w:cs="Times New Roman"/>
                <w:color w:val="010205"/>
                <w:szCs w:val="24"/>
                <w:lang w:val="nb-NO"/>
              </w:rPr>
              <w:t>2</w:t>
            </w:r>
            <w:r w:rsidR="004B5D00">
              <w:rPr>
                <w:rFonts w:cs="Times New Roman"/>
                <w:color w:val="010205"/>
                <w:szCs w:val="24"/>
                <w:lang w:val="nb-NO"/>
              </w:rPr>
              <w:t>.</w:t>
            </w:r>
            <w:r w:rsidRPr="0099660E">
              <w:rPr>
                <w:rFonts w:cs="Times New Roman"/>
                <w:color w:val="010205"/>
                <w:szCs w:val="24"/>
                <w:lang w:val="nb-NO"/>
              </w:rPr>
              <w:t>9</w:t>
            </w:r>
            <w:r w:rsidR="004B5D00">
              <w:rPr>
                <w:rFonts w:cs="Times New Roman"/>
                <w:color w:val="010205"/>
                <w:szCs w:val="24"/>
                <w:lang w:val="nb-NO"/>
              </w:rPr>
              <w:t>7</w:t>
            </w:r>
          </w:p>
        </w:tc>
      </w:tr>
    </w:tbl>
    <w:p w14:paraId="486ADD18" w14:textId="14008F46" w:rsidR="0078799C" w:rsidRDefault="0078799C" w:rsidP="0099660E"/>
    <w:tbl>
      <w:tblPr>
        <w:tblStyle w:val="TableGrid"/>
        <w:tblW w:w="0" w:type="auto"/>
        <w:tblLook w:val="04A0" w:firstRow="1" w:lastRow="0" w:firstColumn="1" w:lastColumn="0" w:noHBand="0" w:noVBand="1"/>
      </w:tblPr>
      <w:tblGrid>
        <w:gridCol w:w="4883"/>
        <w:gridCol w:w="4884"/>
      </w:tblGrid>
      <w:tr w:rsidR="0078799C" w14:paraId="187D7670" w14:textId="77777777" w:rsidTr="0074005F">
        <w:tc>
          <w:tcPr>
            <w:tcW w:w="9767" w:type="dxa"/>
            <w:gridSpan w:val="2"/>
            <w:tcBorders>
              <w:top w:val="nil"/>
              <w:left w:val="nil"/>
              <w:right w:val="nil"/>
            </w:tcBorders>
          </w:tcPr>
          <w:p w14:paraId="3C8D6C38" w14:textId="4023CFD6" w:rsidR="0078799C" w:rsidRDefault="0078799C" w:rsidP="0078799C">
            <w:pPr>
              <w:spacing w:after="0"/>
            </w:pPr>
            <w:r>
              <w:t>Table 2</w:t>
            </w:r>
            <w:r>
              <w:br/>
            </w:r>
            <w:r w:rsidRPr="0078799C">
              <w:rPr>
                <w:i/>
              </w:rPr>
              <w:t xml:space="preserve">Multicollinearity diagnostics for multiple linear regression investigating predictors of sleep quality, Model </w:t>
            </w:r>
            <w:r>
              <w:rPr>
                <w:i/>
              </w:rPr>
              <w:t>2</w:t>
            </w:r>
            <w:r w:rsidRPr="0078799C">
              <w:rPr>
                <w:i/>
              </w:rPr>
              <w:t>, based on cross-sectional data in 632 junior athletes.</w:t>
            </w:r>
          </w:p>
        </w:tc>
      </w:tr>
      <w:tr w:rsidR="0078799C" w14:paraId="1BEAAC62" w14:textId="77777777" w:rsidTr="0074005F">
        <w:tc>
          <w:tcPr>
            <w:tcW w:w="4883" w:type="dxa"/>
            <w:tcBorders>
              <w:left w:val="nil"/>
              <w:right w:val="nil"/>
            </w:tcBorders>
          </w:tcPr>
          <w:p w14:paraId="20357537" w14:textId="77777777" w:rsidR="0078799C" w:rsidRDefault="0078799C" w:rsidP="0074005F">
            <w:pPr>
              <w:spacing w:after="0"/>
            </w:pPr>
            <w:r>
              <w:t>Variable</w:t>
            </w:r>
          </w:p>
        </w:tc>
        <w:tc>
          <w:tcPr>
            <w:tcW w:w="4884" w:type="dxa"/>
            <w:tcBorders>
              <w:left w:val="nil"/>
              <w:right w:val="nil"/>
            </w:tcBorders>
          </w:tcPr>
          <w:p w14:paraId="3DDE803E" w14:textId="77777777" w:rsidR="0078799C" w:rsidRDefault="0078799C" w:rsidP="0074005F">
            <w:pPr>
              <w:spacing w:after="0"/>
            </w:pPr>
            <w:r>
              <w:t>VIF</w:t>
            </w:r>
          </w:p>
        </w:tc>
      </w:tr>
      <w:tr w:rsidR="0078799C" w14:paraId="67B79F1C" w14:textId="77777777" w:rsidTr="0074005F">
        <w:tc>
          <w:tcPr>
            <w:tcW w:w="4883" w:type="dxa"/>
            <w:tcBorders>
              <w:left w:val="nil"/>
              <w:bottom w:val="nil"/>
              <w:right w:val="nil"/>
            </w:tcBorders>
          </w:tcPr>
          <w:p w14:paraId="14E3E79F" w14:textId="07B8C232" w:rsidR="0078799C" w:rsidRDefault="0078799C" w:rsidP="004B5D00">
            <w:pPr>
              <w:spacing w:after="0"/>
            </w:pPr>
            <w:r>
              <w:t>Model 1</w:t>
            </w:r>
            <w:r w:rsidRPr="0007391B">
              <w:rPr>
                <w:rFonts w:cs="Times New Roman"/>
              </w:rPr>
              <w:tab/>
            </w:r>
          </w:p>
        </w:tc>
        <w:tc>
          <w:tcPr>
            <w:tcW w:w="4884" w:type="dxa"/>
            <w:tcBorders>
              <w:left w:val="nil"/>
              <w:bottom w:val="nil"/>
              <w:right w:val="nil"/>
            </w:tcBorders>
          </w:tcPr>
          <w:p w14:paraId="06398533" w14:textId="64E2AB12" w:rsidR="0078799C" w:rsidRPr="0078799C" w:rsidRDefault="0078799C" w:rsidP="0074005F">
            <w:pPr>
              <w:spacing w:after="0"/>
              <w:rPr>
                <w:rFonts w:cs="Times New Roman"/>
                <w:szCs w:val="24"/>
              </w:rPr>
            </w:pPr>
          </w:p>
        </w:tc>
      </w:tr>
      <w:tr w:rsidR="004B5D00" w14:paraId="4B8381B9" w14:textId="77777777" w:rsidTr="004B5D00">
        <w:tc>
          <w:tcPr>
            <w:tcW w:w="4883" w:type="dxa"/>
            <w:tcBorders>
              <w:top w:val="nil"/>
              <w:left w:val="nil"/>
              <w:bottom w:val="nil"/>
              <w:right w:val="nil"/>
            </w:tcBorders>
          </w:tcPr>
          <w:p w14:paraId="24562015" w14:textId="2D4F7440" w:rsidR="004B5D00" w:rsidRDefault="004B5D00" w:rsidP="004B5D00">
            <w:pPr>
              <w:spacing w:after="0"/>
              <w:ind w:left="720"/>
            </w:pPr>
            <w:r>
              <w:t xml:space="preserve">Sex </w:t>
            </w:r>
            <w:r w:rsidRPr="0007391B">
              <w:rPr>
                <w:rFonts w:cs="Times New Roman"/>
              </w:rPr>
              <w:t>(♂=0, ♀=1)</w:t>
            </w:r>
            <w:r w:rsidRPr="0007391B">
              <w:rPr>
                <w:rFonts w:cs="Times New Roman"/>
              </w:rPr>
              <w:tab/>
            </w:r>
          </w:p>
        </w:tc>
        <w:tc>
          <w:tcPr>
            <w:tcW w:w="4884" w:type="dxa"/>
            <w:tcBorders>
              <w:top w:val="nil"/>
              <w:left w:val="nil"/>
              <w:bottom w:val="nil"/>
              <w:right w:val="nil"/>
            </w:tcBorders>
          </w:tcPr>
          <w:p w14:paraId="1719955B" w14:textId="46272BF9" w:rsidR="004B5D00" w:rsidRPr="0078799C" w:rsidRDefault="004B5D00" w:rsidP="0074005F">
            <w:pPr>
              <w:spacing w:after="0"/>
              <w:rPr>
                <w:rFonts w:cs="Times New Roman"/>
                <w:szCs w:val="24"/>
              </w:rPr>
            </w:pPr>
            <w:r>
              <w:rPr>
                <w:rFonts w:cs="Times New Roman"/>
                <w:szCs w:val="24"/>
              </w:rPr>
              <w:t>1.00</w:t>
            </w:r>
          </w:p>
        </w:tc>
      </w:tr>
      <w:tr w:rsidR="0078799C" w14:paraId="7D44DE0B" w14:textId="77777777" w:rsidTr="004B5D00">
        <w:tc>
          <w:tcPr>
            <w:tcW w:w="4883" w:type="dxa"/>
            <w:tcBorders>
              <w:top w:val="nil"/>
              <w:left w:val="nil"/>
              <w:bottom w:val="nil"/>
              <w:right w:val="nil"/>
            </w:tcBorders>
          </w:tcPr>
          <w:p w14:paraId="108D0D52" w14:textId="3137BA4D" w:rsidR="0078799C" w:rsidRDefault="0078799C" w:rsidP="0074005F">
            <w:pPr>
              <w:spacing w:after="0"/>
            </w:pPr>
            <w:r>
              <w:t>Model 2</w:t>
            </w:r>
          </w:p>
        </w:tc>
        <w:tc>
          <w:tcPr>
            <w:tcW w:w="4884" w:type="dxa"/>
            <w:tcBorders>
              <w:top w:val="nil"/>
              <w:left w:val="nil"/>
              <w:bottom w:val="nil"/>
              <w:right w:val="nil"/>
            </w:tcBorders>
          </w:tcPr>
          <w:p w14:paraId="0E44B79E" w14:textId="77777777" w:rsidR="0078799C" w:rsidRPr="0078799C" w:rsidRDefault="0078799C" w:rsidP="0074005F">
            <w:pPr>
              <w:spacing w:after="0"/>
              <w:rPr>
                <w:rFonts w:cs="Times New Roman"/>
                <w:szCs w:val="24"/>
              </w:rPr>
            </w:pPr>
          </w:p>
        </w:tc>
      </w:tr>
      <w:tr w:rsidR="0078799C" w14:paraId="4DDD4C06" w14:textId="77777777" w:rsidTr="004B5D00">
        <w:tc>
          <w:tcPr>
            <w:tcW w:w="4883" w:type="dxa"/>
            <w:tcBorders>
              <w:top w:val="nil"/>
              <w:left w:val="nil"/>
              <w:bottom w:val="nil"/>
              <w:right w:val="nil"/>
            </w:tcBorders>
          </w:tcPr>
          <w:p w14:paraId="4995B11B" w14:textId="5785BBE7" w:rsidR="0078799C" w:rsidRDefault="0078799C" w:rsidP="0078799C">
            <w:pPr>
              <w:spacing w:after="0"/>
              <w:ind w:left="720"/>
            </w:pPr>
            <w:r>
              <w:t xml:space="preserve">Sex </w:t>
            </w:r>
            <w:r w:rsidRPr="0007391B">
              <w:rPr>
                <w:rFonts w:cs="Times New Roman"/>
              </w:rPr>
              <w:t>(♂=0, ♀=1)</w:t>
            </w:r>
            <w:r w:rsidRPr="0007391B">
              <w:rPr>
                <w:rFonts w:cs="Times New Roman"/>
              </w:rPr>
              <w:tab/>
            </w:r>
          </w:p>
        </w:tc>
        <w:tc>
          <w:tcPr>
            <w:tcW w:w="4884" w:type="dxa"/>
            <w:tcBorders>
              <w:top w:val="nil"/>
              <w:left w:val="nil"/>
              <w:bottom w:val="nil"/>
              <w:right w:val="nil"/>
            </w:tcBorders>
          </w:tcPr>
          <w:p w14:paraId="0EB84289" w14:textId="6490C708" w:rsidR="0078799C" w:rsidRPr="0078799C" w:rsidRDefault="004B5D00" w:rsidP="0074005F">
            <w:pPr>
              <w:spacing w:after="0"/>
              <w:rPr>
                <w:rFonts w:cs="Times New Roman"/>
                <w:szCs w:val="24"/>
              </w:rPr>
            </w:pPr>
            <w:r>
              <w:rPr>
                <w:rFonts w:cs="Times New Roman"/>
                <w:szCs w:val="24"/>
              </w:rPr>
              <w:t>1.01</w:t>
            </w:r>
          </w:p>
        </w:tc>
      </w:tr>
      <w:tr w:rsidR="0078799C" w14:paraId="7D45F5DA" w14:textId="77777777" w:rsidTr="0074005F">
        <w:tc>
          <w:tcPr>
            <w:tcW w:w="4883" w:type="dxa"/>
            <w:tcBorders>
              <w:top w:val="nil"/>
              <w:left w:val="nil"/>
              <w:bottom w:val="nil"/>
              <w:right w:val="nil"/>
            </w:tcBorders>
          </w:tcPr>
          <w:p w14:paraId="0A5FEE1C" w14:textId="700CDE56" w:rsidR="0078799C" w:rsidRDefault="0078799C" w:rsidP="0078799C">
            <w:pPr>
              <w:spacing w:after="0"/>
              <w:ind w:left="720"/>
            </w:pPr>
            <w:r>
              <w:t>Social resources</w:t>
            </w:r>
          </w:p>
        </w:tc>
        <w:tc>
          <w:tcPr>
            <w:tcW w:w="4884" w:type="dxa"/>
            <w:tcBorders>
              <w:top w:val="nil"/>
              <w:left w:val="nil"/>
              <w:bottom w:val="nil"/>
              <w:right w:val="nil"/>
            </w:tcBorders>
          </w:tcPr>
          <w:p w14:paraId="1D3E6218" w14:textId="5E46EFE7" w:rsidR="0078799C" w:rsidRPr="0078799C" w:rsidRDefault="004B5D00" w:rsidP="0074005F">
            <w:pPr>
              <w:spacing w:after="0"/>
              <w:rPr>
                <w:rFonts w:cs="Times New Roman"/>
                <w:szCs w:val="24"/>
              </w:rPr>
            </w:pPr>
            <w:r>
              <w:rPr>
                <w:rFonts w:cs="Times New Roman"/>
                <w:szCs w:val="24"/>
              </w:rPr>
              <w:t>1.01</w:t>
            </w:r>
          </w:p>
        </w:tc>
      </w:tr>
      <w:tr w:rsidR="0078799C" w14:paraId="28E824E7" w14:textId="77777777" w:rsidTr="0074005F">
        <w:tc>
          <w:tcPr>
            <w:tcW w:w="4883" w:type="dxa"/>
            <w:tcBorders>
              <w:top w:val="nil"/>
              <w:left w:val="nil"/>
              <w:bottom w:val="nil"/>
              <w:right w:val="nil"/>
            </w:tcBorders>
          </w:tcPr>
          <w:p w14:paraId="7FF5A2CE" w14:textId="1BFCC5A1" w:rsidR="0078799C" w:rsidRDefault="0078799C" w:rsidP="0074005F">
            <w:pPr>
              <w:spacing w:after="0"/>
            </w:pPr>
            <w:r>
              <w:t>Model 3</w:t>
            </w:r>
          </w:p>
        </w:tc>
        <w:tc>
          <w:tcPr>
            <w:tcW w:w="4884" w:type="dxa"/>
            <w:tcBorders>
              <w:top w:val="nil"/>
              <w:left w:val="nil"/>
              <w:bottom w:val="nil"/>
              <w:right w:val="nil"/>
            </w:tcBorders>
          </w:tcPr>
          <w:p w14:paraId="0D73A75C" w14:textId="6743DA69" w:rsidR="0078799C" w:rsidRPr="0078799C" w:rsidRDefault="0078799C" w:rsidP="0074005F">
            <w:pPr>
              <w:spacing w:after="0"/>
              <w:rPr>
                <w:rFonts w:cs="Times New Roman"/>
                <w:szCs w:val="24"/>
              </w:rPr>
            </w:pPr>
          </w:p>
        </w:tc>
      </w:tr>
      <w:tr w:rsidR="0078799C" w14:paraId="28872B0F" w14:textId="77777777" w:rsidTr="0074005F">
        <w:tc>
          <w:tcPr>
            <w:tcW w:w="4883" w:type="dxa"/>
            <w:tcBorders>
              <w:top w:val="nil"/>
              <w:left w:val="nil"/>
              <w:bottom w:val="nil"/>
              <w:right w:val="nil"/>
            </w:tcBorders>
          </w:tcPr>
          <w:p w14:paraId="6CDC7966" w14:textId="0F6A1A05" w:rsidR="0078799C" w:rsidRDefault="0078799C" w:rsidP="0078799C">
            <w:pPr>
              <w:spacing w:after="0"/>
              <w:ind w:left="720"/>
            </w:pPr>
            <w:r>
              <w:t xml:space="preserve">Sex </w:t>
            </w:r>
            <w:r w:rsidRPr="0007391B">
              <w:rPr>
                <w:rFonts w:cs="Times New Roman"/>
              </w:rPr>
              <w:t>(♂=0, ♀=1)</w:t>
            </w:r>
            <w:r w:rsidRPr="0007391B">
              <w:rPr>
                <w:rFonts w:cs="Times New Roman"/>
              </w:rPr>
              <w:tab/>
            </w:r>
          </w:p>
        </w:tc>
        <w:tc>
          <w:tcPr>
            <w:tcW w:w="4884" w:type="dxa"/>
            <w:tcBorders>
              <w:top w:val="nil"/>
              <w:left w:val="nil"/>
              <w:bottom w:val="nil"/>
              <w:right w:val="nil"/>
            </w:tcBorders>
          </w:tcPr>
          <w:p w14:paraId="612A22D5" w14:textId="091492A2" w:rsidR="0078799C" w:rsidRPr="0078799C" w:rsidRDefault="004B5D00" w:rsidP="0078799C">
            <w:pPr>
              <w:spacing w:after="0"/>
              <w:rPr>
                <w:rFonts w:cs="Times New Roman"/>
                <w:szCs w:val="24"/>
              </w:rPr>
            </w:pPr>
            <w:r>
              <w:rPr>
                <w:rFonts w:cs="Times New Roman"/>
                <w:szCs w:val="24"/>
              </w:rPr>
              <w:t>1.03</w:t>
            </w:r>
          </w:p>
        </w:tc>
      </w:tr>
      <w:tr w:rsidR="0078799C" w14:paraId="157617BC" w14:textId="77777777" w:rsidTr="0074005F">
        <w:tc>
          <w:tcPr>
            <w:tcW w:w="4883" w:type="dxa"/>
            <w:tcBorders>
              <w:top w:val="nil"/>
              <w:left w:val="nil"/>
              <w:bottom w:val="nil"/>
              <w:right w:val="nil"/>
            </w:tcBorders>
          </w:tcPr>
          <w:p w14:paraId="648BA495" w14:textId="564B178C" w:rsidR="0078799C" w:rsidRDefault="0078799C" w:rsidP="0078799C">
            <w:pPr>
              <w:spacing w:after="0"/>
              <w:ind w:left="720"/>
            </w:pPr>
            <w:r>
              <w:t>Social resources</w:t>
            </w:r>
          </w:p>
        </w:tc>
        <w:tc>
          <w:tcPr>
            <w:tcW w:w="4884" w:type="dxa"/>
            <w:tcBorders>
              <w:top w:val="nil"/>
              <w:left w:val="nil"/>
              <w:bottom w:val="nil"/>
              <w:right w:val="nil"/>
            </w:tcBorders>
          </w:tcPr>
          <w:p w14:paraId="5C35C291" w14:textId="11CA9256" w:rsidR="0078799C" w:rsidRPr="0078799C" w:rsidRDefault="004B5D00" w:rsidP="0078799C">
            <w:pPr>
              <w:spacing w:after="0"/>
              <w:rPr>
                <w:rFonts w:cs="Times New Roman"/>
                <w:szCs w:val="24"/>
              </w:rPr>
            </w:pPr>
            <w:r>
              <w:rPr>
                <w:rFonts w:cs="Times New Roman"/>
                <w:szCs w:val="24"/>
              </w:rPr>
              <w:t>1.14</w:t>
            </w:r>
          </w:p>
        </w:tc>
      </w:tr>
      <w:tr w:rsidR="0078799C" w14:paraId="39492D1F" w14:textId="77777777" w:rsidTr="0074005F">
        <w:tc>
          <w:tcPr>
            <w:tcW w:w="4883" w:type="dxa"/>
            <w:tcBorders>
              <w:top w:val="nil"/>
              <w:left w:val="nil"/>
              <w:bottom w:val="nil"/>
              <w:right w:val="nil"/>
            </w:tcBorders>
          </w:tcPr>
          <w:p w14:paraId="6E793FB7" w14:textId="4B4E8748" w:rsidR="0078799C" w:rsidRDefault="0078799C" w:rsidP="0078799C">
            <w:pPr>
              <w:spacing w:after="0"/>
              <w:ind w:left="720"/>
            </w:pPr>
            <w:r>
              <w:t>Structured style</w:t>
            </w:r>
          </w:p>
        </w:tc>
        <w:tc>
          <w:tcPr>
            <w:tcW w:w="4884" w:type="dxa"/>
            <w:tcBorders>
              <w:top w:val="nil"/>
              <w:left w:val="nil"/>
              <w:bottom w:val="nil"/>
              <w:right w:val="nil"/>
            </w:tcBorders>
          </w:tcPr>
          <w:p w14:paraId="3C8E4711" w14:textId="31C6FE8C" w:rsidR="0078799C" w:rsidRPr="0078799C" w:rsidRDefault="004B5D00" w:rsidP="0078799C">
            <w:pPr>
              <w:spacing w:after="0"/>
              <w:rPr>
                <w:rFonts w:cs="Times New Roman"/>
                <w:szCs w:val="24"/>
              </w:rPr>
            </w:pPr>
            <w:r>
              <w:rPr>
                <w:rFonts w:cs="Times New Roman"/>
                <w:szCs w:val="24"/>
              </w:rPr>
              <w:t>1.17</w:t>
            </w:r>
          </w:p>
        </w:tc>
      </w:tr>
      <w:tr w:rsidR="0078799C" w14:paraId="0DB20623" w14:textId="77777777" w:rsidTr="0074005F">
        <w:tc>
          <w:tcPr>
            <w:tcW w:w="4883" w:type="dxa"/>
            <w:tcBorders>
              <w:top w:val="nil"/>
              <w:left w:val="nil"/>
              <w:bottom w:val="nil"/>
              <w:right w:val="nil"/>
            </w:tcBorders>
          </w:tcPr>
          <w:p w14:paraId="4754BEDA" w14:textId="30D32147" w:rsidR="0078799C" w:rsidRDefault="0078799C" w:rsidP="0078799C">
            <w:pPr>
              <w:spacing w:after="0"/>
            </w:pPr>
            <w:r>
              <w:t>Model</w:t>
            </w:r>
            <w:r w:rsidR="004B5D00">
              <w:t xml:space="preserve"> 4</w:t>
            </w:r>
          </w:p>
        </w:tc>
        <w:tc>
          <w:tcPr>
            <w:tcW w:w="4884" w:type="dxa"/>
            <w:tcBorders>
              <w:top w:val="nil"/>
              <w:left w:val="nil"/>
              <w:bottom w:val="nil"/>
              <w:right w:val="nil"/>
            </w:tcBorders>
          </w:tcPr>
          <w:p w14:paraId="192A7AB4" w14:textId="18FB2CDF" w:rsidR="0078799C" w:rsidRPr="0078799C" w:rsidRDefault="0078799C" w:rsidP="0078799C">
            <w:pPr>
              <w:spacing w:after="0"/>
              <w:rPr>
                <w:rFonts w:cs="Times New Roman"/>
                <w:szCs w:val="24"/>
              </w:rPr>
            </w:pPr>
          </w:p>
        </w:tc>
      </w:tr>
      <w:tr w:rsidR="0078799C" w14:paraId="12AE427A" w14:textId="77777777" w:rsidTr="0074005F">
        <w:tc>
          <w:tcPr>
            <w:tcW w:w="4883" w:type="dxa"/>
            <w:tcBorders>
              <w:top w:val="nil"/>
              <w:left w:val="nil"/>
              <w:bottom w:val="nil"/>
              <w:right w:val="nil"/>
            </w:tcBorders>
          </w:tcPr>
          <w:p w14:paraId="72BC1F75" w14:textId="1E1971EE" w:rsidR="0078799C" w:rsidRDefault="0078799C" w:rsidP="0078799C">
            <w:pPr>
              <w:spacing w:after="0"/>
              <w:ind w:left="720"/>
            </w:pPr>
            <w:r>
              <w:t xml:space="preserve">Sex </w:t>
            </w:r>
            <w:r w:rsidRPr="0007391B">
              <w:rPr>
                <w:rFonts w:cs="Times New Roman"/>
              </w:rPr>
              <w:t>(♂=0, ♀=1)</w:t>
            </w:r>
            <w:r w:rsidRPr="0007391B">
              <w:rPr>
                <w:rFonts w:cs="Times New Roman"/>
              </w:rPr>
              <w:tab/>
            </w:r>
          </w:p>
        </w:tc>
        <w:tc>
          <w:tcPr>
            <w:tcW w:w="4884" w:type="dxa"/>
            <w:tcBorders>
              <w:top w:val="nil"/>
              <w:left w:val="nil"/>
              <w:bottom w:val="nil"/>
              <w:right w:val="nil"/>
            </w:tcBorders>
          </w:tcPr>
          <w:p w14:paraId="360FAEB6" w14:textId="2B494229" w:rsidR="0078799C" w:rsidRPr="0078799C" w:rsidRDefault="004B5D00" w:rsidP="0078799C">
            <w:pPr>
              <w:spacing w:after="0"/>
              <w:rPr>
                <w:rFonts w:cs="Times New Roman"/>
                <w:szCs w:val="24"/>
              </w:rPr>
            </w:pPr>
            <w:r>
              <w:rPr>
                <w:rFonts w:cs="Times New Roman"/>
                <w:szCs w:val="24"/>
              </w:rPr>
              <w:t>1.17</w:t>
            </w:r>
          </w:p>
        </w:tc>
      </w:tr>
      <w:tr w:rsidR="0078799C" w14:paraId="415E0E6D" w14:textId="77777777" w:rsidTr="0074005F">
        <w:tc>
          <w:tcPr>
            <w:tcW w:w="4883" w:type="dxa"/>
            <w:tcBorders>
              <w:top w:val="nil"/>
              <w:left w:val="nil"/>
              <w:bottom w:val="nil"/>
              <w:right w:val="nil"/>
            </w:tcBorders>
          </w:tcPr>
          <w:p w14:paraId="77A2969D" w14:textId="513476A0" w:rsidR="0078799C" w:rsidRDefault="0078799C" w:rsidP="0078799C">
            <w:pPr>
              <w:spacing w:after="0"/>
              <w:ind w:left="720"/>
            </w:pPr>
            <w:r>
              <w:t>Social resources</w:t>
            </w:r>
          </w:p>
        </w:tc>
        <w:tc>
          <w:tcPr>
            <w:tcW w:w="4884" w:type="dxa"/>
            <w:tcBorders>
              <w:top w:val="nil"/>
              <w:left w:val="nil"/>
              <w:bottom w:val="nil"/>
              <w:right w:val="nil"/>
            </w:tcBorders>
          </w:tcPr>
          <w:p w14:paraId="3378EE63" w14:textId="0583C8D1" w:rsidR="0078799C" w:rsidRPr="0078799C" w:rsidRDefault="004B5D00" w:rsidP="0078799C">
            <w:pPr>
              <w:spacing w:after="0"/>
              <w:rPr>
                <w:rFonts w:cs="Times New Roman"/>
                <w:szCs w:val="24"/>
              </w:rPr>
            </w:pPr>
            <w:r>
              <w:rPr>
                <w:rFonts w:cs="Times New Roman"/>
                <w:szCs w:val="24"/>
              </w:rPr>
              <w:t>1.22</w:t>
            </w:r>
          </w:p>
        </w:tc>
      </w:tr>
      <w:tr w:rsidR="0078799C" w14:paraId="26D15791" w14:textId="77777777" w:rsidTr="0074005F">
        <w:tc>
          <w:tcPr>
            <w:tcW w:w="4883" w:type="dxa"/>
            <w:tcBorders>
              <w:top w:val="nil"/>
              <w:left w:val="nil"/>
              <w:bottom w:val="nil"/>
              <w:right w:val="nil"/>
            </w:tcBorders>
          </w:tcPr>
          <w:p w14:paraId="534345D5" w14:textId="64B7B6AF" w:rsidR="0078799C" w:rsidRDefault="0078799C" w:rsidP="0078799C">
            <w:pPr>
              <w:spacing w:after="0"/>
              <w:ind w:left="720"/>
            </w:pPr>
            <w:r>
              <w:t>Structured style</w:t>
            </w:r>
          </w:p>
        </w:tc>
        <w:tc>
          <w:tcPr>
            <w:tcW w:w="4884" w:type="dxa"/>
            <w:tcBorders>
              <w:top w:val="nil"/>
              <w:left w:val="nil"/>
              <w:bottom w:val="nil"/>
              <w:right w:val="nil"/>
            </w:tcBorders>
          </w:tcPr>
          <w:p w14:paraId="56DAE6B3" w14:textId="1AB3B0C2" w:rsidR="0078799C" w:rsidRPr="0078799C" w:rsidRDefault="004B5D00" w:rsidP="0078799C">
            <w:pPr>
              <w:spacing w:after="0"/>
              <w:rPr>
                <w:rFonts w:cs="Times New Roman"/>
                <w:szCs w:val="24"/>
              </w:rPr>
            </w:pPr>
            <w:r>
              <w:rPr>
                <w:rFonts w:cs="Times New Roman"/>
                <w:szCs w:val="24"/>
              </w:rPr>
              <w:t>1.17</w:t>
            </w:r>
          </w:p>
        </w:tc>
      </w:tr>
      <w:tr w:rsidR="0078799C" w14:paraId="1B68D25B" w14:textId="77777777" w:rsidTr="0074005F">
        <w:tc>
          <w:tcPr>
            <w:tcW w:w="4883" w:type="dxa"/>
            <w:tcBorders>
              <w:top w:val="nil"/>
              <w:left w:val="nil"/>
              <w:bottom w:val="nil"/>
              <w:right w:val="nil"/>
            </w:tcBorders>
          </w:tcPr>
          <w:p w14:paraId="5BA9EF70" w14:textId="492DB31A" w:rsidR="0078799C" w:rsidRDefault="0078799C" w:rsidP="0078799C">
            <w:pPr>
              <w:spacing w:after="0"/>
              <w:ind w:left="720"/>
            </w:pPr>
            <w:r>
              <w:lastRenderedPageBreak/>
              <w:t>Worry</w:t>
            </w:r>
          </w:p>
        </w:tc>
        <w:tc>
          <w:tcPr>
            <w:tcW w:w="4884" w:type="dxa"/>
            <w:tcBorders>
              <w:top w:val="nil"/>
              <w:left w:val="nil"/>
              <w:bottom w:val="nil"/>
              <w:right w:val="nil"/>
            </w:tcBorders>
          </w:tcPr>
          <w:p w14:paraId="2153802C" w14:textId="2E0F7BFC" w:rsidR="0078799C" w:rsidRPr="0078799C" w:rsidRDefault="004B5D00" w:rsidP="0078799C">
            <w:pPr>
              <w:spacing w:after="0"/>
              <w:rPr>
                <w:rFonts w:cs="Times New Roman"/>
                <w:szCs w:val="24"/>
              </w:rPr>
            </w:pPr>
            <w:r>
              <w:rPr>
                <w:rFonts w:cs="Times New Roman"/>
                <w:szCs w:val="24"/>
              </w:rPr>
              <w:t>1.21</w:t>
            </w:r>
          </w:p>
        </w:tc>
      </w:tr>
      <w:tr w:rsidR="0078799C" w14:paraId="62A9099B" w14:textId="77777777" w:rsidTr="0074005F">
        <w:tc>
          <w:tcPr>
            <w:tcW w:w="4883" w:type="dxa"/>
            <w:tcBorders>
              <w:top w:val="nil"/>
              <w:left w:val="nil"/>
              <w:bottom w:val="nil"/>
              <w:right w:val="nil"/>
            </w:tcBorders>
          </w:tcPr>
          <w:p w14:paraId="01A22FC8" w14:textId="1A2701F9" w:rsidR="0078799C" w:rsidRDefault="0078799C" w:rsidP="0078799C">
            <w:pPr>
              <w:spacing w:after="0"/>
            </w:pPr>
            <w:r>
              <w:t>Model</w:t>
            </w:r>
            <w:r w:rsidR="004B5D00">
              <w:t xml:space="preserve"> 5</w:t>
            </w:r>
          </w:p>
        </w:tc>
        <w:tc>
          <w:tcPr>
            <w:tcW w:w="4884" w:type="dxa"/>
            <w:tcBorders>
              <w:top w:val="nil"/>
              <w:left w:val="nil"/>
              <w:bottom w:val="nil"/>
              <w:right w:val="nil"/>
            </w:tcBorders>
          </w:tcPr>
          <w:p w14:paraId="460FAE93" w14:textId="76F5208E" w:rsidR="0078799C" w:rsidRPr="0078799C" w:rsidRDefault="0078799C" w:rsidP="0078799C">
            <w:pPr>
              <w:spacing w:after="0"/>
              <w:rPr>
                <w:rFonts w:cs="Times New Roman"/>
                <w:szCs w:val="24"/>
              </w:rPr>
            </w:pPr>
          </w:p>
        </w:tc>
      </w:tr>
      <w:tr w:rsidR="004B5D00" w14:paraId="7D91642D" w14:textId="77777777" w:rsidTr="0074005F">
        <w:tc>
          <w:tcPr>
            <w:tcW w:w="4883" w:type="dxa"/>
            <w:tcBorders>
              <w:top w:val="nil"/>
              <w:left w:val="nil"/>
              <w:bottom w:val="nil"/>
              <w:right w:val="nil"/>
            </w:tcBorders>
          </w:tcPr>
          <w:p w14:paraId="09E25A33" w14:textId="344A3EB3" w:rsidR="004B5D00" w:rsidRDefault="004B5D00" w:rsidP="004B5D00">
            <w:pPr>
              <w:spacing w:after="0"/>
              <w:ind w:left="720"/>
            </w:pPr>
            <w:r>
              <w:t xml:space="preserve">Sex </w:t>
            </w:r>
            <w:r w:rsidRPr="0007391B">
              <w:rPr>
                <w:rFonts w:cs="Times New Roman"/>
              </w:rPr>
              <w:t>(♂=0, ♀=1)</w:t>
            </w:r>
            <w:r w:rsidRPr="0007391B">
              <w:rPr>
                <w:rFonts w:cs="Times New Roman"/>
              </w:rPr>
              <w:tab/>
            </w:r>
          </w:p>
        </w:tc>
        <w:tc>
          <w:tcPr>
            <w:tcW w:w="4884" w:type="dxa"/>
            <w:tcBorders>
              <w:top w:val="nil"/>
              <w:left w:val="nil"/>
              <w:bottom w:val="nil"/>
              <w:right w:val="nil"/>
            </w:tcBorders>
          </w:tcPr>
          <w:p w14:paraId="4BAB16AA" w14:textId="0A220633" w:rsidR="004B5D00" w:rsidRPr="0078799C" w:rsidRDefault="004B5D00" w:rsidP="004B5D00">
            <w:pPr>
              <w:spacing w:after="0"/>
              <w:rPr>
                <w:rFonts w:cs="Times New Roman"/>
                <w:color w:val="010205"/>
                <w:szCs w:val="24"/>
              </w:rPr>
            </w:pPr>
            <w:r>
              <w:rPr>
                <w:rFonts w:cs="Times New Roman"/>
                <w:color w:val="010205"/>
                <w:szCs w:val="24"/>
              </w:rPr>
              <w:t>1.20</w:t>
            </w:r>
          </w:p>
        </w:tc>
      </w:tr>
      <w:tr w:rsidR="004B5D00" w14:paraId="0A3CF647" w14:textId="77777777" w:rsidTr="0074005F">
        <w:tc>
          <w:tcPr>
            <w:tcW w:w="4883" w:type="dxa"/>
            <w:tcBorders>
              <w:top w:val="nil"/>
              <w:left w:val="nil"/>
              <w:bottom w:val="nil"/>
              <w:right w:val="nil"/>
            </w:tcBorders>
          </w:tcPr>
          <w:p w14:paraId="0BEDB619" w14:textId="1F54277B" w:rsidR="004B5D00" w:rsidRDefault="004B5D00" w:rsidP="004B5D00">
            <w:pPr>
              <w:spacing w:after="0"/>
              <w:ind w:left="720"/>
            </w:pPr>
            <w:r>
              <w:t>Social resources</w:t>
            </w:r>
          </w:p>
        </w:tc>
        <w:tc>
          <w:tcPr>
            <w:tcW w:w="4884" w:type="dxa"/>
            <w:tcBorders>
              <w:top w:val="nil"/>
              <w:left w:val="nil"/>
              <w:bottom w:val="nil"/>
              <w:right w:val="nil"/>
            </w:tcBorders>
          </w:tcPr>
          <w:p w14:paraId="396F9F3F" w14:textId="5DFAEBDF" w:rsidR="004B5D00" w:rsidRPr="0078799C" w:rsidRDefault="004B5D00" w:rsidP="004B5D00">
            <w:pPr>
              <w:spacing w:after="0"/>
              <w:rPr>
                <w:rFonts w:cs="Times New Roman"/>
                <w:color w:val="010205"/>
                <w:szCs w:val="24"/>
              </w:rPr>
            </w:pPr>
            <w:r>
              <w:rPr>
                <w:rFonts w:cs="Times New Roman"/>
                <w:color w:val="010205"/>
                <w:szCs w:val="24"/>
              </w:rPr>
              <w:t>1.34</w:t>
            </w:r>
          </w:p>
        </w:tc>
      </w:tr>
      <w:tr w:rsidR="004B5D00" w14:paraId="5924E4F7" w14:textId="77777777" w:rsidTr="0074005F">
        <w:tc>
          <w:tcPr>
            <w:tcW w:w="4883" w:type="dxa"/>
            <w:tcBorders>
              <w:top w:val="nil"/>
              <w:left w:val="nil"/>
              <w:bottom w:val="nil"/>
              <w:right w:val="nil"/>
            </w:tcBorders>
          </w:tcPr>
          <w:p w14:paraId="55014E47" w14:textId="7A7B53F9" w:rsidR="004B5D00" w:rsidRDefault="004B5D00" w:rsidP="004B5D00">
            <w:pPr>
              <w:spacing w:after="0"/>
              <w:ind w:left="720"/>
            </w:pPr>
            <w:r>
              <w:t>Structured style</w:t>
            </w:r>
          </w:p>
        </w:tc>
        <w:tc>
          <w:tcPr>
            <w:tcW w:w="4884" w:type="dxa"/>
            <w:tcBorders>
              <w:top w:val="nil"/>
              <w:left w:val="nil"/>
              <w:bottom w:val="nil"/>
              <w:right w:val="nil"/>
            </w:tcBorders>
          </w:tcPr>
          <w:p w14:paraId="2E24E9AA" w14:textId="2E99C97D" w:rsidR="004B5D00" w:rsidRPr="0078799C" w:rsidRDefault="004B5D00" w:rsidP="004B5D00">
            <w:pPr>
              <w:spacing w:after="0"/>
              <w:rPr>
                <w:rFonts w:cs="Times New Roman"/>
                <w:color w:val="010205"/>
                <w:szCs w:val="24"/>
              </w:rPr>
            </w:pPr>
            <w:r>
              <w:rPr>
                <w:rFonts w:cs="Times New Roman"/>
                <w:color w:val="010205"/>
                <w:szCs w:val="24"/>
              </w:rPr>
              <w:t>1.27</w:t>
            </w:r>
          </w:p>
        </w:tc>
      </w:tr>
      <w:tr w:rsidR="004B5D00" w14:paraId="0753D8C0" w14:textId="77777777" w:rsidTr="0074005F">
        <w:tc>
          <w:tcPr>
            <w:tcW w:w="4883" w:type="dxa"/>
            <w:tcBorders>
              <w:top w:val="nil"/>
              <w:left w:val="nil"/>
              <w:bottom w:val="nil"/>
              <w:right w:val="nil"/>
            </w:tcBorders>
          </w:tcPr>
          <w:p w14:paraId="12DDBCAF" w14:textId="685183CC" w:rsidR="004B5D00" w:rsidRDefault="004B5D00" w:rsidP="004B5D00">
            <w:pPr>
              <w:spacing w:after="0"/>
              <w:ind w:left="720"/>
            </w:pPr>
            <w:r>
              <w:t>Worry</w:t>
            </w:r>
          </w:p>
        </w:tc>
        <w:tc>
          <w:tcPr>
            <w:tcW w:w="4884" w:type="dxa"/>
            <w:tcBorders>
              <w:top w:val="nil"/>
              <w:left w:val="nil"/>
              <w:bottom w:val="nil"/>
              <w:right w:val="nil"/>
            </w:tcBorders>
          </w:tcPr>
          <w:p w14:paraId="5F9C396C" w14:textId="3FE6331C" w:rsidR="004B5D00" w:rsidRPr="0078799C" w:rsidRDefault="004B5D00" w:rsidP="004B5D00">
            <w:pPr>
              <w:spacing w:after="0"/>
              <w:rPr>
                <w:rFonts w:cs="Times New Roman"/>
                <w:color w:val="010205"/>
                <w:szCs w:val="24"/>
              </w:rPr>
            </w:pPr>
            <w:r>
              <w:rPr>
                <w:rFonts w:cs="Times New Roman"/>
                <w:color w:val="010205"/>
                <w:szCs w:val="24"/>
              </w:rPr>
              <w:t>1.93</w:t>
            </w:r>
          </w:p>
        </w:tc>
      </w:tr>
      <w:tr w:rsidR="0078799C" w14:paraId="70D1CD9D" w14:textId="77777777" w:rsidTr="0074005F">
        <w:tc>
          <w:tcPr>
            <w:tcW w:w="4883" w:type="dxa"/>
            <w:tcBorders>
              <w:top w:val="nil"/>
              <w:left w:val="nil"/>
              <w:bottom w:val="nil"/>
              <w:right w:val="nil"/>
            </w:tcBorders>
          </w:tcPr>
          <w:p w14:paraId="4DBD0C2E" w14:textId="77777777" w:rsidR="0078799C" w:rsidRDefault="0078799C" w:rsidP="004B5D00">
            <w:pPr>
              <w:spacing w:after="0"/>
              <w:ind w:left="720"/>
            </w:pPr>
            <w:r>
              <w:t>Perceived stress</w:t>
            </w:r>
          </w:p>
        </w:tc>
        <w:tc>
          <w:tcPr>
            <w:tcW w:w="4884" w:type="dxa"/>
            <w:tcBorders>
              <w:top w:val="nil"/>
              <w:left w:val="nil"/>
              <w:bottom w:val="nil"/>
              <w:right w:val="nil"/>
            </w:tcBorders>
          </w:tcPr>
          <w:p w14:paraId="68892809" w14:textId="065E219A" w:rsidR="0078799C" w:rsidRPr="0078799C" w:rsidRDefault="004B5D00" w:rsidP="0078799C">
            <w:pPr>
              <w:spacing w:after="0"/>
              <w:rPr>
                <w:rFonts w:cs="Times New Roman"/>
                <w:color w:val="010205"/>
                <w:szCs w:val="24"/>
              </w:rPr>
            </w:pPr>
            <w:r>
              <w:rPr>
                <w:rFonts w:cs="Times New Roman"/>
                <w:color w:val="010205"/>
                <w:szCs w:val="24"/>
              </w:rPr>
              <w:t>2.30</w:t>
            </w:r>
          </w:p>
        </w:tc>
      </w:tr>
    </w:tbl>
    <w:p w14:paraId="74853A75" w14:textId="77777777" w:rsidR="0078799C" w:rsidRDefault="0078799C" w:rsidP="0099660E"/>
    <w:p w14:paraId="65D70073" w14:textId="4C9A2EF1" w:rsidR="007A4442" w:rsidRDefault="0099660E" w:rsidP="009E495D">
      <w:r>
        <w:t xml:space="preserve"> </w:t>
      </w:r>
      <w:r w:rsidR="006D3F58">
        <w:t>2.3</w:t>
      </w:r>
      <w:r w:rsidR="007A4442">
        <w:tab/>
      </w:r>
      <w:r w:rsidR="009E495D">
        <w:t>Homoscedasticity</w:t>
      </w:r>
    </w:p>
    <w:p w14:paraId="34B6D99A" w14:textId="5A4EEDC0" w:rsidR="007A4442" w:rsidRDefault="007A4442" w:rsidP="006A21A2">
      <w:pPr>
        <w:ind w:firstLine="720"/>
      </w:pPr>
      <w:r>
        <w:t xml:space="preserve">Scatterplots of residuals have been examined to check homoscedasticity. </w:t>
      </w:r>
      <w:r w:rsidR="0099660E">
        <w:t xml:space="preserve">The data points </w:t>
      </w:r>
      <w:r w:rsidR="006A21A2">
        <w:t>were</w:t>
      </w:r>
      <w:r w:rsidR="0099660E">
        <w:t xml:space="preserve"> distributed above and below zero on the X axis, and above and below zero on the Y axis, implying the data is </w:t>
      </w:r>
      <w:r w:rsidR="0099660E" w:rsidRPr="0099660E">
        <w:t>homoscedastic</w:t>
      </w:r>
      <w:r w:rsidR="0099660E">
        <w:t xml:space="preserve">. </w:t>
      </w:r>
    </w:p>
    <w:p w14:paraId="3E47E839" w14:textId="37F90E6D" w:rsidR="00181346" w:rsidRDefault="00181346" w:rsidP="009E495D">
      <w:r>
        <w:t>2.4</w:t>
      </w:r>
      <w:r>
        <w:tab/>
        <w:t xml:space="preserve">Linearity </w:t>
      </w:r>
    </w:p>
    <w:p w14:paraId="68AB3447" w14:textId="3AA4C096" w:rsidR="00181346" w:rsidRDefault="00181346" w:rsidP="009E495D">
      <w:r>
        <w:t xml:space="preserve">Based on simple scatter plots with fit lines, created in SPSS graph builder, all variables have linear relationships with sleep quality as measured with PSQI. </w:t>
      </w:r>
    </w:p>
    <w:p w14:paraId="5D7D18C0" w14:textId="5703674D" w:rsidR="00181346" w:rsidRDefault="00181346" w:rsidP="009E495D">
      <w:r>
        <w:t>2.5</w:t>
      </w:r>
      <w:r>
        <w:tab/>
        <w:t>Variable types</w:t>
      </w:r>
    </w:p>
    <w:p w14:paraId="389ED2B5" w14:textId="63927C63" w:rsidR="00181346" w:rsidRDefault="00181346" w:rsidP="009E495D">
      <w:r>
        <w:t xml:space="preserve">All predictor variables were quantitative and continuous, with the exception of sex, which was a categorical variable with two categories. The outcome variable was quantitative, continuous and unbounded. </w:t>
      </w:r>
    </w:p>
    <w:p w14:paraId="33B7FE11" w14:textId="6FE92CD5" w:rsidR="00181346" w:rsidRDefault="00181346" w:rsidP="009E495D">
      <w:r>
        <w:t>2.6</w:t>
      </w:r>
      <w:r>
        <w:tab/>
        <w:t>Non-zero variance</w:t>
      </w:r>
    </w:p>
    <w:p w14:paraId="5F69E75B" w14:textId="1A27AB14" w:rsidR="00181346" w:rsidRDefault="00181346" w:rsidP="009E495D">
      <w:r>
        <w:t>The predictors did not have variances of 0.</w:t>
      </w:r>
    </w:p>
    <w:p w14:paraId="561EFE65" w14:textId="2A48D646" w:rsidR="00181346" w:rsidRDefault="00181346" w:rsidP="009E495D">
      <w:r>
        <w:t>2.7</w:t>
      </w:r>
      <w:r>
        <w:tab/>
      </w:r>
      <w:r w:rsidR="00DF5850">
        <w:t>Independent errors</w:t>
      </w:r>
    </w:p>
    <w:p w14:paraId="4FE2A1B2" w14:textId="6C6D232F" w:rsidR="00DF5850" w:rsidRPr="006A21A2" w:rsidRDefault="00DF5850" w:rsidP="006A21A2">
      <w:pPr>
        <w:rPr>
          <w:rFonts w:cs="Times New Roman"/>
          <w:szCs w:val="24"/>
        </w:rPr>
      </w:pPr>
      <w:r>
        <w:t xml:space="preserve">The Durbin-Watson test was carried out to check for autocorrelation between the investigated variables. The values of the Durbin-Watson test were 2.14 and 2.16 for Model 1 and Model 2, respectively. These values lie </w:t>
      </w:r>
      <w:r w:rsidRPr="00DF5850">
        <w:t xml:space="preserve">between the critical </w:t>
      </w:r>
      <w:r w:rsidR="00843714">
        <w:t>cutoff</w:t>
      </w:r>
      <w:r w:rsidRPr="00DF5850">
        <w:t xml:space="preserve"> of 1.5 &lt; d &lt; 2.5</w:t>
      </w:r>
      <w:r w:rsidR="00843714">
        <w:t xml:space="preserve">, which gives reason to assume </w:t>
      </w:r>
      <w:r w:rsidRPr="00DF5850">
        <w:t xml:space="preserve">that there is no first order linear auto-correlation in our </w:t>
      </w:r>
      <w:r w:rsidR="006A21A2">
        <w:t>multiple linear regression data.</w:t>
      </w:r>
    </w:p>
    <w:p w14:paraId="79BEE55C" w14:textId="38522C7B" w:rsidR="00DF5850" w:rsidRDefault="00843714" w:rsidP="009E495D">
      <w:r>
        <w:t>2.8</w:t>
      </w:r>
      <w:r>
        <w:tab/>
        <w:t>Independence</w:t>
      </w:r>
    </w:p>
    <w:p w14:paraId="60723A18" w14:textId="785C77E3" w:rsidR="00843714" w:rsidRDefault="00843714" w:rsidP="009E495D">
      <w:r>
        <w:t xml:space="preserve">Each value of the outcome variable comes from a separate entity. </w:t>
      </w:r>
    </w:p>
    <w:p w14:paraId="20607EB2" w14:textId="77777777" w:rsidR="006A21A2" w:rsidRDefault="006A21A2" w:rsidP="009E495D">
      <w:pPr>
        <w:rPr>
          <w:b/>
        </w:rPr>
      </w:pPr>
    </w:p>
    <w:p w14:paraId="0CE6BD1A" w14:textId="77777777" w:rsidR="006A21A2" w:rsidRDefault="006A21A2" w:rsidP="009E495D">
      <w:pPr>
        <w:rPr>
          <w:b/>
        </w:rPr>
      </w:pPr>
    </w:p>
    <w:p w14:paraId="3220604F" w14:textId="77777777" w:rsidR="006A21A2" w:rsidRDefault="006A21A2" w:rsidP="009E495D">
      <w:pPr>
        <w:rPr>
          <w:b/>
        </w:rPr>
      </w:pPr>
    </w:p>
    <w:p w14:paraId="656C7ACC" w14:textId="59AF38BC" w:rsidR="007A4442" w:rsidRPr="0099660E" w:rsidRDefault="0099660E" w:rsidP="009E495D">
      <w:pPr>
        <w:rPr>
          <w:b/>
        </w:rPr>
      </w:pPr>
      <w:r w:rsidRPr="0099660E">
        <w:rPr>
          <w:b/>
        </w:rPr>
        <w:lastRenderedPageBreak/>
        <w:t>2</w:t>
      </w:r>
      <w:r w:rsidRPr="0099660E">
        <w:rPr>
          <w:b/>
        </w:rPr>
        <w:tab/>
        <w:t>Results of the multiple linear regression testing Model 1</w:t>
      </w:r>
    </w:p>
    <w:tbl>
      <w:tblPr>
        <w:tblStyle w:val="TableGrid"/>
        <w:tblW w:w="0" w:type="auto"/>
        <w:tblLook w:val="04A0" w:firstRow="1" w:lastRow="0" w:firstColumn="1" w:lastColumn="0" w:noHBand="0" w:noVBand="1"/>
      </w:tblPr>
      <w:tblGrid>
        <w:gridCol w:w="2127"/>
        <w:gridCol w:w="1528"/>
        <w:gridCol w:w="1528"/>
        <w:gridCol w:w="1528"/>
        <w:gridCol w:w="1528"/>
        <w:gridCol w:w="1528"/>
      </w:tblGrid>
      <w:tr w:rsidR="000E2E38" w14:paraId="4A295456" w14:textId="77777777" w:rsidTr="0025616E">
        <w:tc>
          <w:tcPr>
            <w:tcW w:w="9767" w:type="dxa"/>
            <w:gridSpan w:val="6"/>
            <w:tcBorders>
              <w:top w:val="nil"/>
              <w:left w:val="nil"/>
              <w:right w:val="nil"/>
            </w:tcBorders>
            <w:vAlign w:val="center"/>
          </w:tcPr>
          <w:p w14:paraId="6625909A" w14:textId="1CD28EB0" w:rsidR="00137EF7" w:rsidRPr="000A12AE" w:rsidRDefault="00137EF7" w:rsidP="0025616E">
            <w:pPr>
              <w:spacing w:after="0"/>
              <w:rPr>
                <w:i/>
              </w:rPr>
            </w:pPr>
            <w:r>
              <w:t>Table 3</w:t>
            </w:r>
            <w:r w:rsidR="000A12AE">
              <w:br/>
            </w:r>
            <w:r w:rsidRPr="000A12AE">
              <w:rPr>
                <w:i/>
              </w:rPr>
              <w:t>Multiple linear regression analysis for variables predicting subjective sleep quality, based on cross-sectional data collected from 632 junior athletes.</w:t>
            </w:r>
          </w:p>
        </w:tc>
      </w:tr>
      <w:tr w:rsidR="00137EF7" w14:paraId="005197E7" w14:textId="77777777" w:rsidTr="0025616E">
        <w:tc>
          <w:tcPr>
            <w:tcW w:w="2127" w:type="dxa"/>
            <w:tcBorders>
              <w:left w:val="nil"/>
              <w:right w:val="nil"/>
            </w:tcBorders>
            <w:vAlign w:val="center"/>
          </w:tcPr>
          <w:p w14:paraId="2E9552C4" w14:textId="5B557A18" w:rsidR="00137EF7" w:rsidRDefault="00137EF7" w:rsidP="0025616E">
            <w:pPr>
              <w:spacing w:after="0"/>
              <w:jc w:val="center"/>
            </w:pPr>
            <w:r>
              <w:t>Predictor</w:t>
            </w:r>
          </w:p>
        </w:tc>
        <w:tc>
          <w:tcPr>
            <w:tcW w:w="1528" w:type="dxa"/>
            <w:tcBorders>
              <w:left w:val="nil"/>
              <w:right w:val="nil"/>
            </w:tcBorders>
            <w:vAlign w:val="center"/>
          </w:tcPr>
          <w:p w14:paraId="3194F5C8" w14:textId="016BE8A5" w:rsidR="00137EF7" w:rsidRPr="00137EF7" w:rsidRDefault="00137EF7" w:rsidP="0025616E">
            <w:pPr>
              <w:spacing w:after="0"/>
              <w:jc w:val="center"/>
              <w:rPr>
                <w:i/>
              </w:rPr>
            </w:pPr>
            <w:r w:rsidRPr="00137EF7">
              <w:rPr>
                <w:rFonts w:cs="Times New Roman"/>
                <w:i/>
              </w:rPr>
              <w:t>B</w:t>
            </w:r>
          </w:p>
        </w:tc>
        <w:tc>
          <w:tcPr>
            <w:tcW w:w="1528" w:type="dxa"/>
            <w:tcBorders>
              <w:left w:val="nil"/>
              <w:right w:val="nil"/>
            </w:tcBorders>
            <w:vAlign w:val="center"/>
          </w:tcPr>
          <w:p w14:paraId="3AA5C58F" w14:textId="23C8A7A2" w:rsidR="00137EF7" w:rsidRPr="00137EF7" w:rsidRDefault="00137EF7" w:rsidP="0025616E">
            <w:pPr>
              <w:spacing w:after="0"/>
              <w:jc w:val="center"/>
              <w:rPr>
                <w:i/>
              </w:rPr>
            </w:pPr>
            <w:r w:rsidRPr="00137EF7">
              <w:rPr>
                <w:rFonts w:cs="Times New Roman"/>
                <w:i/>
              </w:rPr>
              <w:t>SE B</w:t>
            </w:r>
          </w:p>
        </w:tc>
        <w:tc>
          <w:tcPr>
            <w:tcW w:w="1528" w:type="dxa"/>
            <w:tcBorders>
              <w:left w:val="nil"/>
              <w:right w:val="nil"/>
            </w:tcBorders>
            <w:vAlign w:val="center"/>
          </w:tcPr>
          <w:p w14:paraId="0498D8DE" w14:textId="63D3B357" w:rsidR="00137EF7" w:rsidRDefault="00137EF7" w:rsidP="0025616E">
            <w:pPr>
              <w:spacing w:after="0"/>
              <w:jc w:val="center"/>
            </w:pPr>
            <w:r w:rsidRPr="0007391B">
              <w:rPr>
                <w:rFonts w:cs="Times New Roman"/>
                <w:bCs/>
              </w:rPr>
              <w:sym w:font="Symbol" w:char="F062"/>
            </w:r>
          </w:p>
        </w:tc>
        <w:tc>
          <w:tcPr>
            <w:tcW w:w="1528" w:type="dxa"/>
            <w:tcBorders>
              <w:left w:val="nil"/>
              <w:right w:val="nil"/>
            </w:tcBorders>
            <w:vAlign w:val="center"/>
          </w:tcPr>
          <w:p w14:paraId="76C46EEC" w14:textId="4111354A" w:rsidR="00137EF7" w:rsidRPr="00137EF7" w:rsidRDefault="00137EF7" w:rsidP="0025616E">
            <w:pPr>
              <w:spacing w:after="0"/>
              <w:jc w:val="center"/>
              <w:rPr>
                <w:i/>
              </w:rPr>
            </w:pPr>
            <w:r w:rsidRPr="00137EF7">
              <w:rPr>
                <w:rFonts w:cs="Times New Roman"/>
                <w:i/>
              </w:rPr>
              <w:t>t</w:t>
            </w:r>
          </w:p>
        </w:tc>
        <w:tc>
          <w:tcPr>
            <w:tcW w:w="1528" w:type="dxa"/>
            <w:tcBorders>
              <w:left w:val="nil"/>
              <w:right w:val="nil"/>
            </w:tcBorders>
            <w:vAlign w:val="center"/>
          </w:tcPr>
          <w:p w14:paraId="68E04F5D" w14:textId="7AA664A8" w:rsidR="00137EF7" w:rsidRPr="00137EF7" w:rsidRDefault="00137EF7" w:rsidP="0025616E">
            <w:pPr>
              <w:spacing w:after="0"/>
              <w:jc w:val="center"/>
              <w:rPr>
                <w:i/>
              </w:rPr>
            </w:pPr>
            <w:r w:rsidRPr="00137EF7">
              <w:rPr>
                <w:rFonts w:cs="Times New Roman"/>
                <w:i/>
                <w:noProof/>
              </w:rPr>
              <w:t>p</w:t>
            </w:r>
          </w:p>
        </w:tc>
      </w:tr>
      <w:tr w:rsidR="000E2E38" w14:paraId="2905ED35" w14:textId="77777777" w:rsidTr="0025616E">
        <w:tc>
          <w:tcPr>
            <w:tcW w:w="2127" w:type="dxa"/>
            <w:tcBorders>
              <w:left w:val="nil"/>
              <w:bottom w:val="nil"/>
              <w:right w:val="nil"/>
            </w:tcBorders>
            <w:vAlign w:val="center"/>
          </w:tcPr>
          <w:p w14:paraId="553D28B9" w14:textId="4505B259" w:rsidR="000E2E38" w:rsidRDefault="00137EF7" w:rsidP="0025616E">
            <w:pPr>
              <w:spacing w:after="0"/>
            </w:pPr>
            <w:r w:rsidRPr="0007391B">
              <w:rPr>
                <w:rFonts w:cs="Times New Roman"/>
              </w:rPr>
              <w:t>Sex (♂=0, ♀=1)</w:t>
            </w:r>
          </w:p>
        </w:tc>
        <w:tc>
          <w:tcPr>
            <w:tcW w:w="1528" w:type="dxa"/>
            <w:tcBorders>
              <w:left w:val="nil"/>
              <w:bottom w:val="nil"/>
              <w:right w:val="nil"/>
            </w:tcBorders>
            <w:vAlign w:val="center"/>
          </w:tcPr>
          <w:p w14:paraId="265016B4" w14:textId="381CA67B" w:rsidR="000E2E38" w:rsidRDefault="000A12AE" w:rsidP="0025616E">
            <w:pPr>
              <w:spacing w:after="0"/>
              <w:jc w:val="center"/>
            </w:pPr>
            <w:r>
              <w:t>.45</w:t>
            </w:r>
          </w:p>
        </w:tc>
        <w:tc>
          <w:tcPr>
            <w:tcW w:w="1528" w:type="dxa"/>
            <w:tcBorders>
              <w:left w:val="nil"/>
              <w:bottom w:val="nil"/>
              <w:right w:val="nil"/>
            </w:tcBorders>
            <w:vAlign w:val="center"/>
          </w:tcPr>
          <w:p w14:paraId="6983C2EB" w14:textId="3E9F1D58" w:rsidR="000E2E38" w:rsidRDefault="000A12AE" w:rsidP="0025616E">
            <w:pPr>
              <w:spacing w:after="0"/>
              <w:jc w:val="center"/>
            </w:pPr>
            <w:r>
              <w:t>.23</w:t>
            </w:r>
          </w:p>
        </w:tc>
        <w:tc>
          <w:tcPr>
            <w:tcW w:w="1528" w:type="dxa"/>
            <w:tcBorders>
              <w:left w:val="nil"/>
              <w:bottom w:val="nil"/>
              <w:right w:val="nil"/>
            </w:tcBorders>
            <w:vAlign w:val="center"/>
          </w:tcPr>
          <w:p w14:paraId="7ED98ECE" w14:textId="64D1D74F" w:rsidR="000E2E38" w:rsidRDefault="000A12AE" w:rsidP="0025616E">
            <w:pPr>
              <w:spacing w:after="0"/>
              <w:jc w:val="center"/>
            </w:pPr>
            <w:r>
              <w:t>.08</w:t>
            </w:r>
          </w:p>
        </w:tc>
        <w:tc>
          <w:tcPr>
            <w:tcW w:w="1528" w:type="dxa"/>
            <w:tcBorders>
              <w:left w:val="nil"/>
              <w:bottom w:val="nil"/>
              <w:right w:val="nil"/>
            </w:tcBorders>
            <w:vAlign w:val="center"/>
          </w:tcPr>
          <w:p w14:paraId="7B486214" w14:textId="0D61AB3D" w:rsidR="000E2E38" w:rsidRDefault="000A12AE" w:rsidP="0025616E">
            <w:pPr>
              <w:spacing w:after="0"/>
              <w:jc w:val="center"/>
            </w:pPr>
            <w:r>
              <w:t>2.00</w:t>
            </w:r>
          </w:p>
        </w:tc>
        <w:tc>
          <w:tcPr>
            <w:tcW w:w="1528" w:type="dxa"/>
            <w:tcBorders>
              <w:left w:val="nil"/>
              <w:bottom w:val="nil"/>
              <w:right w:val="nil"/>
            </w:tcBorders>
            <w:vAlign w:val="center"/>
          </w:tcPr>
          <w:p w14:paraId="22E7932D" w14:textId="57FA9345" w:rsidR="000E2E38" w:rsidRDefault="000A12AE" w:rsidP="0025616E">
            <w:pPr>
              <w:spacing w:after="0"/>
              <w:jc w:val="center"/>
            </w:pPr>
            <w:r>
              <w:t>.047</w:t>
            </w:r>
          </w:p>
        </w:tc>
      </w:tr>
      <w:tr w:rsidR="000A12AE" w14:paraId="7A7BCECC" w14:textId="77777777" w:rsidTr="0025616E">
        <w:tc>
          <w:tcPr>
            <w:tcW w:w="2127" w:type="dxa"/>
            <w:tcBorders>
              <w:top w:val="nil"/>
              <w:left w:val="nil"/>
              <w:bottom w:val="nil"/>
              <w:right w:val="nil"/>
            </w:tcBorders>
            <w:vAlign w:val="center"/>
          </w:tcPr>
          <w:p w14:paraId="6369C525" w14:textId="1522F92A" w:rsidR="000A12AE" w:rsidRDefault="000A12AE" w:rsidP="0025616E">
            <w:pPr>
              <w:spacing w:after="0"/>
            </w:pPr>
            <w:r>
              <w:t>Perception of self</w:t>
            </w:r>
          </w:p>
        </w:tc>
        <w:tc>
          <w:tcPr>
            <w:tcW w:w="1528" w:type="dxa"/>
            <w:tcBorders>
              <w:top w:val="nil"/>
              <w:left w:val="nil"/>
              <w:bottom w:val="nil"/>
              <w:right w:val="nil"/>
            </w:tcBorders>
            <w:vAlign w:val="center"/>
          </w:tcPr>
          <w:p w14:paraId="6BBD13CD" w14:textId="7D0E379D" w:rsidR="000A12AE" w:rsidRDefault="000A12AE" w:rsidP="0025616E">
            <w:pPr>
              <w:spacing w:after="0"/>
              <w:jc w:val="center"/>
            </w:pPr>
            <w:r w:rsidRPr="00FE58F7">
              <w:t>-</w:t>
            </w:r>
            <w:r>
              <w:t>.</w:t>
            </w:r>
            <w:r w:rsidRPr="00FE58F7">
              <w:t>06</w:t>
            </w:r>
          </w:p>
        </w:tc>
        <w:tc>
          <w:tcPr>
            <w:tcW w:w="1528" w:type="dxa"/>
            <w:tcBorders>
              <w:top w:val="nil"/>
              <w:left w:val="nil"/>
              <w:bottom w:val="nil"/>
              <w:right w:val="nil"/>
            </w:tcBorders>
            <w:vAlign w:val="center"/>
          </w:tcPr>
          <w:p w14:paraId="4FAD86E0" w14:textId="3C58826E" w:rsidR="000A12AE" w:rsidRDefault="000A12AE" w:rsidP="0025616E">
            <w:pPr>
              <w:spacing w:after="0"/>
              <w:jc w:val="center"/>
            </w:pPr>
            <w:r>
              <w:t>.</w:t>
            </w:r>
            <w:r w:rsidRPr="00FE58F7">
              <w:t>1</w:t>
            </w:r>
            <w:r>
              <w:t>5</w:t>
            </w:r>
          </w:p>
        </w:tc>
        <w:tc>
          <w:tcPr>
            <w:tcW w:w="1528" w:type="dxa"/>
            <w:tcBorders>
              <w:top w:val="nil"/>
              <w:left w:val="nil"/>
              <w:bottom w:val="nil"/>
              <w:right w:val="nil"/>
            </w:tcBorders>
            <w:vAlign w:val="center"/>
          </w:tcPr>
          <w:p w14:paraId="4F1C0C53" w14:textId="5401447E" w:rsidR="000A12AE" w:rsidRDefault="000A12AE" w:rsidP="0025616E">
            <w:pPr>
              <w:spacing w:after="0"/>
              <w:jc w:val="center"/>
            </w:pPr>
            <w:r w:rsidRPr="00FE58F7">
              <w:t>-</w:t>
            </w:r>
            <w:r>
              <w:t>.</w:t>
            </w:r>
            <w:r w:rsidRPr="00FE58F7">
              <w:t>02</w:t>
            </w:r>
          </w:p>
        </w:tc>
        <w:tc>
          <w:tcPr>
            <w:tcW w:w="1528" w:type="dxa"/>
            <w:tcBorders>
              <w:top w:val="nil"/>
              <w:left w:val="nil"/>
              <w:bottom w:val="nil"/>
              <w:right w:val="nil"/>
            </w:tcBorders>
            <w:vAlign w:val="center"/>
          </w:tcPr>
          <w:p w14:paraId="0211BAE7" w14:textId="39DD8460" w:rsidR="000A12AE" w:rsidRDefault="000A12AE" w:rsidP="0025616E">
            <w:pPr>
              <w:spacing w:after="0"/>
              <w:jc w:val="center"/>
            </w:pPr>
            <w:r w:rsidRPr="00FE58F7">
              <w:t>-</w:t>
            </w:r>
            <w:r>
              <w:t>.</w:t>
            </w:r>
            <w:r w:rsidRPr="00FE58F7">
              <w:t>41</w:t>
            </w:r>
          </w:p>
        </w:tc>
        <w:tc>
          <w:tcPr>
            <w:tcW w:w="1528" w:type="dxa"/>
            <w:tcBorders>
              <w:top w:val="nil"/>
              <w:left w:val="nil"/>
              <w:bottom w:val="nil"/>
              <w:right w:val="nil"/>
            </w:tcBorders>
            <w:vAlign w:val="center"/>
          </w:tcPr>
          <w:p w14:paraId="7D3BCEDC" w14:textId="554B3DC8" w:rsidR="000A12AE" w:rsidRDefault="000A12AE" w:rsidP="0025616E">
            <w:pPr>
              <w:spacing w:after="0"/>
              <w:jc w:val="center"/>
            </w:pPr>
            <w:r>
              <w:t>.</w:t>
            </w:r>
            <w:r w:rsidRPr="00FE58F7">
              <w:t>6</w:t>
            </w:r>
            <w:r>
              <w:t>79</w:t>
            </w:r>
          </w:p>
        </w:tc>
      </w:tr>
      <w:tr w:rsidR="000A12AE" w14:paraId="523F5430" w14:textId="77777777" w:rsidTr="0025616E">
        <w:tc>
          <w:tcPr>
            <w:tcW w:w="2127" w:type="dxa"/>
            <w:tcBorders>
              <w:top w:val="nil"/>
              <w:left w:val="nil"/>
              <w:bottom w:val="nil"/>
              <w:right w:val="nil"/>
            </w:tcBorders>
            <w:vAlign w:val="center"/>
          </w:tcPr>
          <w:p w14:paraId="7AB96935" w14:textId="1FD46BA1" w:rsidR="000A12AE" w:rsidRDefault="000A12AE" w:rsidP="0025616E">
            <w:pPr>
              <w:spacing w:after="0"/>
            </w:pPr>
            <w:r>
              <w:t>Planned future</w:t>
            </w:r>
          </w:p>
        </w:tc>
        <w:tc>
          <w:tcPr>
            <w:tcW w:w="1528" w:type="dxa"/>
            <w:tcBorders>
              <w:top w:val="nil"/>
              <w:left w:val="nil"/>
              <w:bottom w:val="nil"/>
              <w:right w:val="nil"/>
            </w:tcBorders>
            <w:vAlign w:val="center"/>
          </w:tcPr>
          <w:p w14:paraId="36061542" w14:textId="0DE22FFB" w:rsidR="000A12AE" w:rsidRDefault="000A12AE" w:rsidP="0025616E">
            <w:pPr>
              <w:spacing w:after="0"/>
              <w:jc w:val="center"/>
            </w:pPr>
            <w:r w:rsidRPr="009B5CEB">
              <w:t>-</w:t>
            </w:r>
            <w:r>
              <w:t>.</w:t>
            </w:r>
            <w:r w:rsidRPr="009B5CEB">
              <w:t>1</w:t>
            </w:r>
            <w:r>
              <w:t>1</w:t>
            </w:r>
          </w:p>
        </w:tc>
        <w:tc>
          <w:tcPr>
            <w:tcW w:w="1528" w:type="dxa"/>
            <w:tcBorders>
              <w:top w:val="nil"/>
              <w:left w:val="nil"/>
              <w:bottom w:val="nil"/>
              <w:right w:val="nil"/>
            </w:tcBorders>
            <w:vAlign w:val="center"/>
          </w:tcPr>
          <w:p w14:paraId="226A5A52" w14:textId="2F9BC020" w:rsidR="000A12AE" w:rsidRDefault="000A12AE" w:rsidP="0025616E">
            <w:pPr>
              <w:spacing w:after="0"/>
              <w:jc w:val="center"/>
            </w:pPr>
            <w:r>
              <w:t>.</w:t>
            </w:r>
            <w:r w:rsidRPr="009B5CEB">
              <w:t>11</w:t>
            </w:r>
          </w:p>
        </w:tc>
        <w:tc>
          <w:tcPr>
            <w:tcW w:w="1528" w:type="dxa"/>
            <w:tcBorders>
              <w:top w:val="nil"/>
              <w:left w:val="nil"/>
              <w:bottom w:val="nil"/>
              <w:right w:val="nil"/>
            </w:tcBorders>
            <w:vAlign w:val="center"/>
          </w:tcPr>
          <w:p w14:paraId="6517D15B" w14:textId="53AFF9E2" w:rsidR="000A12AE" w:rsidRDefault="000A12AE" w:rsidP="0025616E">
            <w:pPr>
              <w:spacing w:after="0"/>
              <w:jc w:val="center"/>
            </w:pPr>
            <w:r w:rsidRPr="009B5CEB">
              <w:t>-</w:t>
            </w:r>
            <w:r>
              <w:t>.</w:t>
            </w:r>
            <w:r w:rsidRPr="009B5CEB">
              <w:t>0</w:t>
            </w:r>
            <w:r>
              <w:t>5</w:t>
            </w:r>
          </w:p>
        </w:tc>
        <w:tc>
          <w:tcPr>
            <w:tcW w:w="1528" w:type="dxa"/>
            <w:tcBorders>
              <w:top w:val="nil"/>
              <w:left w:val="nil"/>
              <w:bottom w:val="nil"/>
              <w:right w:val="nil"/>
            </w:tcBorders>
            <w:vAlign w:val="center"/>
          </w:tcPr>
          <w:p w14:paraId="5DC77A88" w14:textId="2063B9C9" w:rsidR="000A12AE" w:rsidRDefault="000A12AE" w:rsidP="0025616E">
            <w:pPr>
              <w:spacing w:after="0"/>
              <w:jc w:val="center"/>
            </w:pPr>
            <w:r w:rsidRPr="009B5CEB">
              <w:t>-</w:t>
            </w:r>
            <w:r>
              <w:t>.</w:t>
            </w:r>
            <w:r w:rsidRPr="009B5CEB">
              <w:t>97</w:t>
            </w:r>
          </w:p>
        </w:tc>
        <w:tc>
          <w:tcPr>
            <w:tcW w:w="1528" w:type="dxa"/>
            <w:tcBorders>
              <w:top w:val="nil"/>
              <w:left w:val="nil"/>
              <w:bottom w:val="nil"/>
              <w:right w:val="nil"/>
            </w:tcBorders>
            <w:vAlign w:val="center"/>
          </w:tcPr>
          <w:p w14:paraId="48B49184" w14:textId="6017D937" w:rsidR="000A12AE" w:rsidRDefault="000A12AE" w:rsidP="0025616E">
            <w:pPr>
              <w:spacing w:after="0"/>
              <w:jc w:val="center"/>
            </w:pPr>
            <w:r>
              <w:t>.</w:t>
            </w:r>
            <w:r w:rsidRPr="009B5CEB">
              <w:t>331</w:t>
            </w:r>
          </w:p>
        </w:tc>
      </w:tr>
      <w:tr w:rsidR="000A12AE" w14:paraId="275AEB99" w14:textId="77777777" w:rsidTr="0025616E">
        <w:tc>
          <w:tcPr>
            <w:tcW w:w="2127" w:type="dxa"/>
            <w:tcBorders>
              <w:top w:val="nil"/>
              <w:left w:val="nil"/>
              <w:bottom w:val="nil"/>
              <w:right w:val="nil"/>
            </w:tcBorders>
            <w:vAlign w:val="center"/>
          </w:tcPr>
          <w:p w14:paraId="628D8A1B" w14:textId="6002C83B" w:rsidR="000A12AE" w:rsidRDefault="000A12AE" w:rsidP="0025616E">
            <w:pPr>
              <w:spacing w:after="0"/>
            </w:pPr>
            <w:r>
              <w:t>Social competence</w:t>
            </w:r>
          </w:p>
        </w:tc>
        <w:tc>
          <w:tcPr>
            <w:tcW w:w="1528" w:type="dxa"/>
            <w:tcBorders>
              <w:top w:val="nil"/>
              <w:left w:val="nil"/>
              <w:bottom w:val="nil"/>
              <w:right w:val="nil"/>
            </w:tcBorders>
            <w:vAlign w:val="center"/>
          </w:tcPr>
          <w:p w14:paraId="6AF81163" w14:textId="52D7007D" w:rsidR="000A12AE" w:rsidRDefault="000A12AE" w:rsidP="0025616E">
            <w:pPr>
              <w:spacing w:after="0"/>
              <w:jc w:val="center"/>
            </w:pPr>
            <w:r>
              <w:t>.</w:t>
            </w:r>
            <w:r w:rsidRPr="009B5CEB">
              <w:t>1</w:t>
            </w:r>
            <w:r>
              <w:t>9</w:t>
            </w:r>
          </w:p>
        </w:tc>
        <w:tc>
          <w:tcPr>
            <w:tcW w:w="1528" w:type="dxa"/>
            <w:tcBorders>
              <w:top w:val="nil"/>
              <w:left w:val="nil"/>
              <w:bottom w:val="nil"/>
              <w:right w:val="nil"/>
            </w:tcBorders>
            <w:vAlign w:val="center"/>
          </w:tcPr>
          <w:p w14:paraId="49BFEC2A" w14:textId="33489C95" w:rsidR="000A12AE" w:rsidRDefault="000A12AE" w:rsidP="0025616E">
            <w:pPr>
              <w:spacing w:after="0"/>
              <w:jc w:val="center"/>
            </w:pPr>
            <w:r>
              <w:t>.</w:t>
            </w:r>
            <w:r w:rsidRPr="009B5CEB">
              <w:t>1</w:t>
            </w:r>
            <w:r>
              <w:t>1</w:t>
            </w:r>
          </w:p>
        </w:tc>
        <w:tc>
          <w:tcPr>
            <w:tcW w:w="1528" w:type="dxa"/>
            <w:tcBorders>
              <w:top w:val="nil"/>
              <w:left w:val="nil"/>
              <w:bottom w:val="nil"/>
              <w:right w:val="nil"/>
            </w:tcBorders>
            <w:vAlign w:val="center"/>
          </w:tcPr>
          <w:p w14:paraId="62D3E1FF" w14:textId="4FD709F3" w:rsidR="000A12AE" w:rsidRDefault="000A12AE" w:rsidP="0025616E">
            <w:pPr>
              <w:spacing w:after="0"/>
              <w:jc w:val="center"/>
            </w:pPr>
            <w:r>
              <w:t>.</w:t>
            </w:r>
            <w:r w:rsidRPr="009B5CEB">
              <w:t>0</w:t>
            </w:r>
            <w:r>
              <w:t>7</w:t>
            </w:r>
          </w:p>
        </w:tc>
        <w:tc>
          <w:tcPr>
            <w:tcW w:w="1528" w:type="dxa"/>
            <w:tcBorders>
              <w:top w:val="nil"/>
              <w:left w:val="nil"/>
              <w:bottom w:val="nil"/>
              <w:right w:val="nil"/>
            </w:tcBorders>
            <w:vAlign w:val="center"/>
          </w:tcPr>
          <w:p w14:paraId="7591CC33" w14:textId="42B13A88" w:rsidR="000A12AE" w:rsidRDefault="000A12AE" w:rsidP="0025616E">
            <w:pPr>
              <w:spacing w:after="0"/>
              <w:jc w:val="center"/>
            </w:pPr>
            <w:r w:rsidRPr="009B5CEB">
              <w:t>1</w:t>
            </w:r>
            <w:r>
              <w:t>.</w:t>
            </w:r>
            <w:r w:rsidRPr="009B5CEB">
              <w:t>7</w:t>
            </w:r>
            <w:r>
              <w:t>2</w:t>
            </w:r>
          </w:p>
        </w:tc>
        <w:tc>
          <w:tcPr>
            <w:tcW w:w="1528" w:type="dxa"/>
            <w:tcBorders>
              <w:top w:val="nil"/>
              <w:left w:val="nil"/>
              <w:bottom w:val="nil"/>
              <w:right w:val="nil"/>
            </w:tcBorders>
            <w:vAlign w:val="center"/>
          </w:tcPr>
          <w:p w14:paraId="7553B530" w14:textId="616A29F8" w:rsidR="000A12AE" w:rsidRDefault="000A12AE" w:rsidP="0025616E">
            <w:pPr>
              <w:spacing w:after="0"/>
              <w:jc w:val="center"/>
            </w:pPr>
            <w:r>
              <w:t>.</w:t>
            </w:r>
            <w:r w:rsidRPr="009B5CEB">
              <w:t>087</w:t>
            </w:r>
          </w:p>
        </w:tc>
      </w:tr>
      <w:tr w:rsidR="000A12AE" w14:paraId="269CD21D" w14:textId="77777777" w:rsidTr="0025616E">
        <w:tc>
          <w:tcPr>
            <w:tcW w:w="2127" w:type="dxa"/>
            <w:tcBorders>
              <w:top w:val="nil"/>
              <w:left w:val="nil"/>
              <w:bottom w:val="nil"/>
              <w:right w:val="nil"/>
            </w:tcBorders>
            <w:vAlign w:val="center"/>
          </w:tcPr>
          <w:p w14:paraId="660D1B7B" w14:textId="1CA20D7A" w:rsidR="000A12AE" w:rsidRDefault="000A12AE" w:rsidP="0025616E">
            <w:pPr>
              <w:spacing w:after="0"/>
            </w:pPr>
            <w:r>
              <w:t>Family cohesion</w:t>
            </w:r>
          </w:p>
        </w:tc>
        <w:tc>
          <w:tcPr>
            <w:tcW w:w="1528" w:type="dxa"/>
            <w:tcBorders>
              <w:top w:val="nil"/>
              <w:left w:val="nil"/>
              <w:bottom w:val="nil"/>
              <w:right w:val="nil"/>
            </w:tcBorders>
            <w:vAlign w:val="center"/>
          </w:tcPr>
          <w:p w14:paraId="1FE421CA" w14:textId="6AC92250" w:rsidR="000A12AE" w:rsidRDefault="000A12AE" w:rsidP="0025616E">
            <w:pPr>
              <w:spacing w:after="0"/>
              <w:jc w:val="center"/>
            </w:pPr>
            <w:r w:rsidRPr="009B5CEB">
              <w:t>-</w:t>
            </w:r>
            <w:r>
              <w:t>.</w:t>
            </w:r>
            <w:r w:rsidRPr="009B5CEB">
              <w:t>14</w:t>
            </w:r>
          </w:p>
        </w:tc>
        <w:tc>
          <w:tcPr>
            <w:tcW w:w="1528" w:type="dxa"/>
            <w:tcBorders>
              <w:top w:val="nil"/>
              <w:left w:val="nil"/>
              <w:bottom w:val="nil"/>
              <w:right w:val="nil"/>
            </w:tcBorders>
            <w:vAlign w:val="center"/>
          </w:tcPr>
          <w:p w14:paraId="0DF10FA3" w14:textId="103191DC" w:rsidR="000A12AE" w:rsidRDefault="000A12AE" w:rsidP="0025616E">
            <w:pPr>
              <w:spacing w:after="0"/>
              <w:jc w:val="center"/>
            </w:pPr>
            <w:r>
              <w:t>.</w:t>
            </w:r>
            <w:r w:rsidRPr="009B5CEB">
              <w:t>14</w:t>
            </w:r>
          </w:p>
        </w:tc>
        <w:tc>
          <w:tcPr>
            <w:tcW w:w="1528" w:type="dxa"/>
            <w:tcBorders>
              <w:top w:val="nil"/>
              <w:left w:val="nil"/>
              <w:bottom w:val="nil"/>
              <w:right w:val="nil"/>
            </w:tcBorders>
            <w:vAlign w:val="center"/>
          </w:tcPr>
          <w:p w14:paraId="73F19E1A" w14:textId="2CB0A55E" w:rsidR="000A12AE" w:rsidRDefault="000A12AE" w:rsidP="0025616E">
            <w:pPr>
              <w:spacing w:after="0"/>
              <w:jc w:val="center"/>
            </w:pPr>
            <w:r w:rsidRPr="009B5CEB">
              <w:t>-</w:t>
            </w:r>
            <w:r>
              <w:t>.</w:t>
            </w:r>
            <w:r w:rsidRPr="009B5CEB">
              <w:t>0</w:t>
            </w:r>
            <w:r>
              <w:t>5</w:t>
            </w:r>
          </w:p>
        </w:tc>
        <w:tc>
          <w:tcPr>
            <w:tcW w:w="1528" w:type="dxa"/>
            <w:tcBorders>
              <w:top w:val="nil"/>
              <w:left w:val="nil"/>
              <w:bottom w:val="nil"/>
              <w:right w:val="nil"/>
            </w:tcBorders>
            <w:vAlign w:val="center"/>
          </w:tcPr>
          <w:p w14:paraId="174B4D00" w14:textId="084015CD" w:rsidR="000A12AE" w:rsidRDefault="000A12AE" w:rsidP="0025616E">
            <w:pPr>
              <w:spacing w:after="0"/>
              <w:jc w:val="center"/>
            </w:pPr>
            <w:r w:rsidRPr="009B5CEB">
              <w:t>-</w:t>
            </w:r>
            <w:r>
              <w:t>.10</w:t>
            </w:r>
          </w:p>
        </w:tc>
        <w:tc>
          <w:tcPr>
            <w:tcW w:w="1528" w:type="dxa"/>
            <w:tcBorders>
              <w:top w:val="nil"/>
              <w:left w:val="nil"/>
              <w:bottom w:val="nil"/>
              <w:right w:val="nil"/>
            </w:tcBorders>
            <w:vAlign w:val="center"/>
          </w:tcPr>
          <w:p w14:paraId="3ED5AEB9" w14:textId="5EAAEEF8" w:rsidR="000A12AE" w:rsidRDefault="000A12AE" w:rsidP="0025616E">
            <w:pPr>
              <w:spacing w:after="0"/>
              <w:jc w:val="center"/>
            </w:pPr>
            <w:r>
              <w:t>.</w:t>
            </w:r>
            <w:r w:rsidRPr="009B5CEB">
              <w:t>320</w:t>
            </w:r>
          </w:p>
        </w:tc>
      </w:tr>
      <w:tr w:rsidR="000A12AE" w14:paraId="53401B16" w14:textId="77777777" w:rsidTr="0025616E">
        <w:tc>
          <w:tcPr>
            <w:tcW w:w="2127" w:type="dxa"/>
            <w:tcBorders>
              <w:top w:val="nil"/>
              <w:left w:val="nil"/>
              <w:bottom w:val="nil"/>
              <w:right w:val="nil"/>
            </w:tcBorders>
            <w:vAlign w:val="center"/>
          </w:tcPr>
          <w:p w14:paraId="69357361" w14:textId="31ACB05E" w:rsidR="000A12AE" w:rsidRDefault="000A12AE" w:rsidP="0025616E">
            <w:pPr>
              <w:spacing w:after="0"/>
            </w:pPr>
            <w:r>
              <w:t>Social resources</w:t>
            </w:r>
          </w:p>
        </w:tc>
        <w:tc>
          <w:tcPr>
            <w:tcW w:w="1528" w:type="dxa"/>
            <w:tcBorders>
              <w:top w:val="nil"/>
              <w:left w:val="nil"/>
              <w:bottom w:val="nil"/>
              <w:right w:val="nil"/>
            </w:tcBorders>
            <w:vAlign w:val="center"/>
          </w:tcPr>
          <w:p w14:paraId="42985011" w14:textId="33542BF3" w:rsidR="000A12AE" w:rsidRDefault="000A12AE" w:rsidP="0025616E">
            <w:pPr>
              <w:spacing w:after="0"/>
              <w:jc w:val="center"/>
            </w:pPr>
            <w:r w:rsidRPr="009B5CEB">
              <w:t>-</w:t>
            </w:r>
            <w:r>
              <w:t>.</w:t>
            </w:r>
            <w:r w:rsidRPr="009B5CEB">
              <w:t>4</w:t>
            </w:r>
            <w:r>
              <w:t>4</w:t>
            </w:r>
          </w:p>
        </w:tc>
        <w:tc>
          <w:tcPr>
            <w:tcW w:w="1528" w:type="dxa"/>
            <w:tcBorders>
              <w:top w:val="nil"/>
              <w:left w:val="nil"/>
              <w:bottom w:val="nil"/>
              <w:right w:val="nil"/>
            </w:tcBorders>
            <w:vAlign w:val="center"/>
          </w:tcPr>
          <w:p w14:paraId="6844715E" w14:textId="7E9D7DAE" w:rsidR="000A12AE" w:rsidRDefault="000A12AE" w:rsidP="0025616E">
            <w:pPr>
              <w:spacing w:after="0"/>
              <w:jc w:val="center"/>
            </w:pPr>
            <w:r>
              <w:t>.</w:t>
            </w:r>
            <w:r w:rsidRPr="009B5CEB">
              <w:t>1</w:t>
            </w:r>
            <w:r>
              <w:t>8</w:t>
            </w:r>
          </w:p>
        </w:tc>
        <w:tc>
          <w:tcPr>
            <w:tcW w:w="1528" w:type="dxa"/>
            <w:tcBorders>
              <w:top w:val="nil"/>
              <w:left w:val="nil"/>
              <w:bottom w:val="nil"/>
              <w:right w:val="nil"/>
            </w:tcBorders>
            <w:vAlign w:val="center"/>
          </w:tcPr>
          <w:p w14:paraId="24BE1125" w14:textId="64324F39" w:rsidR="000A12AE" w:rsidRDefault="000A12AE" w:rsidP="0025616E">
            <w:pPr>
              <w:spacing w:after="0"/>
              <w:jc w:val="center"/>
            </w:pPr>
            <w:r w:rsidRPr="009B5CEB">
              <w:t>-</w:t>
            </w:r>
            <w:r>
              <w:t>.</w:t>
            </w:r>
            <w:r w:rsidRPr="009B5CEB">
              <w:t>1</w:t>
            </w:r>
            <w:r>
              <w:t>3</w:t>
            </w:r>
          </w:p>
        </w:tc>
        <w:tc>
          <w:tcPr>
            <w:tcW w:w="1528" w:type="dxa"/>
            <w:tcBorders>
              <w:top w:val="nil"/>
              <w:left w:val="nil"/>
              <w:bottom w:val="nil"/>
              <w:right w:val="nil"/>
            </w:tcBorders>
            <w:vAlign w:val="center"/>
          </w:tcPr>
          <w:p w14:paraId="2AA484CC" w14:textId="3F78E344" w:rsidR="000A12AE" w:rsidRDefault="000A12AE" w:rsidP="0025616E">
            <w:pPr>
              <w:spacing w:after="0"/>
              <w:jc w:val="center"/>
            </w:pPr>
            <w:r w:rsidRPr="009B5CEB">
              <w:t>-2</w:t>
            </w:r>
            <w:r>
              <w:t>.</w:t>
            </w:r>
            <w:r w:rsidRPr="009B5CEB">
              <w:t>47</w:t>
            </w:r>
          </w:p>
        </w:tc>
        <w:tc>
          <w:tcPr>
            <w:tcW w:w="1528" w:type="dxa"/>
            <w:tcBorders>
              <w:top w:val="nil"/>
              <w:left w:val="nil"/>
              <w:bottom w:val="nil"/>
              <w:right w:val="nil"/>
            </w:tcBorders>
            <w:vAlign w:val="center"/>
          </w:tcPr>
          <w:p w14:paraId="04873D1C" w14:textId="518BB703" w:rsidR="000A12AE" w:rsidRDefault="000A12AE" w:rsidP="0025616E">
            <w:pPr>
              <w:spacing w:after="0"/>
              <w:jc w:val="center"/>
            </w:pPr>
            <w:r>
              <w:t>.</w:t>
            </w:r>
            <w:r w:rsidRPr="009B5CEB">
              <w:t>014</w:t>
            </w:r>
          </w:p>
        </w:tc>
      </w:tr>
      <w:tr w:rsidR="000A12AE" w14:paraId="37ACD625" w14:textId="77777777" w:rsidTr="0025616E">
        <w:tc>
          <w:tcPr>
            <w:tcW w:w="2127" w:type="dxa"/>
            <w:tcBorders>
              <w:top w:val="nil"/>
              <w:left w:val="nil"/>
              <w:bottom w:val="nil"/>
              <w:right w:val="nil"/>
            </w:tcBorders>
            <w:vAlign w:val="center"/>
          </w:tcPr>
          <w:p w14:paraId="77FBA6B7" w14:textId="5B4D31E1" w:rsidR="000A12AE" w:rsidRDefault="000A12AE" w:rsidP="0025616E">
            <w:pPr>
              <w:spacing w:after="0"/>
            </w:pPr>
            <w:r>
              <w:t>Structured style</w:t>
            </w:r>
          </w:p>
        </w:tc>
        <w:tc>
          <w:tcPr>
            <w:tcW w:w="1528" w:type="dxa"/>
            <w:tcBorders>
              <w:top w:val="nil"/>
              <w:left w:val="nil"/>
              <w:bottom w:val="nil"/>
              <w:right w:val="nil"/>
            </w:tcBorders>
            <w:vAlign w:val="center"/>
          </w:tcPr>
          <w:p w14:paraId="0C37AF5F" w14:textId="791626AE" w:rsidR="000A12AE" w:rsidRDefault="000A12AE" w:rsidP="0025616E">
            <w:pPr>
              <w:spacing w:after="0"/>
              <w:jc w:val="center"/>
            </w:pPr>
            <w:r w:rsidRPr="009B5CEB">
              <w:t>-</w:t>
            </w:r>
            <w:r>
              <w:t>.</w:t>
            </w:r>
            <w:r w:rsidRPr="009B5CEB">
              <w:t>3</w:t>
            </w:r>
            <w:r>
              <w:t>8</w:t>
            </w:r>
          </w:p>
        </w:tc>
        <w:tc>
          <w:tcPr>
            <w:tcW w:w="1528" w:type="dxa"/>
            <w:tcBorders>
              <w:top w:val="nil"/>
              <w:left w:val="nil"/>
              <w:bottom w:val="nil"/>
              <w:right w:val="nil"/>
            </w:tcBorders>
            <w:vAlign w:val="center"/>
          </w:tcPr>
          <w:p w14:paraId="4F4F90C6" w14:textId="61D6DBCB" w:rsidR="000A12AE" w:rsidRDefault="000A12AE" w:rsidP="0025616E">
            <w:pPr>
              <w:spacing w:after="0"/>
              <w:jc w:val="center"/>
            </w:pPr>
            <w:r>
              <w:t>.</w:t>
            </w:r>
            <w:r w:rsidRPr="009B5CEB">
              <w:t>10</w:t>
            </w:r>
          </w:p>
        </w:tc>
        <w:tc>
          <w:tcPr>
            <w:tcW w:w="1528" w:type="dxa"/>
            <w:tcBorders>
              <w:top w:val="nil"/>
              <w:left w:val="nil"/>
              <w:bottom w:val="nil"/>
              <w:right w:val="nil"/>
            </w:tcBorders>
            <w:vAlign w:val="center"/>
          </w:tcPr>
          <w:p w14:paraId="3A71DDC9" w14:textId="0ABADAE2" w:rsidR="000A12AE" w:rsidRDefault="000A12AE" w:rsidP="0025616E">
            <w:pPr>
              <w:spacing w:after="0"/>
              <w:jc w:val="center"/>
            </w:pPr>
            <w:r w:rsidRPr="009B5CEB">
              <w:t>-</w:t>
            </w:r>
            <w:r>
              <w:t>.</w:t>
            </w:r>
            <w:r w:rsidRPr="009B5CEB">
              <w:t>15</w:t>
            </w:r>
          </w:p>
        </w:tc>
        <w:tc>
          <w:tcPr>
            <w:tcW w:w="1528" w:type="dxa"/>
            <w:tcBorders>
              <w:top w:val="nil"/>
              <w:left w:val="nil"/>
              <w:bottom w:val="nil"/>
              <w:right w:val="nil"/>
            </w:tcBorders>
            <w:vAlign w:val="center"/>
          </w:tcPr>
          <w:p w14:paraId="3D564A67" w14:textId="3D6BC54D" w:rsidR="000A12AE" w:rsidRDefault="000A12AE" w:rsidP="0025616E">
            <w:pPr>
              <w:spacing w:after="0"/>
              <w:jc w:val="center"/>
            </w:pPr>
            <w:r w:rsidRPr="009B5CEB">
              <w:t>-3</w:t>
            </w:r>
            <w:r>
              <w:t>.</w:t>
            </w:r>
            <w:r w:rsidRPr="009B5CEB">
              <w:t>74</w:t>
            </w:r>
          </w:p>
        </w:tc>
        <w:tc>
          <w:tcPr>
            <w:tcW w:w="1528" w:type="dxa"/>
            <w:tcBorders>
              <w:top w:val="nil"/>
              <w:left w:val="nil"/>
              <w:bottom w:val="nil"/>
              <w:right w:val="nil"/>
            </w:tcBorders>
            <w:vAlign w:val="center"/>
          </w:tcPr>
          <w:p w14:paraId="327117DA" w14:textId="0B017541" w:rsidR="000A12AE" w:rsidRDefault="000A12AE" w:rsidP="0025616E">
            <w:pPr>
              <w:spacing w:after="0"/>
              <w:jc w:val="center"/>
            </w:pPr>
            <w:r>
              <w:t>.</w:t>
            </w:r>
            <w:r w:rsidRPr="009B5CEB">
              <w:t>000</w:t>
            </w:r>
          </w:p>
        </w:tc>
      </w:tr>
      <w:tr w:rsidR="000A12AE" w14:paraId="0CCBDD83" w14:textId="77777777" w:rsidTr="0025616E">
        <w:tc>
          <w:tcPr>
            <w:tcW w:w="2127" w:type="dxa"/>
            <w:tcBorders>
              <w:top w:val="nil"/>
              <w:left w:val="nil"/>
              <w:bottom w:val="nil"/>
              <w:right w:val="nil"/>
            </w:tcBorders>
            <w:vAlign w:val="center"/>
          </w:tcPr>
          <w:p w14:paraId="3274D1A5" w14:textId="4D4651CE" w:rsidR="000A12AE" w:rsidRDefault="000A12AE" w:rsidP="0025616E">
            <w:pPr>
              <w:spacing w:after="0"/>
            </w:pPr>
            <w:r>
              <w:t>Negative affect</w:t>
            </w:r>
          </w:p>
        </w:tc>
        <w:tc>
          <w:tcPr>
            <w:tcW w:w="1528" w:type="dxa"/>
            <w:tcBorders>
              <w:top w:val="nil"/>
              <w:left w:val="nil"/>
              <w:bottom w:val="nil"/>
              <w:right w:val="nil"/>
            </w:tcBorders>
            <w:vAlign w:val="center"/>
          </w:tcPr>
          <w:p w14:paraId="469B6A14" w14:textId="6A7CF376" w:rsidR="000A12AE" w:rsidRDefault="000A12AE" w:rsidP="0025616E">
            <w:pPr>
              <w:spacing w:after="0"/>
              <w:jc w:val="center"/>
            </w:pPr>
            <w:r>
              <w:t>.</w:t>
            </w:r>
            <w:r w:rsidRPr="009B5CEB">
              <w:t>03</w:t>
            </w:r>
          </w:p>
        </w:tc>
        <w:tc>
          <w:tcPr>
            <w:tcW w:w="1528" w:type="dxa"/>
            <w:tcBorders>
              <w:top w:val="nil"/>
              <w:left w:val="nil"/>
              <w:bottom w:val="nil"/>
              <w:right w:val="nil"/>
            </w:tcBorders>
            <w:vAlign w:val="center"/>
          </w:tcPr>
          <w:p w14:paraId="53415183" w14:textId="5694E390" w:rsidR="000A12AE" w:rsidRDefault="000A12AE" w:rsidP="0025616E">
            <w:pPr>
              <w:spacing w:after="0"/>
              <w:jc w:val="center"/>
            </w:pPr>
            <w:r>
              <w:t>.</w:t>
            </w:r>
            <w:r w:rsidRPr="009B5CEB">
              <w:t>0</w:t>
            </w:r>
            <w:r>
              <w:t>2</w:t>
            </w:r>
          </w:p>
        </w:tc>
        <w:tc>
          <w:tcPr>
            <w:tcW w:w="1528" w:type="dxa"/>
            <w:tcBorders>
              <w:top w:val="nil"/>
              <w:left w:val="nil"/>
              <w:bottom w:val="nil"/>
              <w:right w:val="nil"/>
            </w:tcBorders>
            <w:vAlign w:val="center"/>
          </w:tcPr>
          <w:p w14:paraId="0BE0FD0A" w14:textId="28EAE228" w:rsidR="000A12AE" w:rsidRDefault="000A12AE" w:rsidP="0025616E">
            <w:pPr>
              <w:spacing w:after="0"/>
              <w:jc w:val="center"/>
            </w:pPr>
            <w:r>
              <w:t>.</w:t>
            </w:r>
            <w:r w:rsidRPr="009B5CEB">
              <w:t>07</w:t>
            </w:r>
          </w:p>
        </w:tc>
        <w:tc>
          <w:tcPr>
            <w:tcW w:w="1528" w:type="dxa"/>
            <w:tcBorders>
              <w:top w:val="nil"/>
              <w:left w:val="nil"/>
              <w:bottom w:val="nil"/>
              <w:right w:val="nil"/>
            </w:tcBorders>
            <w:vAlign w:val="center"/>
          </w:tcPr>
          <w:p w14:paraId="51581211" w14:textId="55F2E003" w:rsidR="000A12AE" w:rsidRDefault="000A12AE" w:rsidP="0025616E">
            <w:pPr>
              <w:spacing w:after="0"/>
              <w:jc w:val="center"/>
            </w:pPr>
            <w:r w:rsidRPr="009B5CEB">
              <w:t>1</w:t>
            </w:r>
            <w:r>
              <w:t>.</w:t>
            </w:r>
            <w:r w:rsidRPr="009B5CEB">
              <w:t>68</w:t>
            </w:r>
          </w:p>
        </w:tc>
        <w:tc>
          <w:tcPr>
            <w:tcW w:w="1528" w:type="dxa"/>
            <w:tcBorders>
              <w:top w:val="nil"/>
              <w:left w:val="nil"/>
              <w:bottom w:val="nil"/>
              <w:right w:val="nil"/>
            </w:tcBorders>
            <w:vAlign w:val="center"/>
          </w:tcPr>
          <w:p w14:paraId="3ABA012D" w14:textId="4AC23FAC" w:rsidR="000A12AE" w:rsidRDefault="000A12AE" w:rsidP="0025616E">
            <w:pPr>
              <w:spacing w:after="0"/>
              <w:jc w:val="center"/>
            </w:pPr>
            <w:r>
              <w:t>.</w:t>
            </w:r>
            <w:r w:rsidRPr="009B5CEB">
              <w:t>093</w:t>
            </w:r>
          </w:p>
        </w:tc>
      </w:tr>
      <w:tr w:rsidR="000A12AE" w14:paraId="69FF8DDB" w14:textId="77777777" w:rsidTr="0025616E">
        <w:tc>
          <w:tcPr>
            <w:tcW w:w="2127" w:type="dxa"/>
            <w:tcBorders>
              <w:top w:val="nil"/>
              <w:left w:val="nil"/>
              <w:bottom w:val="nil"/>
              <w:right w:val="nil"/>
            </w:tcBorders>
            <w:vAlign w:val="center"/>
          </w:tcPr>
          <w:p w14:paraId="08BE3A95" w14:textId="6188B7DE" w:rsidR="000A12AE" w:rsidRDefault="000A12AE" w:rsidP="0025616E">
            <w:pPr>
              <w:spacing w:after="0"/>
            </w:pPr>
            <w:r>
              <w:t>Worry</w:t>
            </w:r>
          </w:p>
        </w:tc>
        <w:tc>
          <w:tcPr>
            <w:tcW w:w="1528" w:type="dxa"/>
            <w:tcBorders>
              <w:top w:val="nil"/>
              <w:left w:val="nil"/>
              <w:bottom w:val="nil"/>
              <w:right w:val="nil"/>
            </w:tcBorders>
            <w:vAlign w:val="center"/>
          </w:tcPr>
          <w:p w14:paraId="04DA1BDC" w14:textId="5502A540" w:rsidR="000A12AE" w:rsidRDefault="000A12AE" w:rsidP="0025616E">
            <w:pPr>
              <w:spacing w:after="0"/>
              <w:jc w:val="center"/>
            </w:pPr>
            <w:r>
              <w:t>.</w:t>
            </w:r>
            <w:r w:rsidRPr="009B5CEB">
              <w:t>0</w:t>
            </w:r>
            <w:r>
              <w:t>4</w:t>
            </w:r>
          </w:p>
        </w:tc>
        <w:tc>
          <w:tcPr>
            <w:tcW w:w="1528" w:type="dxa"/>
            <w:tcBorders>
              <w:top w:val="nil"/>
              <w:left w:val="nil"/>
              <w:bottom w:val="nil"/>
              <w:right w:val="nil"/>
            </w:tcBorders>
            <w:vAlign w:val="center"/>
          </w:tcPr>
          <w:p w14:paraId="3E6B6B7A" w14:textId="618A6DC7" w:rsidR="000A12AE" w:rsidRDefault="000A12AE" w:rsidP="0025616E">
            <w:pPr>
              <w:spacing w:after="0"/>
              <w:jc w:val="center"/>
            </w:pPr>
            <w:r>
              <w:t>.</w:t>
            </w:r>
            <w:r w:rsidRPr="009B5CEB">
              <w:t>01</w:t>
            </w:r>
          </w:p>
        </w:tc>
        <w:tc>
          <w:tcPr>
            <w:tcW w:w="1528" w:type="dxa"/>
            <w:tcBorders>
              <w:top w:val="nil"/>
              <w:left w:val="nil"/>
              <w:bottom w:val="nil"/>
              <w:right w:val="nil"/>
            </w:tcBorders>
            <w:vAlign w:val="center"/>
          </w:tcPr>
          <w:p w14:paraId="3A070A7B" w14:textId="52DFF1F0" w:rsidR="000A12AE" w:rsidRDefault="000A12AE" w:rsidP="0025616E">
            <w:pPr>
              <w:spacing w:after="0"/>
              <w:jc w:val="center"/>
            </w:pPr>
            <w:r>
              <w:t>.</w:t>
            </w:r>
            <w:r w:rsidRPr="009B5CEB">
              <w:t>17</w:t>
            </w:r>
          </w:p>
        </w:tc>
        <w:tc>
          <w:tcPr>
            <w:tcW w:w="1528" w:type="dxa"/>
            <w:tcBorders>
              <w:top w:val="nil"/>
              <w:left w:val="nil"/>
              <w:bottom w:val="nil"/>
              <w:right w:val="nil"/>
            </w:tcBorders>
            <w:vAlign w:val="center"/>
          </w:tcPr>
          <w:p w14:paraId="3B29D77E" w14:textId="16A249DB" w:rsidR="000A12AE" w:rsidRDefault="000A12AE" w:rsidP="0025616E">
            <w:pPr>
              <w:spacing w:after="0"/>
              <w:jc w:val="center"/>
            </w:pPr>
            <w:r w:rsidRPr="009B5CEB">
              <w:t>3</w:t>
            </w:r>
            <w:r>
              <w:t>.</w:t>
            </w:r>
            <w:r w:rsidRPr="009B5CEB">
              <w:t>33</w:t>
            </w:r>
          </w:p>
        </w:tc>
        <w:tc>
          <w:tcPr>
            <w:tcW w:w="1528" w:type="dxa"/>
            <w:tcBorders>
              <w:top w:val="nil"/>
              <w:left w:val="nil"/>
              <w:bottom w:val="nil"/>
              <w:right w:val="nil"/>
            </w:tcBorders>
            <w:vAlign w:val="center"/>
          </w:tcPr>
          <w:p w14:paraId="4F3CC933" w14:textId="5046B48E" w:rsidR="000A12AE" w:rsidRDefault="000A12AE" w:rsidP="0025616E">
            <w:pPr>
              <w:spacing w:after="0"/>
              <w:jc w:val="center"/>
            </w:pPr>
            <w:r>
              <w:t>.</w:t>
            </w:r>
            <w:r w:rsidRPr="009B5CEB">
              <w:t>001</w:t>
            </w:r>
          </w:p>
        </w:tc>
      </w:tr>
      <w:tr w:rsidR="000A12AE" w14:paraId="4FC1817D" w14:textId="77777777" w:rsidTr="0025616E">
        <w:tc>
          <w:tcPr>
            <w:tcW w:w="2127" w:type="dxa"/>
            <w:tcBorders>
              <w:top w:val="nil"/>
              <w:left w:val="nil"/>
              <w:bottom w:val="nil"/>
              <w:right w:val="nil"/>
            </w:tcBorders>
            <w:vAlign w:val="center"/>
          </w:tcPr>
          <w:p w14:paraId="7BC0AFFF" w14:textId="4CA766DA" w:rsidR="000A12AE" w:rsidRDefault="000A12AE" w:rsidP="0025616E">
            <w:pPr>
              <w:spacing w:after="0"/>
            </w:pPr>
            <w:r>
              <w:t>Perceived stress</w:t>
            </w:r>
          </w:p>
        </w:tc>
        <w:tc>
          <w:tcPr>
            <w:tcW w:w="1528" w:type="dxa"/>
            <w:tcBorders>
              <w:top w:val="nil"/>
              <w:left w:val="nil"/>
              <w:bottom w:val="nil"/>
              <w:right w:val="nil"/>
            </w:tcBorders>
            <w:vAlign w:val="center"/>
          </w:tcPr>
          <w:p w14:paraId="2A2CB5C3" w14:textId="51B102F3" w:rsidR="000A12AE" w:rsidRDefault="000A12AE" w:rsidP="0025616E">
            <w:pPr>
              <w:spacing w:after="0"/>
              <w:jc w:val="center"/>
            </w:pPr>
            <w:r>
              <w:t>.</w:t>
            </w:r>
            <w:r w:rsidRPr="009B5CEB">
              <w:t>0</w:t>
            </w:r>
            <w:r>
              <w:t>6</w:t>
            </w:r>
          </w:p>
        </w:tc>
        <w:tc>
          <w:tcPr>
            <w:tcW w:w="1528" w:type="dxa"/>
            <w:tcBorders>
              <w:top w:val="nil"/>
              <w:left w:val="nil"/>
              <w:bottom w:val="nil"/>
              <w:right w:val="nil"/>
            </w:tcBorders>
            <w:vAlign w:val="center"/>
          </w:tcPr>
          <w:p w14:paraId="1045B184" w14:textId="2DD282D1" w:rsidR="000A12AE" w:rsidRDefault="000A12AE" w:rsidP="0025616E">
            <w:pPr>
              <w:spacing w:after="0"/>
              <w:jc w:val="center"/>
            </w:pPr>
            <w:r>
              <w:t>.</w:t>
            </w:r>
            <w:r w:rsidRPr="009B5CEB">
              <w:t>02</w:t>
            </w:r>
          </w:p>
        </w:tc>
        <w:tc>
          <w:tcPr>
            <w:tcW w:w="1528" w:type="dxa"/>
            <w:tcBorders>
              <w:top w:val="nil"/>
              <w:left w:val="nil"/>
              <w:bottom w:val="nil"/>
              <w:right w:val="nil"/>
            </w:tcBorders>
            <w:vAlign w:val="center"/>
          </w:tcPr>
          <w:p w14:paraId="5CB7C6DB" w14:textId="5D5BEF2D" w:rsidR="000A12AE" w:rsidRDefault="000A12AE" w:rsidP="0025616E">
            <w:pPr>
              <w:spacing w:after="0"/>
              <w:jc w:val="center"/>
            </w:pPr>
            <w:r>
              <w:t>.</w:t>
            </w:r>
            <w:r w:rsidRPr="009B5CEB">
              <w:t>1</w:t>
            </w:r>
            <w:r>
              <w:t>5</w:t>
            </w:r>
          </w:p>
        </w:tc>
        <w:tc>
          <w:tcPr>
            <w:tcW w:w="1528" w:type="dxa"/>
            <w:tcBorders>
              <w:top w:val="nil"/>
              <w:left w:val="nil"/>
              <w:bottom w:val="nil"/>
              <w:right w:val="nil"/>
            </w:tcBorders>
            <w:vAlign w:val="center"/>
          </w:tcPr>
          <w:p w14:paraId="1154985A" w14:textId="27DFFC65" w:rsidR="000A12AE" w:rsidRDefault="000A12AE" w:rsidP="0025616E">
            <w:pPr>
              <w:spacing w:after="0"/>
              <w:jc w:val="center"/>
            </w:pPr>
            <w:r w:rsidRPr="009B5CEB">
              <w:t>2</w:t>
            </w:r>
            <w:r>
              <w:t>.</w:t>
            </w:r>
            <w:r w:rsidRPr="009B5CEB">
              <w:t>5</w:t>
            </w:r>
            <w:r>
              <w:t>3</w:t>
            </w:r>
          </w:p>
        </w:tc>
        <w:tc>
          <w:tcPr>
            <w:tcW w:w="1528" w:type="dxa"/>
            <w:tcBorders>
              <w:top w:val="nil"/>
              <w:left w:val="nil"/>
              <w:bottom w:val="nil"/>
              <w:right w:val="nil"/>
            </w:tcBorders>
            <w:vAlign w:val="center"/>
          </w:tcPr>
          <w:p w14:paraId="75657189" w14:textId="49B6D0EF" w:rsidR="000A12AE" w:rsidRDefault="000A12AE" w:rsidP="0025616E">
            <w:pPr>
              <w:spacing w:after="0"/>
              <w:jc w:val="center"/>
            </w:pPr>
            <w:r>
              <w:t>.</w:t>
            </w:r>
            <w:r w:rsidRPr="009B5CEB">
              <w:t>012</w:t>
            </w:r>
          </w:p>
        </w:tc>
      </w:tr>
      <w:tr w:rsidR="000A12AE" w14:paraId="757DB0EF" w14:textId="77777777" w:rsidTr="0025616E">
        <w:tc>
          <w:tcPr>
            <w:tcW w:w="2127" w:type="dxa"/>
            <w:tcBorders>
              <w:top w:val="nil"/>
              <w:left w:val="nil"/>
              <w:right w:val="nil"/>
            </w:tcBorders>
            <w:vAlign w:val="center"/>
          </w:tcPr>
          <w:p w14:paraId="0FA9AE20" w14:textId="15E4D5EA" w:rsidR="000A12AE" w:rsidRDefault="000A12AE" w:rsidP="0025616E">
            <w:pPr>
              <w:spacing w:after="0"/>
            </w:pPr>
            <w:r>
              <w:t>R</w:t>
            </w:r>
            <w:r w:rsidRPr="000A12AE">
              <w:rPr>
                <w:vertAlign w:val="superscript"/>
              </w:rPr>
              <w:t>2</w:t>
            </w:r>
          </w:p>
        </w:tc>
        <w:tc>
          <w:tcPr>
            <w:tcW w:w="7640" w:type="dxa"/>
            <w:gridSpan w:val="5"/>
            <w:tcBorders>
              <w:top w:val="nil"/>
              <w:left w:val="nil"/>
              <w:right w:val="nil"/>
            </w:tcBorders>
            <w:vAlign w:val="center"/>
          </w:tcPr>
          <w:p w14:paraId="3A3A9BF4" w14:textId="0E0F831E" w:rsidR="000A12AE" w:rsidRDefault="000A12AE" w:rsidP="0025616E">
            <w:pPr>
              <w:spacing w:after="0"/>
              <w:jc w:val="center"/>
            </w:pPr>
            <w:r>
              <w:t>.28</w:t>
            </w:r>
          </w:p>
        </w:tc>
      </w:tr>
    </w:tbl>
    <w:p w14:paraId="28E9B1A9" w14:textId="77777777" w:rsidR="00907CB3" w:rsidRDefault="00907CB3" w:rsidP="009E495D"/>
    <w:p w14:paraId="5721B49C" w14:textId="2147D5BD" w:rsidR="00907CB3" w:rsidRDefault="00907CB3" w:rsidP="009E495D"/>
    <w:p w14:paraId="5BDF858E" w14:textId="62C0F03D" w:rsidR="0099660E" w:rsidRPr="0099660E" w:rsidRDefault="0099660E" w:rsidP="009E495D">
      <w:pPr>
        <w:rPr>
          <w:b/>
        </w:rPr>
      </w:pPr>
      <w:r w:rsidRPr="0099660E">
        <w:rPr>
          <w:b/>
        </w:rPr>
        <w:t>3</w:t>
      </w:r>
      <w:r w:rsidRPr="0099660E">
        <w:rPr>
          <w:b/>
        </w:rPr>
        <w:tab/>
        <w:t>References</w:t>
      </w:r>
    </w:p>
    <w:p w14:paraId="058AF3C9" w14:textId="77777777" w:rsidR="004B5D00" w:rsidRPr="004B5D00" w:rsidRDefault="00907CB3" w:rsidP="004B5D00">
      <w:pPr>
        <w:pStyle w:val="EndNoteBibliography"/>
        <w:ind w:left="720" w:hanging="720"/>
      </w:pPr>
      <w:r>
        <w:fldChar w:fldCharType="begin"/>
      </w:r>
      <w:r>
        <w:instrText xml:space="preserve"> ADDIN EN.REFLIST </w:instrText>
      </w:r>
      <w:r>
        <w:fldChar w:fldCharType="separate"/>
      </w:r>
      <w:r w:rsidR="004B5D00" w:rsidRPr="004B5D00">
        <w:t xml:space="preserve">Field, A. (2009). </w:t>
      </w:r>
      <w:r w:rsidR="004B5D00" w:rsidRPr="004B5D00">
        <w:rPr>
          <w:i/>
        </w:rPr>
        <w:t>Discovering statistics using SPSS.</w:t>
      </w:r>
      <w:r w:rsidR="004B5D00" w:rsidRPr="004B5D00">
        <w:t xml:space="preserve"> Sage publications.</w:t>
      </w:r>
    </w:p>
    <w:p w14:paraId="195E5BE7" w14:textId="4E743BBC" w:rsidR="000E2E38" w:rsidRDefault="00907CB3" w:rsidP="009E495D">
      <w:r>
        <w:fldChar w:fldCharType="end"/>
      </w:r>
    </w:p>
    <w:sectPr w:rsidR="000E2E38" w:rsidSect="0093429D">
      <w:headerReference w:type="even" r:id="rId8"/>
      <w:footerReference w:type="default" r:id="rId9"/>
      <w:headerReference w:type="first" r:id="rId10"/>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95B0" w14:textId="77777777" w:rsidR="00E450D7" w:rsidRDefault="00E450D7" w:rsidP="00117666">
      <w:pPr>
        <w:spacing w:after="0"/>
      </w:pPr>
      <w:r>
        <w:separator/>
      </w:r>
    </w:p>
  </w:endnote>
  <w:endnote w:type="continuationSeparator" w:id="0">
    <w:p w14:paraId="508653D7" w14:textId="77777777" w:rsidR="00E450D7" w:rsidRDefault="00E450D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nb-NO" w:eastAsia="nb-NO"/>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1136ED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603B">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6"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570F0D09" w14:textId="31136EDA"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6603B">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7543" w14:textId="77777777" w:rsidR="00E450D7" w:rsidRDefault="00E450D7" w:rsidP="00117666">
      <w:pPr>
        <w:spacing w:after="0"/>
      </w:pPr>
      <w:r>
        <w:separator/>
      </w:r>
    </w:p>
  </w:footnote>
  <w:footnote w:type="continuationSeparator" w:id="0">
    <w:p w14:paraId="5AC9EB35" w14:textId="77777777" w:rsidR="00E450D7" w:rsidRDefault="00E450D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nb-NO" w:eastAsia="nb-NO"/>
      </w:rPr>
      <w:drawing>
        <wp:inline distT="0" distB="0" distL="0" distR="0" wp14:anchorId="07D26A56" wp14:editId="2E460F0E">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9FD"/>
    <w:multiLevelType w:val="hybridMultilevel"/>
    <w:tmpl w:val="246ED6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0003C"/>
    <w:multiLevelType w:val="hybridMultilevel"/>
    <w:tmpl w:val="E95ABA8C"/>
    <w:lvl w:ilvl="0" w:tplc="1430E41E">
      <w:start w:val="1"/>
      <w:numFmt w:val="decimal"/>
      <w:lvlText w:val="%1."/>
      <w:lvlJc w:val="left"/>
      <w:pPr>
        <w:ind w:left="720" w:hanging="360"/>
      </w:pPr>
      <w:rPr>
        <w:rFonts w:ascii="Arial" w:eastAsia="Arial" w:hAnsi="Arial" w:cs="Arial"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TM1MbcwMjAwMzFX0lEKTi0uzszPAykwqQUAK871gywAAAA="/>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5atd5to5vfaaevdzj52fpevpxvdva9f5za&quot;&gt;Libs&lt;record-ids&gt;&lt;item&gt;590&lt;/item&gt;&lt;/record-ids&gt;&lt;/item&gt;&lt;/Libraries&gt;"/>
  </w:docVars>
  <w:rsids>
    <w:rsidRoot w:val="00ED20B5"/>
    <w:rsid w:val="0001436A"/>
    <w:rsid w:val="00034304"/>
    <w:rsid w:val="00035434"/>
    <w:rsid w:val="00052A14"/>
    <w:rsid w:val="00077D53"/>
    <w:rsid w:val="000A12AE"/>
    <w:rsid w:val="000E2E38"/>
    <w:rsid w:val="00105FD9"/>
    <w:rsid w:val="00117666"/>
    <w:rsid w:val="00137EF7"/>
    <w:rsid w:val="001549D3"/>
    <w:rsid w:val="0015660C"/>
    <w:rsid w:val="00160065"/>
    <w:rsid w:val="00177D84"/>
    <w:rsid w:val="00181346"/>
    <w:rsid w:val="001F19B5"/>
    <w:rsid w:val="0025616E"/>
    <w:rsid w:val="00267D18"/>
    <w:rsid w:val="00274347"/>
    <w:rsid w:val="002868E2"/>
    <w:rsid w:val="002869C3"/>
    <w:rsid w:val="002936E4"/>
    <w:rsid w:val="002B4A57"/>
    <w:rsid w:val="002C74CA"/>
    <w:rsid w:val="003123F4"/>
    <w:rsid w:val="00331E54"/>
    <w:rsid w:val="003544FB"/>
    <w:rsid w:val="003D2F2D"/>
    <w:rsid w:val="00401590"/>
    <w:rsid w:val="00447801"/>
    <w:rsid w:val="00452E9C"/>
    <w:rsid w:val="004735C8"/>
    <w:rsid w:val="004943ED"/>
    <w:rsid w:val="004947A6"/>
    <w:rsid w:val="004961FF"/>
    <w:rsid w:val="004B40EA"/>
    <w:rsid w:val="004B5D00"/>
    <w:rsid w:val="005179F2"/>
    <w:rsid w:val="00517A89"/>
    <w:rsid w:val="005250F2"/>
    <w:rsid w:val="00593EEA"/>
    <w:rsid w:val="005A5EEE"/>
    <w:rsid w:val="006375C7"/>
    <w:rsid w:val="00654E8F"/>
    <w:rsid w:val="00660D05"/>
    <w:rsid w:val="006820B1"/>
    <w:rsid w:val="006A21A2"/>
    <w:rsid w:val="006B7D14"/>
    <w:rsid w:val="006D3F58"/>
    <w:rsid w:val="006F5DD0"/>
    <w:rsid w:val="00701727"/>
    <w:rsid w:val="0070566C"/>
    <w:rsid w:val="00714C50"/>
    <w:rsid w:val="00725A7D"/>
    <w:rsid w:val="007501BE"/>
    <w:rsid w:val="00764C91"/>
    <w:rsid w:val="0078799C"/>
    <w:rsid w:val="00790BB3"/>
    <w:rsid w:val="007A4442"/>
    <w:rsid w:val="007C206C"/>
    <w:rsid w:val="00806258"/>
    <w:rsid w:val="00817DD6"/>
    <w:rsid w:val="0083759F"/>
    <w:rsid w:val="00843714"/>
    <w:rsid w:val="00885156"/>
    <w:rsid w:val="00907CB3"/>
    <w:rsid w:val="009151AA"/>
    <w:rsid w:val="0093429D"/>
    <w:rsid w:val="00943573"/>
    <w:rsid w:val="00964134"/>
    <w:rsid w:val="00970F7D"/>
    <w:rsid w:val="00994A3D"/>
    <w:rsid w:val="0099660E"/>
    <w:rsid w:val="009A60A1"/>
    <w:rsid w:val="009C2B12"/>
    <w:rsid w:val="009E495D"/>
    <w:rsid w:val="00A174D9"/>
    <w:rsid w:val="00AA4D24"/>
    <w:rsid w:val="00AB6715"/>
    <w:rsid w:val="00B1671E"/>
    <w:rsid w:val="00B25EB8"/>
    <w:rsid w:val="00B37F4D"/>
    <w:rsid w:val="00C52A7B"/>
    <w:rsid w:val="00C56BAF"/>
    <w:rsid w:val="00C6603B"/>
    <w:rsid w:val="00C679AA"/>
    <w:rsid w:val="00C75972"/>
    <w:rsid w:val="00CD066B"/>
    <w:rsid w:val="00CE4FEE"/>
    <w:rsid w:val="00D060CF"/>
    <w:rsid w:val="00DB59C3"/>
    <w:rsid w:val="00DC259A"/>
    <w:rsid w:val="00DE23E8"/>
    <w:rsid w:val="00DF5850"/>
    <w:rsid w:val="00E450D7"/>
    <w:rsid w:val="00E52377"/>
    <w:rsid w:val="00E537AD"/>
    <w:rsid w:val="00E64E17"/>
    <w:rsid w:val="00E866C9"/>
    <w:rsid w:val="00EA3D3C"/>
    <w:rsid w:val="00EC090A"/>
    <w:rsid w:val="00ED20B5"/>
    <w:rsid w:val="00F46900"/>
    <w:rsid w:val="00F61D89"/>
    <w:rsid w:val="00F7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907CB3"/>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907CB3"/>
    <w:rPr>
      <w:rFonts w:ascii="Times New Roman" w:hAnsi="Times New Roman" w:cs="Times New Roman"/>
      <w:noProof/>
      <w:sz w:val="24"/>
    </w:rPr>
  </w:style>
  <w:style w:type="paragraph" w:customStyle="1" w:styleId="EndNoteBibliography">
    <w:name w:val="EndNote Bibliography"/>
    <w:basedOn w:val="Normal"/>
    <w:link w:val="EndNoteBibliographyChar"/>
    <w:rsid w:val="00907CB3"/>
    <w:rPr>
      <w:rFonts w:cs="Times New Roman"/>
      <w:noProof/>
    </w:rPr>
  </w:style>
  <w:style w:type="character" w:customStyle="1" w:styleId="EndNoteBibliographyChar">
    <w:name w:val="EndNote Bibliography Char"/>
    <w:basedOn w:val="DefaultParagraphFont"/>
    <w:link w:val="EndNoteBibliography"/>
    <w:rsid w:val="00907CB3"/>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200532-9FDA-4B39-9748-F0C5BFCD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Sidra Amiri</cp:lastModifiedBy>
  <cp:revision>3</cp:revision>
  <cp:lastPrinted>2013-10-03T12:51:00Z</cp:lastPrinted>
  <dcterms:created xsi:type="dcterms:W3CDTF">2019-05-20T07:17:00Z</dcterms:created>
  <dcterms:modified xsi:type="dcterms:W3CDTF">2019-05-21T08:05:00Z</dcterms:modified>
</cp:coreProperties>
</file>