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FE308" w14:textId="77777777" w:rsidR="00393605" w:rsidRDefault="00393605" w:rsidP="00393605">
      <w:pPr>
        <w:pStyle w:val="MDPI52figure"/>
      </w:pPr>
      <w:r>
        <w:rPr>
          <w:noProof/>
        </w:rPr>
        <w:drawing>
          <wp:inline distT="0" distB="0" distL="0" distR="0" wp14:anchorId="6A983551" wp14:editId="1D4A2BF9">
            <wp:extent cx="3600000" cy="23400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TT long term (96 h)_revision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FFDB" w14:textId="77777777" w:rsidR="00393605" w:rsidRDefault="00393605" w:rsidP="00393605"/>
    <w:p w14:paraId="3F8FC90F" w14:textId="536A0124" w:rsidR="00393605" w:rsidRPr="00151C9C" w:rsidRDefault="00393605" w:rsidP="00151C9C">
      <w:pPr>
        <w:pStyle w:val="MDPI51figurecaption"/>
        <w:rPr>
          <w:rStyle w:val="None"/>
          <w:rFonts w:asciiTheme="majorBidi" w:hAnsiTheme="majorBidi" w:cstheme="majorBidi"/>
          <w:sz w:val="20"/>
        </w:rPr>
      </w:pPr>
      <w:r w:rsidRPr="009E2572">
        <w:rPr>
          <w:rFonts w:asciiTheme="majorBidi" w:hAnsiTheme="majorBidi" w:cstheme="majorBidi"/>
          <w:b/>
          <w:bCs/>
          <w:sz w:val="20"/>
        </w:rPr>
        <w:t>Supplementary Figure 1.</w:t>
      </w:r>
      <w:r w:rsidRPr="009E2572">
        <w:rPr>
          <w:rFonts w:asciiTheme="majorBidi" w:hAnsiTheme="majorBidi" w:cstheme="majorBidi"/>
          <w:sz w:val="20"/>
        </w:rPr>
        <w:t xml:space="preserve"> WT p53 harboring HCT116 cells remain the most sensitive CRC cells after long-term exposure to MC3. The three CRC cells were treated with increasing concentrations of MC3 as indicated for 96 h, after which MTT assay was performed. %cell viability was calculated by normalizing to mock treatment (0.1% DMF). </w:t>
      </w:r>
      <w:r w:rsidRPr="009E2572">
        <w:rPr>
          <w:rStyle w:val="None"/>
          <w:rFonts w:asciiTheme="majorBidi" w:hAnsiTheme="majorBidi" w:cstheme="majorBidi"/>
          <w:sz w:val="20"/>
        </w:rPr>
        <w:t xml:space="preserve">Multiple comparisons were employed using two-way ANOVA test and a </w:t>
      </w:r>
      <w:r w:rsidRPr="009E2572">
        <w:rPr>
          <w:rStyle w:val="None"/>
          <w:rFonts w:asciiTheme="majorBidi" w:hAnsiTheme="majorBidi" w:cstheme="majorBidi"/>
          <w:i/>
          <w:iCs/>
          <w:sz w:val="20"/>
        </w:rPr>
        <w:t>post-hoc</w:t>
      </w:r>
      <w:r w:rsidRPr="009E2572">
        <w:rPr>
          <w:rStyle w:val="None"/>
          <w:rFonts w:asciiTheme="majorBidi" w:hAnsiTheme="majorBidi" w:cstheme="majorBidi"/>
          <w:sz w:val="20"/>
        </w:rPr>
        <w:t xml:space="preserve"> Tukey test.</w:t>
      </w:r>
      <w:r w:rsidRPr="009E2572">
        <w:rPr>
          <w:rFonts w:asciiTheme="majorBidi" w:hAnsiTheme="majorBidi" w:cstheme="majorBidi"/>
          <w:sz w:val="20"/>
        </w:rPr>
        <w:t xml:space="preserve"> </w:t>
      </w:r>
      <w:r w:rsidRPr="009E2572">
        <w:rPr>
          <w:rStyle w:val="None"/>
          <w:rFonts w:asciiTheme="majorBidi" w:hAnsiTheme="majorBidi" w:cstheme="majorBidi"/>
          <w:sz w:val="20"/>
        </w:rPr>
        <w:t xml:space="preserve">*, **, ***, and **** represent </w:t>
      </w:r>
      <w:r w:rsidRPr="009E2572">
        <w:rPr>
          <w:rStyle w:val="None"/>
          <w:rFonts w:asciiTheme="majorBidi" w:hAnsiTheme="majorBidi" w:cstheme="majorBidi"/>
          <w:i/>
          <w:iCs/>
          <w:sz w:val="20"/>
        </w:rPr>
        <w:t>p</w:t>
      </w:r>
      <w:r w:rsidRPr="009E2572">
        <w:rPr>
          <w:rStyle w:val="None"/>
          <w:rFonts w:asciiTheme="majorBidi" w:hAnsiTheme="majorBidi" w:cstheme="majorBidi"/>
          <w:sz w:val="20"/>
        </w:rPr>
        <w:t>-values less than or equal to 0.05, 0.01, 0.001, and 0.001, respectively.</w:t>
      </w:r>
    </w:p>
    <w:p w14:paraId="24BAAC7A" w14:textId="7E43A824" w:rsidR="00C46135" w:rsidRDefault="004B703C" w:rsidP="000834F3">
      <w:pPr>
        <w:pStyle w:val="MDPI52figure"/>
        <w:rPr>
          <w:rStyle w:val="None"/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noProof/>
          <w:snapToGrid/>
          <w:sz w:val="20"/>
        </w:rPr>
        <w:drawing>
          <wp:inline distT="0" distB="0" distL="0" distR="0" wp14:anchorId="049672AE" wp14:editId="176AC56C">
            <wp:extent cx="5040000" cy="1980000"/>
            <wp:effectExtent l="0" t="0" r="1905" b="127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052A" w14:textId="54B67294" w:rsidR="000834F3" w:rsidRPr="00AD6CDC" w:rsidRDefault="000834F3" w:rsidP="00151C9C">
      <w:pPr>
        <w:pStyle w:val="MDPI51figurecaption"/>
        <w:rPr>
          <w:rStyle w:val="None"/>
          <w:rFonts w:asciiTheme="majorBidi" w:hAnsiTheme="majorBidi" w:cstheme="majorBidi"/>
          <w:sz w:val="20"/>
        </w:rPr>
      </w:pPr>
      <w:r w:rsidRPr="009E2572">
        <w:rPr>
          <w:rStyle w:val="None"/>
          <w:rFonts w:asciiTheme="majorBidi" w:hAnsiTheme="majorBidi" w:cstheme="majorBidi"/>
          <w:b/>
          <w:bCs/>
          <w:sz w:val="20"/>
        </w:rPr>
        <w:t>Supplementary Figure 2.</w:t>
      </w:r>
      <w:r w:rsidRPr="009E2572">
        <w:rPr>
          <w:rStyle w:val="None"/>
          <w:rFonts w:asciiTheme="majorBidi" w:hAnsiTheme="majorBidi" w:cstheme="majorBidi"/>
          <w:sz w:val="20"/>
        </w:rPr>
        <w:t xml:space="preserve"> </w:t>
      </w:r>
      <w:r w:rsidRPr="009E2572">
        <w:rPr>
          <w:rStyle w:val="None"/>
          <w:rFonts w:asciiTheme="majorBidi" w:hAnsiTheme="majorBidi" w:cstheme="majorBidi"/>
          <w:b/>
          <w:bCs/>
          <w:sz w:val="20"/>
        </w:rPr>
        <w:t>MC3's cellular mechanisms in mutant p53 harboring HCT116 cells.</w:t>
      </w:r>
      <w:r w:rsidRPr="009E2572">
        <w:rPr>
          <w:rStyle w:val="None"/>
          <w:rFonts w:asciiTheme="majorBidi" w:hAnsiTheme="majorBidi" w:cstheme="majorBidi"/>
          <w:sz w:val="20"/>
        </w:rPr>
        <w:t xml:space="preserve"> </w:t>
      </w:r>
      <w:r w:rsidRPr="009E2572">
        <w:rPr>
          <w:rStyle w:val="None"/>
          <w:rFonts w:asciiTheme="majorBidi" w:hAnsiTheme="majorBidi" w:cstheme="majorBidi"/>
          <w:b/>
          <w:bCs/>
          <w:sz w:val="20"/>
        </w:rPr>
        <w:t>(A)</w:t>
      </w:r>
      <w:r w:rsidR="004B703C" w:rsidRPr="009E2572">
        <w:rPr>
          <w:rStyle w:val="None"/>
          <w:rFonts w:asciiTheme="majorBidi" w:hAnsiTheme="majorBidi" w:cstheme="majorBidi"/>
          <w:b/>
          <w:bCs/>
          <w:sz w:val="20"/>
        </w:rPr>
        <w:t xml:space="preserve"> </w:t>
      </w:r>
      <w:r w:rsidR="004B703C" w:rsidRPr="009E2572">
        <w:rPr>
          <w:rStyle w:val="None"/>
          <w:rFonts w:asciiTheme="majorBidi" w:hAnsiTheme="majorBidi" w:cstheme="majorBidi"/>
          <w:sz w:val="20"/>
        </w:rPr>
        <w:t>MC3 (5 µM, 24 h) enhances the generation of ROS in p53 R273H over</w:t>
      </w:r>
      <w:r w:rsidR="00151C9C" w:rsidRPr="009E2572">
        <w:rPr>
          <w:rStyle w:val="None"/>
          <w:rFonts w:asciiTheme="majorBidi" w:hAnsiTheme="majorBidi" w:cstheme="majorBidi"/>
          <w:sz w:val="20"/>
        </w:rPr>
        <w:t>-</w:t>
      </w:r>
      <w:r w:rsidR="004B703C" w:rsidRPr="009E2572">
        <w:rPr>
          <w:rStyle w:val="None"/>
          <w:rFonts w:asciiTheme="majorBidi" w:hAnsiTheme="majorBidi" w:cstheme="majorBidi"/>
          <w:sz w:val="20"/>
        </w:rPr>
        <w:t xml:space="preserve">producing HCT116 cells, an effect which is compromised when cells are pre-treated with NAC (10 </w:t>
      </w:r>
      <w:proofErr w:type="spellStart"/>
      <w:r w:rsidR="004B703C" w:rsidRPr="009E2572">
        <w:rPr>
          <w:rStyle w:val="None"/>
          <w:rFonts w:asciiTheme="majorBidi" w:hAnsiTheme="majorBidi" w:cstheme="majorBidi"/>
          <w:sz w:val="20"/>
        </w:rPr>
        <w:t>mM</w:t>
      </w:r>
      <w:proofErr w:type="spellEnd"/>
      <w:r w:rsidR="004B703C" w:rsidRPr="009E2572">
        <w:rPr>
          <w:rStyle w:val="None"/>
          <w:rFonts w:asciiTheme="majorBidi" w:hAnsiTheme="majorBidi" w:cstheme="majorBidi"/>
          <w:sz w:val="20"/>
        </w:rPr>
        <w:t>, 30 min</w:t>
      </w:r>
      <w:r w:rsidR="00363187" w:rsidRPr="009E2572">
        <w:rPr>
          <w:rStyle w:val="None"/>
          <w:rFonts w:asciiTheme="majorBidi" w:hAnsiTheme="majorBidi" w:cstheme="majorBidi"/>
          <w:sz w:val="20"/>
        </w:rPr>
        <w:t>).</w:t>
      </w:r>
      <w:r w:rsidR="00AD6CDC" w:rsidRPr="009E2572">
        <w:rPr>
          <w:rStyle w:val="None"/>
          <w:rFonts w:asciiTheme="majorBidi" w:hAnsiTheme="majorBidi" w:cstheme="majorBidi"/>
          <w:sz w:val="20"/>
        </w:rPr>
        <w:t xml:space="preserve"> </w:t>
      </w:r>
      <w:r w:rsidR="00AD6CDC" w:rsidRPr="009E2572">
        <w:rPr>
          <w:rStyle w:val="None"/>
          <w:rFonts w:asciiTheme="majorBidi" w:hAnsiTheme="majorBidi" w:cstheme="majorBidi"/>
          <w:b/>
          <w:bCs/>
          <w:sz w:val="20"/>
        </w:rPr>
        <w:t>(B)</w:t>
      </w:r>
      <w:r w:rsidR="004B703C" w:rsidRPr="009E2572">
        <w:rPr>
          <w:rStyle w:val="None"/>
          <w:rFonts w:asciiTheme="majorBidi" w:hAnsiTheme="majorBidi" w:cstheme="majorBidi"/>
          <w:sz w:val="20"/>
        </w:rPr>
        <w:t xml:space="preserve"> HCT116 p53-/- cells over-expressing mutant p53 (R273H) demonstrate increased p21 expression, whereas they fail to induce pp38 (T180/Y182) levels and cleavage of PARP upon 24 h treatment with MC3 at the indicated concentrations, as determined by immunoblotting.</w:t>
      </w:r>
      <w:r w:rsidR="006803F0">
        <w:rPr>
          <w:rStyle w:val="None"/>
          <w:rFonts w:asciiTheme="majorBidi" w:hAnsiTheme="majorBidi" w:cstheme="majorBidi"/>
          <w:sz w:val="20"/>
        </w:rPr>
        <w:t xml:space="preserve"> 0.1% DMF</w:t>
      </w:r>
      <w:r w:rsidR="00780BDF">
        <w:rPr>
          <w:rStyle w:val="None"/>
          <w:rFonts w:asciiTheme="majorBidi" w:hAnsiTheme="majorBidi" w:cstheme="majorBidi"/>
          <w:sz w:val="20"/>
        </w:rPr>
        <w:t xml:space="preserve"> served </w:t>
      </w:r>
      <w:bookmarkStart w:id="0" w:name="_GoBack"/>
      <w:bookmarkEnd w:id="0"/>
      <w:r w:rsidR="006803F0">
        <w:rPr>
          <w:rStyle w:val="None"/>
          <w:rFonts w:asciiTheme="majorBidi" w:hAnsiTheme="majorBidi" w:cstheme="majorBidi"/>
          <w:sz w:val="20"/>
        </w:rPr>
        <w:t>as mock treatment.</w:t>
      </w:r>
    </w:p>
    <w:p w14:paraId="4A91D61A" w14:textId="4BBEA572" w:rsidR="007A0224" w:rsidRPr="00393605" w:rsidRDefault="007A0224" w:rsidP="007A0224">
      <w:pPr>
        <w:pStyle w:val="MDPI52figure"/>
        <w:rPr>
          <w:rStyle w:val="None"/>
          <w:rFonts w:asciiTheme="majorBidi" w:hAnsiTheme="majorBidi" w:cstheme="majorBidi"/>
          <w:sz w:val="20"/>
        </w:rPr>
      </w:pPr>
      <w:r>
        <w:rPr>
          <w:noProof/>
        </w:rPr>
        <w:lastRenderedPageBreak/>
        <w:drawing>
          <wp:inline distT="0" distB="0" distL="0" distR="0" wp14:anchorId="6BDDD862" wp14:editId="19BDB76E">
            <wp:extent cx="4320000" cy="21600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53localizat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D126" w14:textId="2F53DE9C" w:rsidR="00594E7F" w:rsidRPr="00393605" w:rsidRDefault="00393605" w:rsidP="00393605">
      <w:pPr>
        <w:rPr>
          <w:rFonts w:asciiTheme="majorBidi" w:hAnsiTheme="majorBidi" w:cstheme="majorBidi"/>
          <w:sz w:val="20"/>
        </w:rPr>
      </w:pPr>
      <w:r w:rsidRPr="00393605">
        <w:rPr>
          <w:rFonts w:asciiTheme="majorBidi" w:hAnsiTheme="majorBidi" w:cstheme="majorBidi"/>
          <w:sz w:val="20"/>
        </w:rPr>
        <w:t xml:space="preserve">  </w:t>
      </w:r>
    </w:p>
    <w:p w14:paraId="14029D0E" w14:textId="1EC3B9FA" w:rsidR="00393605" w:rsidRPr="00151C9C" w:rsidRDefault="007A0224" w:rsidP="00151C9C">
      <w:pPr>
        <w:pStyle w:val="MDPI51figurecaption"/>
        <w:rPr>
          <w:rFonts w:asciiTheme="majorBidi" w:hAnsiTheme="majorBidi" w:cstheme="majorBidi"/>
          <w:b/>
          <w:bCs/>
          <w:sz w:val="20"/>
        </w:rPr>
      </w:pPr>
      <w:r w:rsidRPr="00151C9C">
        <w:rPr>
          <w:rFonts w:asciiTheme="majorBidi" w:hAnsiTheme="majorBidi" w:cstheme="majorBidi"/>
          <w:b/>
          <w:bCs/>
          <w:sz w:val="20"/>
        </w:rPr>
        <w:t xml:space="preserve">Supplementary Figure </w:t>
      </w:r>
      <w:r w:rsidR="00891DA9" w:rsidRPr="00151C9C">
        <w:rPr>
          <w:rFonts w:asciiTheme="majorBidi" w:hAnsiTheme="majorBidi" w:cstheme="majorBidi"/>
          <w:b/>
          <w:bCs/>
          <w:sz w:val="20"/>
        </w:rPr>
        <w:t>3</w:t>
      </w:r>
      <w:r w:rsidRPr="00151C9C">
        <w:rPr>
          <w:rFonts w:asciiTheme="majorBidi" w:hAnsiTheme="majorBidi" w:cstheme="majorBidi"/>
          <w:b/>
          <w:bCs/>
          <w:sz w:val="20"/>
        </w:rPr>
        <w:t xml:space="preserve">. </w:t>
      </w:r>
      <w:r w:rsidRPr="00151C9C">
        <w:rPr>
          <w:rStyle w:val="None"/>
          <w:rFonts w:asciiTheme="majorBidi" w:hAnsiTheme="majorBidi" w:cstheme="majorBidi"/>
          <w:sz w:val="20"/>
        </w:rPr>
        <w:t>Fluorescence micrographs of HCT116 WT and HT-29 treated with MC3 for 24 h illustrate no major change in p53 nuclear accumulation in both cell lines as compared to the respective mock (0.1% DMF) treatments. Hoechst dye was used to indicate nuclei. Scale bar: 100 µ</w:t>
      </w:r>
      <w:r w:rsidR="004D3B93" w:rsidRPr="00151C9C">
        <w:rPr>
          <w:rStyle w:val="None"/>
          <w:rFonts w:asciiTheme="majorBidi" w:hAnsiTheme="majorBidi" w:cstheme="majorBidi"/>
          <w:sz w:val="20"/>
        </w:rPr>
        <w:t>m</w:t>
      </w:r>
      <w:r w:rsidRPr="00151C9C">
        <w:rPr>
          <w:rStyle w:val="None"/>
          <w:rFonts w:asciiTheme="majorBidi" w:hAnsiTheme="majorBidi" w:cstheme="majorBidi"/>
          <w:sz w:val="20"/>
        </w:rPr>
        <w:t>.</w:t>
      </w:r>
    </w:p>
    <w:sectPr w:rsidR="00393605" w:rsidRPr="00151C9C" w:rsidSect="00DB3CC4">
      <w:footerReference w:type="even" r:id="rId10"/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87AEF" w14:textId="77777777" w:rsidR="00FA0002" w:rsidRDefault="00FA0002" w:rsidP="00151C9C">
      <w:pPr>
        <w:spacing w:line="240" w:lineRule="auto"/>
      </w:pPr>
      <w:r>
        <w:separator/>
      </w:r>
    </w:p>
  </w:endnote>
  <w:endnote w:type="continuationSeparator" w:id="0">
    <w:p w14:paraId="293D995B" w14:textId="77777777" w:rsidR="00FA0002" w:rsidRDefault="00FA0002" w:rsidP="00151C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815512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256653" w14:textId="21D7D1F4" w:rsidR="00151C9C" w:rsidRDefault="00151C9C" w:rsidP="001225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8A13C6" w14:textId="77777777" w:rsidR="00151C9C" w:rsidRDefault="00151C9C" w:rsidP="00151C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472148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79A933" w14:textId="380A1F4D" w:rsidR="00151C9C" w:rsidRDefault="00151C9C" w:rsidP="001225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A24690" w14:textId="77777777" w:rsidR="00151C9C" w:rsidRDefault="00151C9C" w:rsidP="00151C9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0A413" w14:textId="77777777" w:rsidR="00FA0002" w:rsidRDefault="00FA0002" w:rsidP="00151C9C">
      <w:pPr>
        <w:spacing w:line="240" w:lineRule="auto"/>
      </w:pPr>
      <w:r>
        <w:separator/>
      </w:r>
    </w:p>
  </w:footnote>
  <w:footnote w:type="continuationSeparator" w:id="0">
    <w:p w14:paraId="4223AFE9" w14:textId="77777777" w:rsidR="00FA0002" w:rsidRDefault="00FA0002" w:rsidP="00151C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605"/>
    <w:rsid w:val="00000B86"/>
    <w:rsid w:val="00072C09"/>
    <w:rsid w:val="00074045"/>
    <w:rsid w:val="00075E88"/>
    <w:rsid w:val="000834F3"/>
    <w:rsid w:val="00086FBD"/>
    <w:rsid w:val="00091C5E"/>
    <w:rsid w:val="000C676E"/>
    <w:rsid w:val="000D3DFA"/>
    <w:rsid w:val="000E6496"/>
    <w:rsid w:val="00123CC3"/>
    <w:rsid w:val="0014255E"/>
    <w:rsid w:val="00151C9C"/>
    <w:rsid w:val="00180B23"/>
    <w:rsid w:val="001819EE"/>
    <w:rsid w:val="001B575B"/>
    <w:rsid w:val="001F4C55"/>
    <w:rsid w:val="00220A63"/>
    <w:rsid w:val="00233FBD"/>
    <w:rsid w:val="0026758E"/>
    <w:rsid w:val="0031628D"/>
    <w:rsid w:val="00326703"/>
    <w:rsid w:val="00335E25"/>
    <w:rsid w:val="0035765D"/>
    <w:rsid w:val="00363187"/>
    <w:rsid w:val="0036787E"/>
    <w:rsid w:val="00393605"/>
    <w:rsid w:val="003946E7"/>
    <w:rsid w:val="003B10B4"/>
    <w:rsid w:val="00401F8D"/>
    <w:rsid w:val="004224EA"/>
    <w:rsid w:val="00426C04"/>
    <w:rsid w:val="00454BC6"/>
    <w:rsid w:val="00490D00"/>
    <w:rsid w:val="004A4C1E"/>
    <w:rsid w:val="004B703C"/>
    <w:rsid w:val="004D3B93"/>
    <w:rsid w:val="00527429"/>
    <w:rsid w:val="005729A9"/>
    <w:rsid w:val="00583714"/>
    <w:rsid w:val="00593C8D"/>
    <w:rsid w:val="005A5E25"/>
    <w:rsid w:val="005C3296"/>
    <w:rsid w:val="005E1DA1"/>
    <w:rsid w:val="005E540C"/>
    <w:rsid w:val="005F39D9"/>
    <w:rsid w:val="00620B0C"/>
    <w:rsid w:val="006459BA"/>
    <w:rsid w:val="00656A9E"/>
    <w:rsid w:val="00660BED"/>
    <w:rsid w:val="00675004"/>
    <w:rsid w:val="006803F0"/>
    <w:rsid w:val="0069020E"/>
    <w:rsid w:val="006E64EA"/>
    <w:rsid w:val="00702954"/>
    <w:rsid w:val="00702F2F"/>
    <w:rsid w:val="00735805"/>
    <w:rsid w:val="00744759"/>
    <w:rsid w:val="00757D0E"/>
    <w:rsid w:val="00780BDF"/>
    <w:rsid w:val="007A0224"/>
    <w:rsid w:val="00854F51"/>
    <w:rsid w:val="008835E5"/>
    <w:rsid w:val="00890F75"/>
    <w:rsid w:val="00891DA9"/>
    <w:rsid w:val="008C0069"/>
    <w:rsid w:val="00914589"/>
    <w:rsid w:val="00950F2A"/>
    <w:rsid w:val="00977121"/>
    <w:rsid w:val="0098143B"/>
    <w:rsid w:val="009C64E3"/>
    <w:rsid w:val="009D2ACB"/>
    <w:rsid w:val="009E0894"/>
    <w:rsid w:val="009E2572"/>
    <w:rsid w:val="00A14184"/>
    <w:rsid w:val="00A15778"/>
    <w:rsid w:val="00A25FFC"/>
    <w:rsid w:val="00A37240"/>
    <w:rsid w:val="00A7569D"/>
    <w:rsid w:val="00A90819"/>
    <w:rsid w:val="00AB3191"/>
    <w:rsid w:val="00AC0A42"/>
    <w:rsid w:val="00AD6CDC"/>
    <w:rsid w:val="00B153B4"/>
    <w:rsid w:val="00B8502B"/>
    <w:rsid w:val="00B8624C"/>
    <w:rsid w:val="00BB17F9"/>
    <w:rsid w:val="00C00D1D"/>
    <w:rsid w:val="00C06DDC"/>
    <w:rsid w:val="00C16315"/>
    <w:rsid w:val="00C46135"/>
    <w:rsid w:val="00C63F56"/>
    <w:rsid w:val="00D15C58"/>
    <w:rsid w:val="00D460C1"/>
    <w:rsid w:val="00D70A69"/>
    <w:rsid w:val="00D7485D"/>
    <w:rsid w:val="00D84FD4"/>
    <w:rsid w:val="00D9052C"/>
    <w:rsid w:val="00D91A04"/>
    <w:rsid w:val="00DB3CC4"/>
    <w:rsid w:val="00DC2B00"/>
    <w:rsid w:val="00DE529A"/>
    <w:rsid w:val="00DF3F1B"/>
    <w:rsid w:val="00DF59E5"/>
    <w:rsid w:val="00E25153"/>
    <w:rsid w:val="00E4529B"/>
    <w:rsid w:val="00E46716"/>
    <w:rsid w:val="00EE4F85"/>
    <w:rsid w:val="00F16DD5"/>
    <w:rsid w:val="00F4067C"/>
    <w:rsid w:val="00F94FBC"/>
    <w:rsid w:val="00FA0002"/>
    <w:rsid w:val="00FB6F56"/>
    <w:rsid w:val="00FB7200"/>
    <w:rsid w:val="00FE0588"/>
    <w:rsid w:val="00FE1E8C"/>
    <w:rsid w:val="00FE6F10"/>
    <w:rsid w:val="00FF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612075"/>
  <w14:defaultImageDpi w14:val="32767"/>
  <w15:chartTrackingRefBased/>
  <w15:docId w15:val="{D886ED13-3C6E-F846-AB1E-99A2514F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2572"/>
    <w:pPr>
      <w:spacing w:line="340" w:lineRule="atLeast"/>
      <w:jc w:val="both"/>
    </w:pPr>
    <w:rPr>
      <w:rFonts w:ascii="Times New Roman" w:eastAsia="Times New Roman" w:hAnsi="Times New Roman" w:cs="Times New Roman"/>
      <w:color w:val="000000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  <w:rsid w:val="009E257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E2572"/>
  </w:style>
  <w:style w:type="character" w:customStyle="1" w:styleId="None">
    <w:name w:val="None"/>
    <w:rsid w:val="00393605"/>
  </w:style>
  <w:style w:type="paragraph" w:customStyle="1" w:styleId="Default">
    <w:name w:val="Default"/>
    <w:link w:val="DefaultChar"/>
    <w:rsid w:val="0039360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de-DE"/>
    </w:rPr>
  </w:style>
  <w:style w:type="character" w:customStyle="1" w:styleId="DefaultChar">
    <w:name w:val="Default Char"/>
    <w:basedOn w:val="DefaultParagraphFont"/>
    <w:link w:val="Default"/>
    <w:rsid w:val="00393605"/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de-DE"/>
    </w:rPr>
  </w:style>
  <w:style w:type="paragraph" w:customStyle="1" w:styleId="MDPI11articletype">
    <w:name w:val="MDPI_1.1_article_type"/>
    <w:basedOn w:val="MDPI31text"/>
    <w:next w:val="MDPI12title"/>
    <w:qFormat/>
    <w:rsid w:val="009E2572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9E2572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9E2572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9E2572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9E2572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9E2572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9E2572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9E2572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Footer">
    <w:name w:val="footer"/>
    <w:basedOn w:val="Normal"/>
    <w:link w:val="FooterChar"/>
    <w:uiPriority w:val="99"/>
    <w:rsid w:val="009E2572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9E2572"/>
    <w:rPr>
      <w:rFonts w:ascii="Times New Roman" w:eastAsia="Times New Roman" w:hAnsi="Times New Roman" w:cs="Times New Roman"/>
      <w:color w:val="00000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9E25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9E2572"/>
    <w:rPr>
      <w:rFonts w:ascii="Times New Roman" w:eastAsia="Times New Roman" w:hAnsi="Times New Roman" w:cs="Times New Roman"/>
      <w:color w:val="00000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9E2572"/>
    <w:pPr>
      <w:adjustRightInd w:val="0"/>
      <w:snapToGrid w:val="0"/>
    </w:pPr>
    <w:rPr>
      <w:rFonts w:ascii="Palatino Linotype" w:eastAsia="Times New Roman" w:hAnsi="Palatino Linotype" w:cs="Times New Roman"/>
      <w:i/>
      <w:color w:val="000000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9E2572"/>
    <w:pPr>
      <w:ind w:firstLine="0"/>
    </w:pPr>
  </w:style>
  <w:style w:type="paragraph" w:customStyle="1" w:styleId="MDPI33textspaceafter">
    <w:name w:val="MDPI_3.3_text_space_after"/>
    <w:basedOn w:val="MDPI31text"/>
    <w:qFormat/>
    <w:rsid w:val="009E2572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9E2572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9E2572"/>
    <w:pPr>
      <w:spacing w:after="120"/>
    </w:pPr>
  </w:style>
  <w:style w:type="paragraph" w:customStyle="1" w:styleId="MDPI36textafterlist">
    <w:name w:val="MDPI_3.6_text_after_list"/>
    <w:basedOn w:val="MDPI31text"/>
    <w:qFormat/>
    <w:rsid w:val="009E2572"/>
    <w:pPr>
      <w:spacing w:before="120"/>
    </w:pPr>
  </w:style>
  <w:style w:type="paragraph" w:customStyle="1" w:styleId="MDPI37itemize">
    <w:name w:val="MDPI_3.7_itemize"/>
    <w:basedOn w:val="MDPI31text"/>
    <w:qFormat/>
    <w:rsid w:val="009E2572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9E2572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9E2572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9E2572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9E2572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9E2572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9E2572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9E2572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9E2572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9E2572"/>
    <w:pPr>
      <w:jc w:val="center"/>
    </w:pPr>
    <w:rPr>
      <w:rFonts w:ascii="Palatino Linotype" w:eastAsia="Times New Roman" w:hAnsi="Palatino Linotype" w:cs="Times New Roman"/>
      <w:snapToGrid w:val="0"/>
      <w:color w:val="000000"/>
      <w:szCs w:val="20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9E2572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9E2572"/>
    <w:rPr>
      <w:rFonts w:eastAsia="SimSun"/>
      <w:color w:val="auto"/>
      <w:lang w:eastAsia="en-US"/>
    </w:rPr>
  </w:style>
  <w:style w:type="paragraph" w:customStyle="1" w:styleId="MDPI81theorem">
    <w:name w:val="MDPI_8.1_theorem"/>
    <w:basedOn w:val="MDPI32textnoindent"/>
    <w:qFormat/>
    <w:rsid w:val="009E2572"/>
    <w:rPr>
      <w:i/>
    </w:rPr>
  </w:style>
  <w:style w:type="paragraph" w:customStyle="1" w:styleId="MDPI82proof">
    <w:name w:val="MDPI_8.2_proof"/>
    <w:basedOn w:val="MDPI32textnoindent"/>
    <w:qFormat/>
    <w:rsid w:val="009E2572"/>
  </w:style>
  <w:style w:type="paragraph" w:customStyle="1" w:styleId="MDPIfooterfirstpage">
    <w:name w:val="MDPI_footer_firstpage"/>
    <w:basedOn w:val="Normal"/>
    <w:qFormat/>
    <w:rsid w:val="009E2572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9E2572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9E2572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9E2572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9E2572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9E2572"/>
    <w:pPr>
      <w:numPr>
        <w:numId w:val="4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2572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E2572"/>
    <w:rPr>
      <w:rFonts w:ascii="Times New Roman" w:eastAsia="Times New Roman" w:hAnsi="Times New Roman" w:cs="Times New Roman"/>
      <w:color w:val="00000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9E2572"/>
  </w:style>
  <w:style w:type="table" w:customStyle="1" w:styleId="MDPI41threelinetable">
    <w:name w:val="MDPI_4.1_three_line_table"/>
    <w:basedOn w:val="TableNormal"/>
    <w:uiPriority w:val="99"/>
    <w:rsid w:val="009E2572"/>
    <w:pPr>
      <w:adjustRightInd w:val="0"/>
      <w:snapToGrid w:val="0"/>
      <w:jc w:val="center"/>
    </w:pPr>
    <w:rPr>
      <w:rFonts w:ascii="Palatino Linotype" w:eastAsia="SimSun" w:hAnsi="Palatino Linotype" w:cs="Times New Roman"/>
      <w:color w:val="000000"/>
      <w:sz w:val="20"/>
      <w:szCs w:val="20"/>
      <w:lang w:val="de-DE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9E2572"/>
    <w:rPr>
      <w:color w:val="0563C1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51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asmin/Documents/WS%20240:242:243/Manuscript/Type%20of%20th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Type of the Paper.dotx</Template>
  <TotalTime>9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Dabiri</dc:creator>
  <cp:keywords/>
  <dc:description/>
  <cp:lastModifiedBy>Yasmin Dabiri</cp:lastModifiedBy>
  <cp:revision>3</cp:revision>
  <dcterms:created xsi:type="dcterms:W3CDTF">2019-05-16T11:04:00Z</dcterms:created>
  <dcterms:modified xsi:type="dcterms:W3CDTF">2019-05-16T12:43:00Z</dcterms:modified>
</cp:coreProperties>
</file>