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47" w:rsidRDefault="00874F47" w:rsidP="00DB02DC">
      <w:pPr>
        <w:spacing w:after="0" w:line="276" w:lineRule="auto"/>
        <w:jc w:val="center"/>
        <w:textAlignment w:val="baseline"/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</w:pPr>
      <w:r w:rsidRPr="00874F47"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  <w:t>Supplementary materials</w:t>
      </w:r>
    </w:p>
    <w:p w:rsidR="00874F47" w:rsidRDefault="00874F47" w:rsidP="00DB02DC">
      <w:pPr>
        <w:spacing w:after="0" w:line="276" w:lineRule="auto"/>
        <w:jc w:val="center"/>
        <w:textAlignment w:val="baseline"/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</w:pPr>
    </w:p>
    <w:p w:rsidR="00874F47" w:rsidRDefault="00874F47" w:rsidP="00DB02DC">
      <w:pPr>
        <w:spacing w:after="0" w:line="276" w:lineRule="auto"/>
        <w:jc w:val="center"/>
        <w:textAlignment w:val="baseline"/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</w:pPr>
    </w:p>
    <w:p w:rsidR="00874F47" w:rsidRDefault="00874F47" w:rsidP="00DB02DC">
      <w:pPr>
        <w:spacing w:after="0" w:line="276" w:lineRule="auto"/>
        <w:jc w:val="center"/>
        <w:textAlignment w:val="baseline"/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</w:pPr>
    </w:p>
    <w:p w:rsidR="00DB02DC" w:rsidRPr="00AD06F3" w:rsidRDefault="00DB02DC" w:rsidP="00DB02DC">
      <w:pPr>
        <w:spacing w:after="0" w:line="276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AD06F3"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  <w:t xml:space="preserve">Impact of hunger, satiety, and oral glucose on the association between insulin and </w:t>
      </w:r>
      <w:r w:rsidRPr="00AD06F3">
        <w:rPr>
          <w:rFonts w:asciiTheme="majorBidi" w:eastAsiaTheme="minorEastAsia" w:hAnsiTheme="majorBidi" w:cstheme="majorBidi"/>
          <w:b/>
          <w:bCs/>
          <w:noProof/>
          <w:kern w:val="24"/>
          <w:sz w:val="32"/>
          <w:szCs w:val="32"/>
        </w:rPr>
        <w:t>resting-state</w:t>
      </w:r>
      <w:r w:rsidRPr="00AD06F3">
        <w:rPr>
          <w:rFonts w:asciiTheme="majorBidi" w:eastAsiaTheme="minorEastAsia" w:hAnsiTheme="majorBidi" w:cstheme="majorBidi"/>
          <w:b/>
          <w:bCs/>
          <w:kern w:val="24"/>
          <w:sz w:val="32"/>
          <w:szCs w:val="32"/>
        </w:rPr>
        <w:t xml:space="preserve"> human brain activity </w:t>
      </w:r>
    </w:p>
    <w:p w:rsidR="00DB02DC" w:rsidRPr="00DE2065" w:rsidRDefault="00DB02DC" w:rsidP="00DB02DC">
      <w:pPr>
        <w:pStyle w:val="ListParagraph"/>
        <w:spacing w:line="276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bCs/>
          <w:sz w:val="24"/>
          <w:szCs w:val="36"/>
        </w:rPr>
      </w:pPr>
      <w:r w:rsidRPr="00DE2065">
        <w:rPr>
          <w:rFonts w:asciiTheme="majorBidi" w:hAnsiTheme="majorBidi" w:cstheme="majorBidi"/>
          <w:bCs/>
          <w:sz w:val="24"/>
          <w:szCs w:val="36"/>
        </w:rPr>
        <w:t>Arkan Al-Zubaidi</w:t>
      </w:r>
      <w:r w:rsidRPr="00DE2065">
        <w:rPr>
          <w:rFonts w:asciiTheme="majorBidi" w:hAnsiTheme="majorBidi" w:cstheme="majorBidi"/>
          <w:bCs/>
          <w:sz w:val="24"/>
          <w:szCs w:val="36"/>
          <w:vertAlign w:val="superscript"/>
        </w:rPr>
        <w:t>1</w:t>
      </w:r>
      <w:r w:rsidRPr="00DE2065">
        <w:rPr>
          <w:rFonts w:asciiTheme="majorBidi" w:hAnsiTheme="majorBidi" w:cstheme="majorBidi"/>
          <w:bCs/>
          <w:sz w:val="24"/>
          <w:szCs w:val="36"/>
        </w:rPr>
        <w:t>, Marcus Heldmann</w:t>
      </w:r>
      <w:r w:rsidRPr="00DE2065">
        <w:rPr>
          <w:rFonts w:asciiTheme="majorBidi" w:hAnsiTheme="majorBidi" w:cstheme="majorBidi"/>
          <w:bCs/>
          <w:sz w:val="24"/>
          <w:szCs w:val="36"/>
          <w:vertAlign w:val="superscript"/>
        </w:rPr>
        <w:t>1, 2</w:t>
      </w:r>
      <w:r w:rsidRPr="00DE2065">
        <w:rPr>
          <w:rFonts w:asciiTheme="majorBidi" w:hAnsiTheme="majorBidi" w:cstheme="majorBidi"/>
          <w:bCs/>
          <w:sz w:val="24"/>
          <w:szCs w:val="36"/>
        </w:rPr>
        <w:t>,</w:t>
      </w:r>
      <w:r w:rsidRPr="00DE2065">
        <w:rPr>
          <w:rFonts w:asciiTheme="majorBidi" w:hAnsiTheme="majorBidi" w:cstheme="majorBidi"/>
          <w:bCs/>
          <w:sz w:val="24"/>
          <w:szCs w:val="36"/>
          <w:vertAlign w:val="superscript"/>
        </w:rPr>
        <w:t xml:space="preserve"> </w:t>
      </w:r>
      <w:r w:rsidRPr="00DE2065">
        <w:rPr>
          <w:rFonts w:asciiTheme="majorBidi" w:hAnsiTheme="majorBidi" w:cstheme="majorBidi"/>
          <w:bCs/>
          <w:sz w:val="24"/>
          <w:szCs w:val="36"/>
        </w:rPr>
        <w:t xml:space="preserve">Alfred </w:t>
      </w:r>
      <w:r w:rsidRPr="00DE2065">
        <w:rPr>
          <w:rFonts w:asciiTheme="majorBidi" w:hAnsiTheme="majorBidi" w:cstheme="majorBidi"/>
          <w:bCs/>
          <w:noProof/>
          <w:sz w:val="24"/>
          <w:szCs w:val="36"/>
        </w:rPr>
        <w:t>Mertins</w:t>
      </w:r>
      <w:r w:rsidRPr="00DE2065">
        <w:rPr>
          <w:rFonts w:asciiTheme="majorBidi" w:hAnsiTheme="majorBidi" w:cstheme="majorBidi"/>
          <w:bCs/>
          <w:noProof/>
          <w:sz w:val="24"/>
          <w:szCs w:val="36"/>
          <w:vertAlign w:val="superscript"/>
        </w:rPr>
        <w:t>3</w:t>
      </w:r>
      <w:r w:rsidRPr="00DE2065">
        <w:rPr>
          <w:rFonts w:asciiTheme="majorBidi" w:hAnsiTheme="majorBidi" w:cstheme="majorBidi"/>
          <w:bCs/>
          <w:noProof/>
          <w:sz w:val="24"/>
          <w:szCs w:val="36"/>
        </w:rPr>
        <w:t>, Georg Brabant</w:t>
      </w:r>
      <w:r w:rsidRPr="00DE2065">
        <w:rPr>
          <w:rFonts w:asciiTheme="majorBidi" w:hAnsiTheme="majorBidi" w:cstheme="majorBidi"/>
          <w:bCs/>
          <w:noProof/>
          <w:sz w:val="24"/>
          <w:szCs w:val="36"/>
          <w:vertAlign w:val="superscript"/>
        </w:rPr>
        <w:t>4</w:t>
      </w:r>
      <w:r w:rsidRPr="00DE2065">
        <w:rPr>
          <w:rFonts w:asciiTheme="majorBidi" w:hAnsiTheme="majorBidi" w:cstheme="majorBidi"/>
          <w:bCs/>
          <w:noProof/>
          <w:sz w:val="24"/>
          <w:szCs w:val="36"/>
        </w:rPr>
        <w:t xml:space="preserve">, Janis </w:t>
      </w:r>
      <w:r w:rsidR="00EC6EE7">
        <w:rPr>
          <w:rFonts w:asciiTheme="majorBidi" w:hAnsiTheme="majorBidi" w:cstheme="majorBidi"/>
          <w:bCs/>
          <w:noProof/>
          <w:sz w:val="24"/>
          <w:szCs w:val="36"/>
        </w:rPr>
        <w:t xml:space="preserve">Marc </w:t>
      </w:r>
      <w:r w:rsidRPr="00DE2065">
        <w:rPr>
          <w:rFonts w:asciiTheme="majorBidi" w:hAnsiTheme="majorBidi" w:cstheme="majorBidi"/>
          <w:bCs/>
          <w:noProof/>
          <w:sz w:val="24"/>
          <w:szCs w:val="36"/>
        </w:rPr>
        <w:t>Nolde</w:t>
      </w:r>
      <w:r w:rsidRPr="00DE2065">
        <w:rPr>
          <w:rFonts w:asciiTheme="majorBidi" w:hAnsiTheme="majorBidi" w:cstheme="majorBidi"/>
          <w:bCs/>
          <w:noProof/>
          <w:sz w:val="24"/>
          <w:szCs w:val="36"/>
          <w:vertAlign w:val="superscript"/>
        </w:rPr>
        <w:t>1</w:t>
      </w:r>
      <w:r w:rsidRPr="00DE2065">
        <w:rPr>
          <w:rFonts w:asciiTheme="majorBidi" w:hAnsiTheme="majorBidi" w:cstheme="majorBidi"/>
          <w:bCs/>
          <w:noProof/>
          <w:sz w:val="24"/>
          <w:szCs w:val="36"/>
        </w:rPr>
        <w:t>, Kamila</w:t>
      </w:r>
      <w:r w:rsidRPr="00DE2065">
        <w:rPr>
          <w:rFonts w:asciiTheme="majorBidi" w:hAnsiTheme="majorBidi" w:cstheme="majorBidi"/>
          <w:bCs/>
          <w:sz w:val="24"/>
          <w:szCs w:val="36"/>
        </w:rPr>
        <w:t xml:space="preserve"> Jauch-Chara</w:t>
      </w:r>
      <w:r w:rsidRPr="00DE2065">
        <w:rPr>
          <w:rFonts w:asciiTheme="majorBidi" w:hAnsiTheme="majorBidi" w:cstheme="majorBidi"/>
          <w:bCs/>
          <w:sz w:val="24"/>
          <w:szCs w:val="36"/>
          <w:vertAlign w:val="superscript"/>
        </w:rPr>
        <w:t>5</w:t>
      </w:r>
      <w:r w:rsidRPr="00DE2065">
        <w:rPr>
          <w:rFonts w:asciiTheme="majorBidi" w:hAnsiTheme="majorBidi" w:cstheme="majorBidi"/>
          <w:bCs/>
          <w:sz w:val="24"/>
          <w:szCs w:val="36"/>
        </w:rPr>
        <w:t>, Thomas F. Münte</w:t>
      </w:r>
      <w:r w:rsidRPr="00DE2065">
        <w:rPr>
          <w:rFonts w:asciiTheme="majorBidi" w:hAnsiTheme="majorBidi" w:cstheme="majorBidi"/>
          <w:bCs/>
          <w:sz w:val="24"/>
          <w:szCs w:val="36"/>
          <w:vertAlign w:val="superscript"/>
        </w:rPr>
        <w:t>1, 2,*</w:t>
      </w:r>
      <w:r w:rsidRPr="00DE2065">
        <w:rPr>
          <w:rFonts w:asciiTheme="majorBidi" w:hAnsiTheme="majorBidi" w:cstheme="majorBidi"/>
          <w:bCs/>
          <w:sz w:val="24"/>
          <w:szCs w:val="36"/>
        </w:rPr>
        <w:t xml:space="preserve"> </w:t>
      </w: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DE206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DE2065">
        <w:rPr>
          <w:rFonts w:asciiTheme="majorBidi" w:hAnsiTheme="majorBidi" w:cstheme="majorBidi"/>
          <w:sz w:val="24"/>
          <w:szCs w:val="24"/>
        </w:rPr>
        <w:t xml:space="preserve"> Dept. of Neurology, University of Lübeck, Lübeck, Germany </w:t>
      </w: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DE2065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DE2065">
        <w:rPr>
          <w:rFonts w:asciiTheme="majorBidi" w:hAnsiTheme="majorBidi" w:cstheme="majorBidi"/>
          <w:sz w:val="24"/>
          <w:szCs w:val="24"/>
        </w:rPr>
        <w:t xml:space="preserve"> Institute of Psychology II, University of Lübeck, Lübeck, Germany </w:t>
      </w: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DE206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DE2065">
        <w:rPr>
          <w:rFonts w:asciiTheme="majorBidi" w:hAnsiTheme="majorBidi" w:cstheme="majorBidi"/>
          <w:sz w:val="24"/>
          <w:szCs w:val="24"/>
        </w:rPr>
        <w:t xml:space="preserve"> Institute for Signal Processing, University of Lübeck, Lübeck, Germany</w:t>
      </w:r>
    </w:p>
    <w:p w:rsidR="00DB02DC" w:rsidRPr="00DE2065" w:rsidRDefault="00DB02DC" w:rsidP="00DB02DC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Bidi" w:hAnsiTheme="majorBidi" w:cstheme="majorBidi"/>
          <w:sz w:val="24"/>
          <w:szCs w:val="24"/>
        </w:rPr>
      </w:pPr>
      <w:r w:rsidRPr="00DE206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DE2065">
        <w:rPr>
          <w:rFonts w:asciiTheme="majorBidi" w:hAnsiTheme="majorBidi" w:cstheme="majorBidi"/>
          <w:sz w:val="24"/>
          <w:szCs w:val="24"/>
        </w:rPr>
        <w:t xml:space="preserve"> Dept. of Internal Medicine I, University of Lübeck, Lübeck, Germany</w:t>
      </w:r>
    </w:p>
    <w:p w:rsidR="00DB02DC" w:rsidRPr="00DE2065" w:rsidRDefault="00DB02DC" w:rsidP="00DB02DC">
      <w:pPr>
        <w:pStyle w:val="ListParagraph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DE2065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DE2065">
        <w:rPr>
          <w:rFonts w:asciiTheme="majorBidi" w:hAnsiTheme="majorBidi" w:cstheme="majorBidi"/>
          <w:sz w:val="24"/>
          <w:szCs w:val="24"/>
        </w:rPr>
        <w:t xml:space="preserve"> Dept. of Psychiatry and Psychotherapy, Christian-</w:t>
      </w:r>
      <w:proofErr w:type="spellStart"/>
      <w:r w:rsidRPr="00DE2065">
        <w:rPr>
          <w:rFonts w:asciiTheme="majorBidi" w:hAnsiTheme="majorBidi" w:cstheme="majorBidi"/>
          <w:sz w:val="24"/>
          <w:szCs w:val="24"/>
        </w:rPr>
        <w:t>Albrechts</w:t>
      </w:r>
      <w:proofErr w:type="spellEnd"/>
      <w:r w:rsidRPr="00DE2065">
        <w:rPr>
          <w:rFonts w:asciiTheme="majorBidi" w:hAnsiTheme="majorBidi" w:cstheme="majorBidi"/>
          <w:sz w:val="24"/>
          <w:szCs w:val="24"/>
        </w:rPr>
        <w:t>-University, Kiel, Germany</w:t>
      </w:r>
    </w:p>
    <w:p w:rsidR="00DB02DC" w:rsidRPr="00DE2065" w:rsidRDefault="00DB02DC" w:rsidP="00DB02DC">
      <w:pPr>
        <w:pStyle w:val="ListParagraph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921B9B" w:rsidRDefault="00921B9B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p w:rsidR="00662D6A" w:rsidRDefault="00662D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2D6A" w:rsidTr="00662D6A">
        <w:tc>
          <w:tcPr>
            <w:tcW w:w="9350" w:type="dxa"/>
          </w:tcPr>
          <w:p w:rsidR="00662D6A" w:rsidRDefault="00132915" w:rsidP="00132915">
            <w:r>
              <w:rPr>
                <w:noProof/>
              </w:rPr>
              <w:lastRenderedPageBreak/>
              <w:drawing>
                <wp:inline distT="0" distB="0" distL="0" distR="0">
                  <wp:extent cx="5838603" cy="4943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1_Rotations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321" cy="4946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D6A" w:rsidTr="00662D6A">
        <w:tc>
          <w:tcPr>
            <w:tcW w:w="9350" w:type="dxa"/>
          </w:tcPr>
          <w:p w:rsidR="00662D6A" w:rsidRPr="00662D6A" w:rsidRDefault="00662D6A" w:rsidP="00662D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62D6A">
              <w:rPr>
                <w:rFonts w:asciiTheme="majorBidi" w:hAnsiTheme="majorBidi" w:cstheme="majorBidi"/>
                <w:sz w:val="24"/>
                <w:szCs w:val="24"/>
              </w:rPr>
              <w:t xml:space="preserve">Figure S1. </w:t>
            </w:r>
            <w:r w:rsidRPr="00662D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Summary of MCFLIRT estimated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rotation</w:t>
            </w:r>
            <w:r w:rsidRPr="00662D6A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parameters </w:t>
            </w:r>
            <w:r w:rsidRPr="00662D6A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for each experimental condition.</w:t>
            </w:r>
          </w:p>
        </w:tc>
      </w:tr>
    </w:tbl>
    <w:p w:rsidR="00662D6A" w:rsidRDefault="00662D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4C2B" w:rsidTr="00C67D61">
        <w:tc>
          <w:tcPr>
            <w:tcW w:w="9350" w:type="dxa"/>
          </w:tcPr>
          <w:p w:rsidR="005D4C2B" w:rsidRDefault="005D4C2B" w:rsidP="005D4C2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87040" cy="4064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2_PCC_No_OGTT_single_point_insulin_glucose_4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40" cy="40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2B" w:rsidTr="00C67D61">
        <w:tc>
          <w:tcPr>
            <w:tcW w:w="9350" w:type="dxa"/>
          </w:tcPr>
          <w:p w:rsidR="005D4C2B" w:rsidRPr="001423B6" w:rsidRDefault="00002A99" w:rsidP="00106455">
            <w:pPr>
              <w:rPr>
                <w:sz w:val="24"/>
                <w:szCs w:val="24"/>
              </w:rPr>
            </w:pPr>
            <w:r w:rsidRPr="001423B6">
              <w:rPr>
                <w:rFonts w:asciiTheme="majorBidi" w:hAnsiTheme="majorBidi" w:cstheme="majorBidi"/>
                <w:sz w:val="24"/>
                <w:szCs w:val="24"/>
              </w:rPr>
              <w:t>Figure S2</w:t>
            </w:r>
            <w:bookmarkStart w:id="0" w:name="_GoBack"/>
            <w:r w:rsidRPr="00EA47D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67D61" w:rsidRPr="00EA47D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67D61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>Reanaly</w:t>
            </w:r>
            <w:r w:rsidR="00106455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sis </w:t>
            </w:r>
            <w:bookmarkEnd w:id="0"/>
            <w:r w:rsidR="00106455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of </w:t>
            </w:r>
            <w:r w:rsidR="00C67D61"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the 1</w:t>
            </w:r>
            <w:r w:rsidR="00C67D61"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C67D61"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 xml:space="preserve">  MLRA with single glucose and insulin values instead of AUC values.</w:t>
            </w:r>
            <w:r w:rsidR="00C67D61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1423B6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(A) The results under </w:t>
            </w:r>
            <w:proofErr w:type="gramStart"/>
            <w:r w:rsidR="001423B6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p(</w:t>
            </w:r>
            <w:proofErr w:type="gramEnd"/>
            <w:r w:rsidR="001423B6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peak) levels and K&gt;10. (B) The p-</w:t>
            </w:r>
            <w:r w:rsidR="001423B6" w:rsidRPr="001423B6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values</w:t>
            </w:r>
            <w:r w:rsidR="001423B6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1423B6" w:rsidRPr="001423B6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are reported</w:t>
            </w:r>
            <w:r w:rsidR="001423B6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at p&lt;0.005 (height threshold) and q&lt;0.05 (FDR extent threshold). </w:t>
            </w:r>
            <w:r w:rsidR="00C67D61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This figure is similar to </w:t>
            </w:r>
            <w:r w:rsidR="00C67D61"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Figure</w:t>
            </w:r>
            <w:r w:rsidR="00C67D61" w:rsidRP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4 in the manuscript.</w:t>
            </w:r>
          </w:p>
        </w:tc>
      </w:tr>
    </w:tbl>
    <w:p w:rsidR="005D4C2B" w:rsidRDefault="005D4C2B"/>
    <w:tbl>
      <w:tblPr>
        <w:tblStyle w:val="TableGrid"/>
        <w:tblpPr w:leftFromText="180" w:rightFromText="180" w:vertAnchor="text" w:horzAnchor="margin" w:tblpX="-635" w:tblpY="-481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71"/>
        <w:gridCol w:w="579"/>
        <w:gridCol w:w="71"/>
        <w:gridCol w:w="903"/>
        <w:gridCol w:w="52"/>
        <w:gridCol w:w="578"/>
        <w:gridCol w:w="47"/>
        <w:gridCol w:w="943"/>
        <w:gridCol w:w="40"/>
        <w:gridCol w:w="860"/>
        <w:gridCol w:w="28"/>
        <w:gridCol w:w="962"/>
        <w:gridCol w:w="14"/>
        <w:gridCol w:w="976"/>
      </w:tblGrid>
      <w:tr w:rsidR="000C7B0E" w:rsidRPr="000C7B0E" w:rsidTr="001F6F6E">
        <w:tc>
          <w:tcPr>
            <w:tcW w:w="99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C7B0E" w:rsidRPr="00A02137" w:rsidRDefault="000C7B0E" w:rsidP="00106455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A021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Table </w:t>
            </w:r>
            <w:r w:rsidR="00002A99" w:rsidRPr="00A021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S1.</w:t>
            </w:r>
            <w:r w:rsidRPr="00A021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67D61" w:rsidRPr="00A021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C67D61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>Reanaly</w:t>
            </w:r>
            <w:r w:rsidR="00106455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sis of </w:t>
            </w:r>
            <w:r w:rsidR="00C67D61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>the 1</w:t>
            </w:r>
            <w:r w:rsidR="00C67D61" w:rsidRPr="00EA47D7">
              <w:rPr>
                <w:rFonts w:asciiTheme="majorBidi" w:hAnsiTheme="majorBidi" w:cstheme="majorBidi"/>
                <w:noProof/>
                <w:sz w:val="24"/>
                <w:szCs w:val="24"/>
                <w:vertAlign w:val="superscript"/>
              </w:rPr>
              <w:t>st</w:t>
            </w:r>
            <w:r w:rsidR="00C67D61" w:rsidRPr="00EA47D7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 MLRA with single glucose and insulin values instead of AUC values.</w:t>
            </w:r>
            <w:r w:rsidR="00C67D61" w:rsidRPr="00EA47D7">
              <w:rPr>
                <w:rFonts w:asciiTheme="majorBidi" w:hAnsiTheme="majorBidi" w:cstheme="majorBidi"/>
                <w:sz w:val="24"/>
                <w:szCs w:val="24"/>
              </w:rPr>
              <w:t xml:space="preserve"> These results are similar </w:t>
            </w:r>
            <w:r w:rsidR="00C67D61" w:rsidRPr="00A02137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to the results in Table 1 (in the manuscript)</w:t>
            </w:r>
          </w:p>
        </w:tc>
      </w:tr>
      <w:tr w:rsidR="000C7B0E" w:rsidRPr="000C7B0E" w:rsidTr="007C5090"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Regions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14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Hes</w:t>
            </w:r>
            <w:proofErr w:type="spellEnd"/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p(peak)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 value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Local maxima (</w:t>
            </w:r>
            <w:r w:rsidRPr="000C7B0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x y z</w:t>
            </w: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) (mm)</w:t>
            </w:r>
          </w:p>
        </w:tc>
      </w:tr>
      <w:tr w:rsidR="000C7B0E" w:rsidRPr="000C7B0E" w:rsidTr="001F6F6E">
        <w:trPr>
          <w:trHeight w:val="180"/>
        </w:trPr>
        <w:tc>
          <w:tcPr>
            <w:tcW w:w="99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C7B0E" w:rsidRPr="000C7B0E" w:rsidRDefault="00E4287D" w:rsidP="001F6F6E">
            <w:p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4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Before glucose administration: hunger </w:t>
            </w:r>
            <w:r w:rsidRPr="00E4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  <w:t xml:space="preserve">&gt; </w:t>
            </w:r>
            <w:r w:rsidRPr="00E42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satiety</w:t>
            </w:r>
          </w:p>
        </w:tc>
      </w:tr>
      <w:tr w:rsidR="000C7B0E" w:rsidRPr="000C7B0E" w:rsidTr="007C5090">
        <w:trPr>
          <w:trHeight w:val="180"/>
        </w:trPr>
        <w:tc>
          <w:tcPr>
            <w:tcW w:w="3861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Inferior parietal gyrus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tabs>
                <w:tab w:val="center" w:pos="217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L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4.61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-45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-51</w:t>
            </w:r>
          </w:p>
        </w:tc>
        <w:tc>
          <w:tcPr>
            <w:tcW w:w="976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C7B0E" w:rsidRPr="000C7B0E" w:rsidTr="007C5090">
        <w:trPr>
          <w:trHeight w:val="180"/>
        </w:trPr>
        <w:tc>
          <w:tcPr>
            <w:tcW w:w="3861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-42</w:t>
            </w:r>
          </w:p>
        </w:tc>
        <w:tc>
          <w:tcPr>
            <w:tcW w:w="976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C7B0E" w:rsidRPr="000C7B0E" w:rsidTr="007C5090">
        <w:trPr>
          <w:trHeight w:val="180"/>
        </w:trPr>
        <w:tc>
          <w:tcPr>
            <w:tcW w:w="3861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1026" w:type="dxa"/>
            <w:gridSpan w:val="3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3.37</w:t>
            </w:r>
          </w:p>
        </w:tc>
        <w:tc>
          <w:tcPr>
            <w:tcW w:w="888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-6</w:t>
            </w:r>
          </w:p>
        </w:tc>
        <w:tc>
          <w:tcPr>
            <w:tcW w:w="976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-45</w:t>
            </w:r>
          </w:p>
        </w:tc>
        <w:tc>
          <w:tcPr>
            <w:tcW w:w="976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C7B0E" w:rsidRPr="000C7B0E" w:rsidTr="001F6F6E">
        <w:trPr>
          <w:trHeight w:val="332"/>
        </w:trPr>
        <w:tc>
          <w:tcPr>
            <w:tcW w:w="99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C7B0E" w:rsidRPr="000C7B0E" w:rsidRDefault="000C7B0E" w:rsidP="007C5090">
            <w:pPr>
              <w:spacing w:line="276" w:lineRule="auto"/>
              <w:jc w:val="right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C7B0E" w:rsidRPr="000C7B0E" w:rsidTr="007C5090"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0C7B0E" w:rsidRPr="000C7B0E" w:rsidRDefault="000C7B0E" w:rsidP="007C5090">
            <w:pPr>
              <w:tabs>
                <w:tab w:val="left" w:pos="14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p(adj.)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7C5090">
            <w:p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7B0E" w:rsidRPr="000C7B0E" w:rsidRDefault="000C7B0E" w:rsidP="001F6F6E">
            <w:pPr>
              <w:tabs>
                <w:tab w:val="left" w:pos="0"/>
              </w:tabs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0C7B0E" w:rsidRPr="000C7B0E" w:rsidTr="001F6F6E">
        <w:trPr>
          <w:trHeight w:val="180"/>
        </w:trPr>
        <w:tc>
          <w:tcPr>
            <w:tcW w:w="99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0C7B0E" w:rsidRPr="000C7B0E" w:rsidRDefault="00E4287D" w:rsidP="001F6F6E">
            <w:pPr>
              <w:tabs>
                <w:tab w:val="left" w:pos="0"/>
              </w:tabs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  <w:lang w:bidi="ar-IQ"/>
              </w:rPr>
            </w:pPr>
            <w:r w:rsidRPr="00E428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Before glucose administration: hunger </w:t>
            </w:r>
            <w:r w:rsidRPr="00E428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&gt; </w:t>
            </w:r>
            <w:r w:rsidRPr="00E428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satiety</w:t>
            </w:r>
          </w:p>
        </w:tc>
      </w:tr>
      <w:tr w:rsidR="000C7B0E" w:rsidRPr="000C7B0E" w:rsidTr="007C5090">
        <w:trPr>
          <w:trHeight w:val="180"/>
        </w:trPr>
        <w:tc>
          <w:tcPr>
            <w:tcW w:w="3932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tabs>
                <w:tab w:val="center" w:pos="217"/>
              </w:tabs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ab/>
              <w:t>R</w:t>
            </w:r>
          </w:p>
        </w:tc>
        <w:tc>
          <w:tcPr>
            <w:tcW w:w="903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36</w:t>
            </w:r>
          </w:p>
        </w:tc>
      </w:tr>
      <w:tr w:rsidR="000C7B0E" w:rsidRPr="000C7B0E" w:rsidTr="007C5090">
        <w:trPr>
          <w:trHeight w:val="180"/>
        </w:trPr>
        <w:tc>
          <w:tcPr>
            <w:tcW w:w="3932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Posterior cingulate cortex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903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-42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42</w:t>
            </w:r>
          </w:p>
        </w:tc>
      </w:tr>
      <w:tr w:rsidR="000C7B0E" w:rsidRPr="000C7B0E" w:rsidTr="007C5090">
        <w:trPr>
          <w:trHeight w:val="180"/>
        </w:trPr>
        <w:tc>
          <w:tcPr>
            <w:tcW w:w="3932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Precuneus</w:t>
            </w:r>
          </w:p>
        </w:tc>
        <w:tc>
          <w:tcPr>
            <w:tcW w:w="65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903" w:type="dxa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4.04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-54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0C7B0E" w:rsidRPr="000C7B0E" w:rsidRDefault="000C7B0E" w:rsidP="001F6F6E">
            <w:pPr>
              <w:spacing w:line="276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0C7B0E" w:rsidRPr="000C7B0E" w:rsidTr="001F6F6E">
        <w:trPr>
          <w:trHeight w:val="332"/>
        </w:trPr>
        <w:tc>
          <w:tcPr>
            <w:tcW w:w="998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7C5090" w:rsidRDefault="007C5090" w:rsidP="007C50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Notes:  The table shows </w:t>
            </w:r>
            <w:r w:rsidRPr="000C7B0E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three</w:t>
            </w: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local maxima (MNI coordinates) more than 8.0 mm, </w:t>
            </w:r>
            <w:proofErr w:type="gramStart"/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peak)</w:t>
            </w: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-values </w:t>
            </w:r>
            <w:r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are reported</w:t>
            </w: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at peak level, p&lt;0.001</w:t>
            </w:r>
            <w:r w:rsidR="001423B6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and K&gt;10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. </w:t>
            </w:r>
            <w:r w:rsidR="000C7B0E"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The adjusted (adj.) p-</w:t>
            </w:r>
            <w:r w:rsidR="000C7B0E" w:rsidRPr="000C7B0E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values</w:t>
            </w:r>
            <w:r w:rsidR="000C7B0E"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  <w:r w:rsidR="000C7B0E" w:rsidRPr="00EC6EE7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are reported</w:t>
            </w:r>
            <w:r w:rsidR="000C7B0E"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at p&lt;0.005 (height threshold) and q&lt;0.05 (FDR extent threshold). </w:t>
            </w:r>
            <w:r w:rsidRPr="000C7B0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T=peak of T values. K=cluster size.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</w:t>
            </w:r>
          </w:p>
          <w:p w:rsidR="000C7B0E" w:rsidRPr="000C7B0E" w:rsidRDefault="007C5090" w:rsidP="007C5090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0C7B0E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</w:rPr>
              <w:t>Hes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. =hemisphere. L=left. R=right</w:t>
            </w:r>
          </w:p>
        </w:tc>
      </w:tr>
    </w:tbl>
    <w:p w:rsidR="000C7B0E" w:rsidRDefault="000C7B0E"/>
    <w:p w:rsidR="00355333" w:rsidRDefault="003553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4C2B" w:rsidTr="00A200CF">
        <w:tc>
          <w:tcPr>
            <w:tcW w:w="9350" w:type="dxa"/>
          </w:tcPr>
          <w:p w:rsidR="005D4C2B" w:rsidRDefault="005D4C2B">
            <w:r>
              <w:rPr>
                <w:noProof/>
              </w:rPr>
              <w:lastRenderedPageBreak/>
              <w:drawing>
                <wp:inline distT="0" distB="0" distL="0" distR="0">
                  <wp:extent cx="5689791" cy="51816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3_Hunger_ratings_correlations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756" cy="518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2B" w:rsidTr="00A200CF">
        <w:tc>
          <w:tcPr>
            <w:tcW w:w="9350" w:type="dxa"/>
          </w:tcPr>
          <w:p w:rsidR="005D4C2B" w:rsidRDefault="0040688F" w:rsidP="0040688F">
            <w:r w:rsidRPr="0040688F">
              <w:rPr>
                <w:rFonts w:asciiTheme="majorBidi" w:hAnsiTheme="majorBidi" w:cstheme="majorBidi"/>
                <w:sz w:val="24"/>
                <w:szCs w:val="24"/>
              </w:rPr>
              <w:t>Figure S3. Scatter plots illustrate the correlations between changes subjective feeling of hunger with changes plasma glucose and insulin as well as with changes in brain activity (</w:t>
            </w:r>
            <w:r w:rsidRPr="00EC6EE7">
              <w:rPr>
                <w:rFonts w:asciiTheme="majorBidi" w:hAnsiTheme="majorBidi" w:cstheme="majorBidi"/>
                <w:noProof/>
                <w:sz w:val="24"/>
                <w:szCs w:val="24"/>
              </w:rPr>
              <w:t>i.e.</w:t>
            </w:r>
            <w:r w:rsidRPr="0040688F">
              <w:rPr>
                <w:rFonts w:asciiTheme="majorBidi" w:hAnsiTheme="majorBidi" w:cstheme="majorBidi"/>
                <w:sz w:val="24"/>
                <w:szCs w:val="24"/>
              </w:rPr>
              <w:t xml:space="preserve"> clusters that survived the cluster-significance test). (A)-(C) represent the associations before glucose administration. (D)</w:t>
            </w:r>
            <w:proofErr w:type="gramStart"/>
            <w:r w:rsidRPr="0040688F">
              <w:rPr>
                <w:rFonts w:asciiTheme="majorBidi" w:hAnsiTheme="majorBidi" w:cstheme="majorBidi"/>
                <w:sz w:val="24"/>
                <w:szCs w:val="24"/>
              </w:rPr>
              <w:t>-(</w:t>
            </w:r>
            <w:proofErr w:type="gramEnd"/>
            <w:r w:rsidRPr="0040688F">
              <w:rPr>
                <w:rFonts w:asciiTheme="majorBidi" w:hAnsiTheme="majorBidi" w:cstheme="majorBidi"/>
                <w:sz w:val="24"/>
                <w:szCs w:val="24"/>
              </w:rPr>
              <w:t>I) represent the associations after glucose administration. ∆ refers to the difference between hunger and satiety.</w:t>
            </w:r>
          </w:p>
        </w:tc>
      </w:tr>
    </w:tbl>
    <w:p w:rsidR="005D4C2B" w:rsidRDefault="005D4C2B"/>
    <w:sectPr w:rsidR="005D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LYwsTA0MjMwNLVQ0lEKTi0uzszPAykwqwUAlzJO9iwAAAA="/>
  </w:docVars>
  <w:rsids>
    <w:rsidRoot w:val="00AE3635"/>
    <w:rsid w:val="00002A99"/>
    <w:rsid w:val="000C7B0E"/>
    <w:rsid w:val="00106455"/>
    <w:rsid w:val="00132915"/>
    <w:rsid w:val="001423B6"/>
    <w:rsid w:val="00165B37"/>
    <w:rsid w:val="0017384D"/>
    <w:rsid w:val="00355333"/>
    <w:rsid w:val="0040688F"/>
    <w:rsid w:val="005D4C2B"/>
    <w:rsid w:val="00662D6A"/>
    <w:rsid w:val="00780E91"/>
    <w:rsid w:val="007963EF"/>
    <w:rsid w:val="007C5090"/>
    <w:rsid w:val="00874F47"/>
    <w:rsid w:val="00921B9B"/>
    <w:rsid w:val="00A02137"/>
    <w:rsid w:val="00A200CF"/>
    <w:rsid w:val="00AE3635"/>
    <w:rsid w:val="00B25F64"/>
    <w:rsid w:val="00C67D61"/>
    <w:rsid w:val="00DB02DC"/>
    <w:rsid w:val="00E4287D"/>
    <w:rsid w:val="00EA47D7"/>
    <w:rsid w:val="00EC6EE7"/>
    <w:rsid w:val="00F2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E4866-735A-498A-B7F6-935F35C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02D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2DC"/>
  </w:style>
  <w:style w:type="table" w:styleId="TableGrid">
    <w:name w:val="Table Grid"/>
    <w:basedOn w:val="TableNormal"/>
    <w:uiPriority w:val="39"/>
    <w:rsid w:val="00662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 Al-Zubaidi</dc:creator>
  <cp:keywords/>
  <dc:description/>
  <cp:lastModifiedBy>Arkan Al-Zubaidi</cp:lastModifiedBy>
  <cp:revision>4</cp:revision>
  <dcterms:created xsi:type="dcterms:W3CDTF">2019-04-02T11:13:00Z</dcterms:created>
  <dcterms:modified xsi:type="dcterms:W3CDTF">2019-04-02T18:17:00Z</dcterms:modified>
</cp:coreProperties>
</file>