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95CC" w14:textId="77777777" w:rsidR="00EF7031" w:rsidRDefault="00EF7031" w:rsidP="00EF703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TABLE S3. Summary of average (±SE) of alpha diversity indexes based in bacterial community of ileum and caecum in laying hens sequenced by Illumina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Miseq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Different indexes have been separated by gut region, sampling date and treatment. In treated group, laying hens were supplemented with </w:t>
      </w:r>
      <w:r w:rsidRPr="00946E02">
        <w:rPr>
          <w:rFonts w:ascii="Times New Roman" w:hAnsi="Times New Roman" w:cs="Times New Roman"/>
          <w:i/>
          <w:sz w:val="24"/>
          <w:szCs w:val="24"/>
          <w:lang w:val="en-US"/>
        </w:rPr>
        <w:t>Enterococcus faecalis</w:t>
      </w:r>
      <w:r w:rsidRPr="00B46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UGRA10. Sample size is also shown.</w:t>
      </w:r>
    </w:p>
    <w:p w14:paraId="2EC68C20" w14:textId="77777777" w:rsidR="00EF7031" w:rsidRDefault="00EF7031" w:rsidP="00EF703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1666"/>
        <w:gridCol w:w="2188"/>
        <w:gridCol w:w="497"/>
        <w:gridCol w:w="1812"/>
        <w:gridCol w:w="1773"/>
        <w:gridCol w:w="2381"/>
        <w:gridCol w:w="2722"/>
      </w:tblGrid>
      <w:tr w:rsidR="00EF7031" w:rsidRPr="009A2426" w14:paraId="3E00A619" w14:textId="77777777" w:rsidTr="006F57CA">
        <w:trPr>
          <w:trHeight w:val="189"/>
        </w:trPr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A7960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region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F11DE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Sampling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date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D621E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Experimental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group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9E506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405FF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Species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richness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6FA47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Pielou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evenness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C4C30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Faith’s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diversity index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39179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Shannon’s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diversity index</w:t>
            </w:r>
          </w:p>
        </w:tc>
      </w:tr>
      <w:tr w:rsidR="00EF7031" w:rsidRPr="009A2426" w14:paraId="13851F2C" w14:textId="77777777" w:rsidTr="006F57CA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F0F070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Ileum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4CCFB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40</w:t>
            </w: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days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8A049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Treatment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9E7F6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A13C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237.00 (8.13)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3E9C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0.76 (0.01)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A8E9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27.84 (0.8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BBFF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5.98 (0.12)</w:t>
            </w:r>
          </w:p>
        </w:tc>
      </w:tr>
      <w:tr w:rsidR="00EF7031" w:rsidRPr="009A2426" w14:paraId="548FAC40" w14:textId="77777777" w:rsidTr="006F57CA">
        <w:trPr>
          <w:trHeight w:val="31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9A66F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2ED28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E2AF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Control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53488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20E5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160.00 (8.24)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C2B8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0.79 (0.01)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B1EF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20.25 (1.07)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F44A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5.79 (0.10)</w:t>
            </w:r>
          </w:p>
        </w:tc>
      </w:tr>
      <w:tr w:rsidR="00EF7031" w:rsidRPr="009A2426" w14:paraId="6C307E15" w14:textId="77777777" w:rsidTr="006F57CA">
        <w:trPr>
          <w:trHeight w:val="31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FE659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4A8AB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76</w:t>
            </w: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days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774C5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Treatment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7A2CD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6843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224.67 (12.50)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D1B9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0.74 (0.02)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5198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26.64 (1.13)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EE38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5.76 (0.16)</w:t>
            </w:r>
          </w:p>
        </w:tc>
      </w:tr>
      <w:tr w:rsidR="00EF7031" w:rsidRPr="009A2426" w14:paraId="24F85498" w14:textId="77777777" w:rsidTr="006F57CA">
        <w:trPr>
          <w:trHeight w:val="31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1DE1F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313B8" w14:textId="77777777" w:rsidR="00EF7031" w:rsidRPr="00294205" w:rsidRDefault="00EF7031" w:rsidP="006F57CA">
            <w:pPr>
              <w:spacing w:after="0" w:line="360" w:lineRule="auto"/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8461E" w14:textId="77777777" w:rsidR="00EF7031" w:rsidRPr="00294205" w:rsidRDefault="00EF7031" w:rsidP="006F57CA">
            <w:pPr>
              <w:spacing w:after="0" w:line="360" w:lineRule="auto"/>
            </w:pPr>
            <w:r w:rsidRPr="00294205">
              <w:t>Control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E9A7" w14:textId="77777777" w:rsidR="00EF7031" w:rsidRPr="00294205" w:rsidRDefault="00EF7031" w:rsidP="006F57CA">
            <w:pPr>
              <w:spacing w:after="0" w:line="360" w:lineRule="auto"/>
              <w:jc w:val="center"/>
            </w:pPr>
            <w:r w:rsidRPr="00294205"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9612" w14:textId="77777777" w:rsidR="00EF7031" w:rsidRPr="00294205" w:rsidRDefault="00EF7031" w:rsidP="006F57CA">
            <w:pPr>
              <w:spacing w:after="0" w:line="360" w:lineRule="auto"/>
              <w:jc w:val="center"/>
            </w:pPr>
            <w:r w:rsidRPr="00294205">
              <w:t>207.50 (22.86)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E151" w14:textId="77777777" w:rsidR="00EF7031" w:rsidRPr="00294205" w:rsidRDefault="00EF7031" w:rsidP="006F57CA">
            <w:pPr>
              <w:spacing w:after="0" w:line="360" w:lineRule="auto"/>
              <w:jc w:val="center"/>
            </w:pPr>
            <w:r w:rsidRPr="00294205">
              <w:t>0.73 (0.03)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C3C9" w14:textId="77777777" w:rsidR="00EF7031" w:rsidRPr="00294205" w:rsidRDefault="00EF7031" w:rsidP="006F57CA">
            <w:pPr>
              <w:spacing w:after="0" w:line="360" w:lineRule="auto"/>
              <w:jc w:val="center"/>
            </w:pPr>
            <w:r w:rsidRPr="00294205">
              <w:t>24.84 (3.17)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AF6A" w14:textId="77777777" w:rsidR="00EF7031" w:rsidRPr="00294205" w:rsidRDefault="00EF7031" w:rsidP="006F57CA">
            <w:pPr>
              <w:spacing w:after="0" w:line="360" w:lineRule="auto"/>
              <w:jc w:val="center"/>
            </w:pPr>
            <w:r w:rsidRPr="00294205">
              <w:t>5.56 (0.30)</w:t>
            </w:r>
          </w:p>
        </w:tc>
      </w:tr>
      <w:tr w:rsidR="00EF7031" w:rsidRPr="009A2426" w14:paraId="3526D47D" w14:textId="77777777" w:rsidTr="006F57CA">
        <w:trPr>
          <w:trHeight w:val="31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211F3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Caecum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78319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40</w:t>
            </w: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days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D3E89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Treatment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C92F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11DA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167.00 (18.26)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A2BF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0.67 (0.03)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6F52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21.05 (2.00)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993F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4.95 (0.31)</w:t>
            </w:r>
          </w:p>
        </w:tc>
      </w:tr>
      <w:tr w:rsidR="00EF7031" w:rsidRPr="009A2426" w14:paraId="0D450A8F" w14:textId="77777777" w:rsidTr="006F57CA">
        <w:trPr>
          <w:trHeight w:val="31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287A4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A7C50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EBD1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Control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69A34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784E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159.40 (13.73)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4A1D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0.63 (0.04)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0517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20.62 (1.13)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12EE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4.61 (0.32)</w:t>
            </w:r>
          </w:p>
        </w:tc>
      </w:tr>
      <w:tr w:rsidR="00EF7031" w:rsidRPr="009A2426" w14:paraId="12BB8266" w14:textId="77777777" w:rsidTr="006F57CA">
        <w:trPr>
          <w:trHeight w:val="31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2B81D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DF1CC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76</w:t>
            </w: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days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200F7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Treatment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BE61D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ACF7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156.60 (14.28)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760B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0.68 (0.03)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56A5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20.19 (1.24)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B8D5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4.98 (0.30)</w:t>
            </w:r>
          </w:p>
        </w:tc>
      </w:tr>
      <w:tr w:rsidR="00EF7031" w:rsidRPr="009A2426" w14:paraId="371B66D3" w14:textId="77777777" w:rsidTr="006F57CA">
        <w:trPr>
          <w:trHeight w:val="330"/>
        </w:trPr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E862D51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540FC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1AE51A" w14:textId="77777777" w:rsidR="00EF7031" w:rsidRPr="009A2426" w:rsidRDefault="00EF7031" w:rsidP="006F57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Control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D40351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901158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147.50 (11.47)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62B6C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0.69 (0.02)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EC8887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17.76 (1.33)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E8905" w14:textId="77777777" w:rsidR="00EF7031" w:rsidRPr="009A2426" w:rsidRDefault="00EF7031" w:rsidP="006F57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A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4.96 (0.21)</w:t>
            </w:r>
          </w:p>
        </w:tc>
      </w:tr>
    </w:tbl>
    <w:p w14:paraId="3144769C" w14:textId="77777777" w:rsidR="00DB2D5C" w:rsidRDefault="00DB2D5C"/>
    <w:sectPr w:rsidR="00DB2D5C" w:rsidSect="00725B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31"/>
    <w:rsid w:val="00DB2D5C"/>
    <w:rsid w:val="00E0105E"/>
    <w:rsid w:val="00E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7AFC"/>
  <w15:chartTrackingRefBased/>
  <w15:docId w15:val="{A9C10584-C556-4FA7-A0E8-283D56DB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31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</dc:creator>
  <cp:keywords/>
  <dc:description/>
  <cp:lastModifiedBy>Frontiers</cp:lastModifiedBy>
  <cp:revision>2</cp:revision>
  <dcterms:created xsi:type="dcterms:W3CDTF">2019-05-14T10:50:00Z</dcterms:created>
  <dcterms:modified xsi:type="dcterms:W3CDTF">2019-05-14T10:50:00Z</dcterms:modified>
</cp:coreProperties>
</file>