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9A1" w:rsidRDefault="00943EC2">
      <w:pPr>
        <w:rPr>
          <w:b/>
          <w:sz w:val="32"/>
          <w:szCs w:val="32"/>
          <w:lang w:val="en-US"/>
        </w:rPr>
      </w:pPr>
      <w:r>
        <w:rPr>
          <w:b/>
          <w:sz w:val="32"/>
          <w:szCs w:val="32"/>
          <w:lang w:val="en-US"/>
        </w:rPr>
        <w:t>Supplementary Material</w:t>
      </w:r>
    </w:p>
    <w:p w:rsidR="00943EC2" w:rsidRDefault="00943EC2">
      <w:pPr>
        <w:rPr>
          <w:b/>
          <w:sz w:val="32"/>
          <w:szCs w:val="32"/>
          <w:lang w:val="en-US"/>
        </w:rPr>
      </w:pPr>
    </w:p>
    <w:p w:rsidR="00943EC2" w:rsidRPr="00943EC2" w:rsidRDefault="00943EC2" w:rsidP="00943EC2">
      <w:pPr>
        <w:spacing w:line="360" w:lineRule="auto"/>
        <w:jc w:val="both"/>
        <w:outlineLvl w:val="0"/>
        <w:rPr>
          <w:rFonts w:asciiTheme="majorBidi" w:hAnsiTheme="majorBidi" w:cstheme="majorBidi"/>
          <w:b/>
          <w:bCs/>
          <w:sz w:val="24"/>
          <w:szCs w:val="24"/>
        </w:rPr>
      </w:pPr>
      <w:r w:rsidRPr="00943EC2">
        <w:rPr>
          <w:rFonts w:asciiTheme="majorBidi" w:hAnsiTheme="majorBidi" w:cstheme="majorBidi"/>
          <w:b/>
          <w:bCs/>
          <w:sz w:val="24"/>
          <w:szCs w:val="24"/>
        </w:rPr>
        <w:t xml:space="preserve">Figure S1. Levels of L-lactate, 4-CIN and 3,5-DHBA in blood after </w:t>
      </w:r>
      <w:proofErr w:type="spellStart"/>
      <w:r w:rsidRPr="00943EC2">
        <w:rPr>
          <w:rFonts w:asciiTheme="majorBidi" w:hAnsiTheme="majorBidi" w:cstheme="majorBidi"/>
          <w:b/>
          <w:bCs/>
          <w:sz w:val="24"/>
          <w:szCs w:val="24"/>
        </w:rPr>
        <w:t>i.p</w:t>
      </w:r>
      <w:proofErr w:type="spellEnd"/>
      <w:r w:rsidRPr="00943EC2">
        <w:rPr>
          <w:rFonts w:asciiTheme="majorBidi" w:hAnsiTheme="majorBidi" w:cstheme="majorBidi"/>
          <w:b/>
          <w:bCs/>
          <w:sz w:val="24"/>
          <w:szCs w:val="24"/>
        </w:rPr>
        <w:t xml:space="preserve"> injection.</w:t>
      </w:r>
      <w:r w:rsidRPr="00943EC2">
        <w:rPr>
          <w:rFonts w:asciiTheme="majorBidi" w:hAnsiTheme="majorBidi" w:cstheme="majorBidi"/>
          <w:b/>
          <w:bCs/>
          <w:sz w:val="24"/>
          <w:szCs w:val="24"/>
        </w:rPr>
        <w:br/>
      </w:r>
      <w:r w:rsidRPr="00943EC2">
        <w:rPr>
          <w:rFonts w:asciiTheme="majorBidi" w:hAnsiTheme="majorBidi" w:cstheme="majorBidi"/>
          <w:sz w:val="24"/>
          <w:szCs w:val="24"/>
        </w:rPr>
        <w:t xml:space="preserve">Naïve mice were </w:t>
      </w:r>
      <w:proofErr w:type="spellStart"/>
      <w:r w:rsidRPr="00943EC2">
        <w:rPr>
          <w:rFonts w:asciiTheme="majorBidi" w:hAnsiTheme="majorBidi" w:cstheme="majorBidi"/>
          <w:sz w:val="24"/>
          <w:szCs w:val="24"/>
        </w:rPr>
        <w:t>i.p</w:t>
      </w:r>
      <w:proofErr w:type="spellEnd"/>
      <w:r w:rsidRPr="00943EC2">
        <w:rPr>
          <w:rFonts w:asciiTheme="majorBidi" w:hAnsiTheme="majorBidi" w:cstheme="majorBidi"/>
          <w:sz w:val="24"/>
          <w:szCs w:val="24"/>
        </w:rPr>
        <w:t xml:space="preserve"> injected with either L-lactate (n=8) or 4-CIN (n=3) or 3,5-DHBA (n=3)</w:t>
      </w:r>
      <w:r w:rsidRPr="00943EC2">
        <w:rPr>
          <w:rFonts w:asciiTheme="majorBidi" w:hAnsiTheme="majorBidi" w:cstheme="majorBidi"/>
          <w:sz w:val="24"/>
          <w:szCs w:val="24"/>
          <w:lang w:bidi="he-IL"/>
        </w:rPr>
        <w:t>.</w:t>
      </w:r>
      <w:r w:rsidRPr="00943EC2">
        <w:rPr>
          <w:rFonts w:asciiTheme="majorBidi" w:hAnsiTheme="majorBidi" w:cstheme="majorBidi"/>
          <w:sz w:val="24"/>
          <w:szCs w:val="24"/>
          <w:lang w:bidi="he-IL"/>
        </w:rPr>
        <w:br/>
        <w:t>Mice had access to food and water prior to injection. Blood concentrations were measured in several time points af</w:t>
      </w:r>
      <w:bookmarkStart w:id="0" w:name="_GoBack"/>
      <w:bookmarkEnd w:id="0"/>
      <w:r w:rsidRPr="00943EC2">
        <w:rPr>
          <w:rFonts w:asciiTheme="majorBidi" w:hAnsiTheme="majorBidi" w:cstheme="majorBidi"/>
          <w:sz w:val="24"/>
          <w:szCs w:val="24"/>
          <w:lang w:bidi="he-IL"/>
        </w:rPr>
        <w:t>ter the injection.</w:t>
      </w:r>
      <w:r w:rsidRPr="00943EC2">
        <w:rPr>
          <w:rFonts w:asciiTheme="majorBidi" w:hAnsiTheme="majorBidi" w:cstheme="majorBidi"/>
          <w:b/>
          <w:bCs/>
          <w:sz w:val="24"/>
          <w:szCs w:val="24"/>
        </w:rPr>
        <w:t xml:space="preserve"> (A).</w:t>
      </w:r>
      <w:r w:rsidRPr="00943EC2">
        <w:rPr>
          <w:rFonts w:asciiTheme="majorBidi" w:hAnsiTheme="majorBidi" w:cstheme="majorBidi"/>
          <w:sz w:val="24"/>
          <w:szCs w:val="24"/>
        </w:rPr>
        <w:t xml:space="preserve"> Blood-lactate concentrations were measured using the Lactate Pro 2. </w:t>
      </w:r>
      <w:r w:rsidRPr="00943EC2">
        <w:rPr>
          <w:rFonts w:asciiTheme="majorBidi" w:hAnsiTheme="majorBidi" w:cstheme="majorBidi"/>
          <w:sz w:val="24"/>
          <w:szCs w:val="24"/>
          <w:lang w:bidi="he-IL"/>
        </w:rPr>
        <w:t xml:space="preserve">Lactate levels peaked to 15.2±1.94mM at 15min (P&lt;0.0001) and decreased to baseline levels at 210min following </w:t>
      </w:r>
      <w:r w:rsidRPr="00943EC2">
        <w:rPr>
          <w:rFonts w:asciiTheme="majorBidi" w:hAnsiTheme="majorBidi" w:cstheme="majorBidi"/>
          <w:sz w:val="24"/>
          <w:szCs w:val="24"/>
        </w:rPr>
        <w:t>1.75gr/kg</w:t>
      </w:r>
      <w:r w:rsidRPr="00943EC2">
        <w:rPr>
          <w:rFonts w:asciiTheme="majorBidi" w:hAnsiTheme="majorBidi" w:cstheme="majorBidi"/>
          <w:sz w:val="24"/>
          <w:szCs w:val="24"/>
          <w:lang w:bidi="he-IL"/>
        </w:rPr>
        <w:t xml:space="preserve"> injection. </w:t>
      </w:r>
      <w:r w:rsidRPr="00943EC2">
        <w:rPr>
          <w:rFonts w:asciiTheme="majorBidi" w:hAnsiTheme="majorBidi" w:cstheme="majorBidi"/>
          <w:b/>
          <w:bCs/>
          <w:sz w:val="24"/>
          <w:szCs w:val="24"/>
        </w:rPr>
        <w:t xml:space="preserve">(B). </w:t>
      </w:r>
      <w:r w:rsidRPr="00943EC2">
        <w:rPr>
          <w:rFonts w:asciiTheme="majorBidi" w:hAnsiTheme="majorBidi" w:cstheme="majorBidi"/>
          <w:sz w:val="24"/>
          <w:szCs w:val="24"/>
        </w:rPr>
        <w:t xml:space="preserve">Blood-4-CIN concentrations were </w:t>
      </w:r>
      <w:proofErr w:type="spellStart"/>
      <w:r w:rsidRPr="00943EC2">
        <w:rPr>
          <w:rFonts w:asciiTheme="majorBidi" w:hAnsiTheme="majorBidi" w:cstheme="majorBidi"/>
          <w:sz w:val="24"/>
          <w:szCs w:val="24"/>
        </w:rPr>
        <w:t>analyzed</w:t>
      </w:r>
      <w:proofErr w:type="spellEnd"/>
      <w:r w:rsidRPr="00943EC2">
        <w:rPr>
          <w:rFonts w:asciiTheme="majorBidi" w:hAnsiTheme="majorBidi" w:cstheme="majorBidi"/>
          <w:sz w:val="24"/>
          <w:szCs w:val="24"/>
        </w:rPr>
        <w:t xml:space="preserve"> by HPLC.</w:t>
      </w:r>
      <w:r w:rsidRPr="00943EC2">
        <w:rPr>
          <w:rFonts w:asciiTheme="majorBidi" w:hAnsiTheme="majorBidi" w:cstheme="majorBidi"/>
          <w:sz w:val="24"/>
          <w:szCs w:val="24"/>
          <w:lang w:bidi="he-IL"/>
        </w:rPr>
        <w:t xml:space="preserve"> Levels of 4-CIN in the blood peaked rapidly at 20.3µM, 10min following injection, and decreased to baseline levels at 4h following</w:t>
      </w:r>
      <w:r w:rsidRPr="00943EC2">
        <w:rPr>
          <w:rFonts w:asciiTheme="majorBidi" w:hAnsiTheme="majorBidi" w:cstheme="majorBidi"/>
          <w:sz w:val="24"/>
          <w:szCs w:val="24"/>
        </w:rPr>
        <w:t xml:space="preserve"> 90mg/kg</w:t>
      </w:r>
      <w:r w:rsidRPr="00943EC2">
        <w:rPr>
          <w:rFonts w:asciiTheme="majorBidi" w:hAnsiTheme="majorBidi" w:cstheme="majorBidi"/>
          <w:sz w:val="24"/>
          <w:szCs w:val="24"/>
          <w:lang w:bidi="he-IL"/>
        </w:rPr>
        <w:t xml:space="preserve"> injection</w:t>
      </w:r>
      <w:r w:rsidRPr="00943EC2">
        <w:rPr>
          <w:rFonts w:asciiTheme="majorBidi" w:hAnsiTheme="majorBidi" w:cstheme="majorBidi"/>
          <w:b/>
          <w:bCs/>
          <w:sz w:val="24"/>
          <w:szCs w:val="24"/>
        </w:rPr>
        <w:t xml:space="preserve"> (C).</w:t>
      </w:r>
      <w:r w:rsidRPr="00943EC2">
        <w:rPr>
          <w:rFonts w:asciiTheme="majorBidi" w:hAnsiTheme="majorBidi" w:cstheme="majorBidi"/>
          <w:sz w:val="24"/>
          <w:szCs w:val="24"/>
        </w:rPr>
        <w:t xml:space="preserve"> Blood-3,5-DHBA</w:t>
      </w:r>
      <w:r w:rsidRPr="00943EC2">
        <w:rPr>
          <w:rFonts w:asciiTheme="majorBidi" w:hAnsiTheme="majorBidi" w:cstheme="majorBidi"/>
          <w:sz w:val="24"/>
          <w:szCs w:val="24"/>
          <w:lang w:bidi="he-IL"/>
        </w:rPr>
        <w:t xml:space="preserve"> </w:t>
      </w:r>
      <w:r w:rsidRPr="00943EC2">
        <w:rPr>
          <w:rFonts w:asciiTheme="majorBidi" w:hAnsiTheme="majorBidi" w:cstheme="majorBidi"/>
          <w:sz w:val="24"/>
          <w:szCs w:val="24"/>
        </w:rPr>
        <w:t xml:space="preserve">concentrations were </w:t>
      </w:r>
      <w:proofErr w:type="spellStart"/>
      <w:r w:rsidRPr="00943EC2">
        <w:rPr>
          <w:rFonts w:asciiTheme="majorBidi" w:hAnsiTheme="majorBidi" w:cstheme="majorBidi"/>
          <w:sz w:val="24"/>
          <w:szCs w:val="24"/>
        </w:rPr>
        <w:t>analyzed</w:t>
      </w:r>
      <w:proofErr w:type="spellEnd"/>
      <w:r w:rsidRPr="00943EC2">
        <w:rPr>
          <w:rFonts w:asciiTheme="majorBidi" w:hAnsiTheme="majorBidi" w:cstheme="majorBidi"/>
          <w:sz w:val="24"/>
          <w:szCs w:val="24"/>
        </w:rPr>
        <w:t xml:space="preserve"> by HPLC. Levels of 3,5-DHBA</w:t>
      </w:r>
      <w:r w:rsidRPr="00943EC2">
        <w:rPr>
          <w:rFonts w:asciiTheme="majorBidi" w:hAnsiTheme="majorBidi" w:cstheme="majorBidi"/>
          <w:sz w:val="24"/>
          <w:szCs w:val="24"/>
          <w:lang w:bidi="he-IL"/>
        </w:rPr>
        <w:t xml:space="preserve"> peaked rapidly at 1.75mM 30min following injection and decreased to baseline levels at 4h following 270mg/kg injection</w:t>
      </w:r>
      <w:r w:rsidRPr="00943EC2">
        <w:rPr>
          <w:rFonts w:asciiTheme="majorBidi" w:hAnsiTheme="majorBidi" w:cstheme="majorBidi"/>
          <w:sz w:val="24"/>
          <w:szCs w:val="24"/>
        </w:rPr>
        <w:t>.</w:t>
      </w:r>
    </w:p>
    <w:p w:rsidR="00943EC2" w:rsidRPr="00943EC2" w:rsidRDefault="00943EC2" w:rsidP="00943EC2">
      <w:pPr>
        <w:spacing w:line="360" w:lineRule="auto"/>
        <w:outlineLvl w:val="0"/>
        <w:rPr>
          <w:rFonts w:asciiTheme="majorBidi" w:hAnsiTheme="majorBidi" w:cstheme="majorBidi"/>
          <w:b/>
          <w:bCs/>
          <w:sz w:val="24"/>
          <w:szCs w:val="24"/>
        </w:rPr>
      </w:pPr>
    </w:p>
    <w:p w:rsidR="00943EC2" w:rsidRPr="00943EC2" w:rsidRDefault="00943EC2" w:rsidP="00943EC2">
      <w:pPr>
        <w:spacing w:line="360" w:lineRule="auto"/>
        <w:jc w:val="both"/>
        <w:outlineLvl w:val="0"/>
        <w:rPr>
          <w:rFonts w:asciiTheme="majorBidi" w:hAnsiTheme="majorBidi" w:cstheme="majorBidi"/>
          <w:sz w:val="24"/>
          <w:szCs w:val="24"/>
          <w:lang w:bidi="he-IL"/>
        </w:rPr>
      </w:pPr>
      <w:r w:rsidRPr="00943EC2">
        <w:rPr>
          <w:rFonts w:asciiTheme="majorBidi" w:hAnsiTheme="majorBidi" w:cstheme="majorBidi"/>
          <w:b/>
          <w:bCs/>
          <w:sz w:val="24"/>
          <w:szCs w:val="24"/>
        </w:rPr>
        <w:t xml:space="preserve">Figure S2. Validation of </w:t>
      </w:r>
      <w:proofErr w:type="spellStart"/>
      <w:r w:rsidRPr="00943EC2">
        <w:rPr>
          <w:rFonts w:asciiTheme="majorBidi" w:hAnsiTheme="majorBidi" w:cstheme="majorBidi"/>
          <w:b/>
          <w:bCs/>
          <w:sz w:val="24"/>
          <w:szCs w:val="24"/>
        </w:rPr>
        <w:t>BrDU</w:t>
      </w:r>
      <w:proofErr w:type="spellEnd"/>
      <w:r w:rsidRPr="00943EC2">
        <w:rPr>
          <w:rFonts w:asciiTheme="majorBidi" w:hAnsiTheme="majorBidi" w:cstheme="majorBidi"/>
          <w:b/>
          <w:bCs/>
          <w:sz w:val="24"/>
          <w:szCs w:val="24"/>
        </w:rPr>
        <w:t xml:space="preserve"> co-expression with the cellular identity markers </w:t>
      </w:r>
      <w:proofErr w:type="spellStart"/>
      <w:r w:rsidRPr="00943EC2">
        <w:rPr>
          <w:rFonts w:asciiTheme="majorBidi" w:hAnsiTheme="majorBidi" w:cstheme="majorBidi"/>
          <w:b/>
          <w:bCs/>
          <w:sz w:val="24"/>
          <w:szCs w:val="24"/>
        </w:rPr>
        <w:t>NeuN</w:t>
      </w:r>
      <w:proofErr w:type="spellEnd"/>
      <w:r w:rsidRPr="00943EC2">
        <w:rPr>
          <w:rFonts w:asciiTheme="majorBidi" w:hAnsiTheme="majorBidi" w:cstheme="majorBidi"/>
          <w:b/>
          <w:bCs/>
          <w:sz w:val="24"/>
          <w:szCs w:val="24"/>
        </w:rPr>
        <w:t xml:space="preserve">, Sox2 and DCX. </w:t>
      </w:r>
      <w:r w:rsidRPr="00943EC2">
        <w:rPr>
          <w:rFonts w:asciiTheme="majorBidi" w:hAnsiTheme="majorBidi" w:cstheme="majorBidi"/>
          <w:sz w:val="24"/>
          <w:szCs w:val="24"/>
        </w:rPr>
        <w:t xml:space="preserve">Hippocampal slices were co-stained for </w:t>
      </w:r>
      <w:proofErr w:type="spellStart"/>
      <w:r w:rsidRPr="00943EC2">
        <w:rPr>
          <w:rFonts w:asciiTheme="majorBidi" w:hAnsiTheme="majorBidi" w:cstheme="majorBidi"/>
          <w:sz w:val="24"/>
          <w:szCs w:val="24"/>
        </w:rPr>
        <w:t>BrdU</w:t>
      </w:r>
      <w:proofErr w:type="spellEnd"/>
      <w:r w:rsidRPr="00943EC2">
        <w:rPr>
          <w:rFonts w:asciiTheme="majorBidi" w:hAnsiTheme="majorBidi" w:cstheme="majorBidi"/>
          <w:sz w:val="24"/>
          <w:szCs w:val="24"/>
        </w:rPr>
        <w:t xml:space="preserve"> and markers </w:t>
      </w:r>
      <w:proofErr w:type="spellStart"/>
      <w:r w:rsidRPr="00943EC2">
        <w:rPr>
          <w:rFonts w:asciiTheme="majorBidi" w:hAnsiTheme="majorBidi" w:cstheme="majorBidi"/>
          <w:sz w:val="24"/>
          <w:szCs w:val="24"/>
        </w:rPr>
        <w:t>NeuN</w:t>
      </w:r>
      <w:proofErr w:type="spellEnd"/>
      <w:r w:rsidRPr="00943EC2">
        <w:rPr>
          <w:rFonts w:asciiTheme="majorBidi" w:hAnsiTheme="majorBidi" w:cstheme="majorBidi"/>
          <w:sz w:val="24"/>
          <w:szCs w:val="24"/>
        </w:rPr>
        <w:t xml:space="preserve">, Sox2 and DCX for analysis using confocal microscopy. </w:t>
      </w:r>
      <w:r w:rsidRPr="00943EC2">
        <w:rPr>
          <w:rFonts w:asciiTheme="majorBidi" w:hAnsiTheme="majorBidi" w:cstheme="majorBidi"/>
          <w:b/>
          <w:bCs/>
          <w:sz w:val="24"/>
          <w:szCs w:val="24"/>
        </w:rPr>
        <w:t xml:space="preserve">(A) </w:t>
      </w:r>
      <w:r w:rsidRPr="00943EC2">
        <w:rPr>
          <w:rFonts w:asciiTheme="majorBidi" w:hAnsiTheme="majorBidi" w:cstheme="majorBidi"/>
          <w:sz w:val="24"/>
          <w:szCs w:val="24"/>
        </w:rPr>
        <w:t xml:space="preserve">Left panels: </w:t>
      </w:r>
      <w:proofErr w:type="spellStart"/>
      <w:r w:rsidRPr="00943EC2">
        <w:rPr>
          <w:rFonts w:asciiTheme="majorBidi" w:hAnsiTheme="majorBidi" w:cstheme="majorBidi"/>
          <w:sz w:val="24"/>
          <w:szCs w:val="24"/>
        </w:rPr>
        <w:t>BrDU</w:t>
      </w:r>
      <w:r w:rsidRPr="00943EC2">
        <w:rPr>
          <w:rFonts w:asciiTheme="majorBidi" w:hAnsiTheme="majorBidi" w:cstheme="majorBidi"/>
          <w:sz w:val="24"/>
          <w:szCs w:val="24"/>
          <w:vertAlign w:val="superscript"/>
        </w:rPr>
        <w:t>+</w:t>
      </w:r>
      <w:r w:rsidRPr="00943EC2">
        <w:rPr>
          <w:rFonts w:asciiTheme="majorBidi" w:hAnsiTheme="majorBidi" w:cstheme="majorBidi"/>
          <w:sz w:val="24"/>
          <w:szCs w:val="24"/>
        </w:rPr>
        <w:t>NeuN</w:t>
      </w:r>
      <w:proofErr w:type="spellEnd"/>
      <w:r w:rsidRPr="00943EC2">
        <w:rPr>
          <w:rFonts w:asciiTheme="majorBidi" w:hAnsiTheme="majorBidi" w:cstheme="majorBidi"/>
          <w:sz w:val="24"/>
          <w:szCs w:val="24"/>
          <w:vertAlign w:val="superscript"/>
        </w:rPr>
        <w:t>+</w:t>
      </w:r>
      <w:r w:rsidRPr="00943EC2">
        <w:rPr>
          <w:rFonts w:asciiTheme="majorBidi" w:hAnsiTheme="majorBidi" w:cstheme="majorBidi"/>
          <w:sz w:val="24"/>
          <w:szCs w:val="24"/>
        </w:rPr>
        <w:t xml:space="preserve"> cells show co-expression in the cell nucleus. Right panel: expression histogram. </w:t>
      </w:r>
      <w:r w:rsidRPr="00943EC2">
        <w:rPr>
          <w:rFonts w:asciiTheme="majorBidi" w:hAnsiTheme="majorBidi" w:cstheme="majorBidi"/>
          <w:b/>
          <w:bCs/>
          <w:sz w:val="24"/>
          <w:szCs w:val="24"/>
        </w:rPr>
        <w:t xml:space="preserve">(B) </w:t>
      </w:r>
      <w:r w:rsidRPr="00943EC2">
        <w:rPr>
          <w:rFonts w:asciiTheme="majorBidi" w:hAnsiTheme="majorBidi" w:cstheme="majorBidi"/>
          <w:sz w:val="24"/>
          <w:szCs w:val="24"/>
        </w:rPr>
        <w:t>Left panel: BrDU</w:t>
      </w:r>
      <w:r w:rsidRPr="00943EC2">
        <w:rPr>
          <w:rFonts w:asciiTheme="majorBidi" w:hAnsiTheme="majorBidi" w:cstheme="majorBidi"/>
          <w:sz w:val="24"/>
          <w:szCs w:val="24"/>
          <w:vertAlign w:val="superscript"/>
        </w:rPr>
        <w:t>+</w:t>
      </w:r>
      <w:r w:rsidRPr="00943EC2">
        <w:rPr>
          <w:rFonts w:asciiTheme="majorBidi" w:hAnsiTheme="majorBidi" w:cstheme="majorBidi"/>
          <w:sz w:val="24"/>
          <w:szCs w:val="24"/>
        </w:rPr>
        <w:t>Sox2</w:t>
      </w:r>
      <w:r w:rsidRPr="00943EC2">
        <w:rPr>
          <w:rFonts w:asciiTheme="majorBidi" w:hAnsiTheme="majorBidi" w:cstheme="majorBidi"/>
          <w:sz w:val="24"/>
          <w:szCs w:val="24"/>
          <w:vertAlign w:val="superscript"/>
        </w:rPr>
        <w:t>+</w:t>
      </w:r>
      <w:r w:rsidRPr="00943EC2">
        <w:rPr>
          <w:rFonts w:asciiTheme="majorBidi" w:hAnsiTheme="majorBidi" w:cstheme="majorBidi"/>
          <w:sz w:val="24"/>
          <w:szCs w:val="24"/>
        </w:rPr>
        <w:t xml:space="preserve"> cells in the </w:t>
      </w:r>
      <w:proofErr w:type="spellStart"/>
      <w:r w:rsidRPr="00943EC2">
        <w:rPr>
          <w:rFonts w:asciiTheme="majorBidi" w:hAnsiTheme="majorBidi" w:cstheme="majorBidi"/>
          <w:sz w:val="24"/>
          <w:szCs w:val="24"/>
        </w:rPr>
        <w:t>subgranular</w:t>
      </w:r>
      <w:proofErr w:type="spellEnd"/>
      <w:r w:rsidRPr="00943EC2">
        <w:rPr>
          <w:rFonts w:asciiTheme="majorBidi" w:hAnsiTheme="majorBidi" w:cstheme="majorBidi"/>
          <w:sz w:val="24"/>
          <w:szCs w:val="24"/>
        </w:rPr>
        <w:t xml:space="preserve"> layer are indicated with white arrows. Middle panels: BrDU</w:t>
      </w:r>
      <w:r w:rsidRPr="00943EC2">
        <w:rPr>
          <w:rFonts w:asciiTheme="majorBidi" w:hAnsiTheme="majorBidi" w:cstheme="majorBidi"/>
          <w:sz w:val="24"/>
          <w:szCs w:val="24"/>
          <w:vertAlign w:val="superscript"/>
        </w:rPr>
        <w:t>+</w:t>
      </w:r>
      <w:r w:rsidRPr="00943EC2">
        <w:rPr>
          <w:rFonts w:asciiTheme="majorBidi" w:hAnsiTheme="majorBidi" w:cstheme="majorBidi"/>
          <w:sz w:val="24"/>
          <w:szCs w:val="24"/>
        </w:rPr>
        <w:t>Sox2</w:t>
      </w:r>
      <w:r w:rsidRPr="00943EC2">
        <w:rPr>
          <w:rFonts w:asciiTheme="majorBidi" w:hAnsiTheme="majorBidi" w:cstheme="majorBidi"/>
          <w:sz w:val="24"/>
          <w:szCs w:val="24"/>
          <w:vertAlign w:val="superscript"/>
        </w:rPr>
        <w:t>+</w:t>
      </w:r>
      <w:r w:rsidRPr="00943EC2">
        <w:rPr>
          <w:rFonts w:asciiTheme="majorBidi" w:hAnsiTheme="majorBidi" w:cstheme="majorBidi"/>
          <w:sz w:val="24"/>
          <w:szCs w:val="24"/>
        </w:rPr>
        <w:t xml:space="preserve"> cells show co-expression in the cell nucleus. Right panel: expression histogram.  </w:t>
      </w:r>
      <w:r w:rsidRPr="00943EC2">
        <w:rPr>
          <w:rFonts w:asciiTheme="majorBidi" w:hAnsiTheme="majorBidi" w:cstheme="majorBidi"/>
          <w:b/>
          <w:bCs/>
          <w:sz w:val="24"/>
          <w:szCs w:val="24"/>
        </w:rPr>
        <w:t xml:space="preserve">(C) </w:t>
      </w:r>
      <w:r w:rsidRPr="00943EC2">
        <w:rPr>
          <w:rFonts w:asciiTheme="majorBidi" w:hAnsiTheme="majorBidi" w:cstheme="majorBidi"/>
          <w:sz w:val="24"/>
          <w:szCs w:val="24"/>
        </w:rPr>
        <w:t>Left panel: BrDU</w:t>
      </w:r>
      <w:r w:rsidRPr="00943EC2">
        <w:rPr>
          <w:rFonts w:asciiTheme="majorBidi" w:hAnsiTheme="majorBidi" w:cstheme="majorBidi"/>
          <w:sz w:val="24"/>
          <w:szCs w:val="24"/>
          <w:vertAlign w:val="superscript"/>
        </w:rPr>
        <w:t>+</w:t>
      </w:r>
      <w:r w:rsidRPr="00943EC2">
        <w:rPr>
          <w:rFonts w:asciiTheme="majorBidi" w:hAnsiTheme="majorBidi" w:cstheme="majorBidi"/>
          <w:sz w:val="24"/>
          <w:szCs w:val="24"/>
        </w:rPr>
        <w:t>Dcx2</w:t>
      </w:r>
      <w:r w:rsidRPr="00943EC2">
        <w:rPr>
          <w:rFonts w:asciiTheme="majorBidi" w:hAnsiTheme="majorBidi" w:cstheme="majorBidi"/>
          <w:sz w:val="24"/>
          <w:szCs w:val="24"/>
          <w:vertAlign w:val="superscript"/>
        </w:rPr>
        <w:t>+</w:t>
      </w:r>
      <w:r w:rsidRPr="00943EC2">
        <w:rPr>
          <w:rFonts w:asciiTheme="majorBidi" w:hAnsiTheme="majorBidi" w:cstheme="majorBidi"/>
          <w:sz w:val="24"/>
          <w:szCs w:val="24"/>
        </w:rPr>
        <w:t xml:space="preserve"> cells in the </w:t>
      </w:r>
      <w:proofErr w:type="spellStart"/>
      <w:r w:rsidRPr="00943EC2">
        <w:rPr>
          <w:rFonts w:asciiTheme="majorBidi" w:hAnsiTheme="majorBidi" w:cstheme="majorBidi"/>
          <w:sz w:val="24"/>
          <w:szCs w:val="24"/>
        </w:rPr>
        <w:t>subgranular</w:t>
      </w:r>
      <w:proofErr w:type="spellEnd"/>
      <w:r w:rsidRPr="00943EC2">
        <w:rPr>
          <w:rFonts w:asciiTheme="majorBidi" w:hAnsiTheme="majorBidi" w:cstheme="majorBidi"/>
          <w:sz w:val="24"/>
          <w:szCs w:val="24"/>
        </w:rPr>
        <w:t xml:space="preserve"> layer are indicated with white arrows. Middle panels: </w:t>
      </w:r>
      <w:proofErr w:type="spellStart"/>
      <w:r w:rsidRPr="00943EC2">
        <w:rPr>
          <w:rFonts w:asciiTheme="majorBidi" w:hAnsiTheme="majorBidi" w:cstheme="majorBidi"/>
          <w:sz w:val="24"/>
          <w:szCs w:val="24"/>
        </w:rPr>
        <w:t>BrDU</w:t>
      </w:r>
      <w:r w:rsidRPr="00943EC2">
        <w:rPr>
          <w:rFonts w:asciiTheme="majorBidi" w:hAnsiTheme="majorBidi" w:cstheme="majorBidi"/>
          <w:sz w:val="24"/>
          <w:szCs w:val="24"/>
          <w:vertAlign w:val="superscript"/>
        </w:rPr>
        <w:t>+</w:t>
      </w:r>
      <w:r w:rsidRPr="00943EC2">
        <w:rPr>
          <w:rFonts w:asciiTheme="majorBidi" w:hAnsiTheme="majorBidi" w:cstheme="majorBidi"/>
          <w:sz w:val="24"/>
          <w:szCs w:val="24"/>
        </w:rPr>
        <w:t>Dcx</w:t>
      </w:r>
      <w:proofErr w:type="spellEnd"/>
      <w:r w:rsidRPr="00943EC2">
        <w:rPr>
          <w:rFonts w:asciiTheme="majorBidi" w:hAnsiTheme="majorBidi" w:cstheme="majorBidi"/>
          <w:sz w:val="24"/>
          <w:szCs w:val="24"/>
          <w:vertAlign w:val="superscript"/>
        </w:rPr>
        <w:t>+</w:t>
      </w:r>
      <w:r w:rsidRPr="00943EC2">
        <w:rPr>
          <w:rFonts w:asciiTheme="majorBidi" w:hAnsiTheme="majorBidi" w:cstheme="majorBidi"/>
          <w:sz w:val="24"/>
          <w:szCs w:val="24"/>
        </w:rPr>
        <w:t xml:space="preserve"> cells show co-expression of </w:t>
      </w:r>
      <w:proofErr w:type="spellStart"/>
      <w:r w:rsidRPr="00943EC2">
        <w:rPr>
          <w:rFonts w:asciiTheme="majorBidi" w:hAnsiTheme="majorBidi" w:cstheme="majorBidi"/>
          <w:sz w:val="24"/>
          <w:szCs w:val="24"/>
        </w:rPr>
        <w:t>BrDU</w:t>
      </w:r>
      <w:proofErr w:type="spellEnd"/>
      <w:r w:rsidRPr="00943EC2">
        <w:rPr>
          <w:rFonts w:asciiTheme="majorBidi" w:hAnsiTheme="majorBidi" w:cstheme="majorBidi"/>
          <w:sz w:val="24"/>
          <w:szCs w:val="24"/>
        </w:rPr>
        <w:t xml:space="preserve"> in the nucleus of cells with cytoplasmic expression of </w:t>
      </w:r>
      <w:proofErr w:type="spellStart"/>
      <w:r w:rsidRPr="00943EC2">
        <w:rPr>
          <w:rFonts w:asciiTheme="majorBidi" w:hAnsiTheme="majorBidi" w:cstheme="majorBidi"/>
          <w:sz w:val="24"/>
          <w:szCs w:val="24"/>
        </w:rPr>
        <w:t>Dcx</w:t>
      </w:r>
      <w:proofErr w:type="spellEnd"/>
      <w:r w:rsidRPr="00943EC2">
        <w:rPr>
          <w:rFonts w:asciiTheme="majorBidi" w:hAnsiTheme="majorBidi" w:cstheme="majorBidi"/>
          <w:sz w:val="24"/>
          <w:szCs w:val="24"/>
        </w:rPr>
        <w:t>. Right panel: expression histogram.</w:t>
      </w:r>
    </w:p>
    <w:p w:rsidR="00943EC2" w:rsidRPr="00943EC2" w:rsidRDefault="00943EC2" w:rsidP="00943EC2">
      <w:pPr>
        <w:spacing w:line="360" w:lineRule="auto"/>
        <w:outlineLvl w:val="0"/>
        <w:rPr>
          <w:rFonts w:asciiTheme="majorBidi" w:hAnsiTheme="majorBidi" w:cstheme="majorBidi"/>
          <w:sz w:val="24"/>
          <w:szCs w:val="24"/>
        </w:rPr>
      </w:pPr>
    </w:p>
    <w:p w:rsidR="00943EC2" w:rsidRPr="00943EC2" w:rsidRDefault="00943EC2" w:rsidP="00943EC2">
      <w:pPr>
        <w:spacing w:line="360" w:lineRule="auto"/>
        <w:jc w:val="both"/>
        <w:rPr>
          <w:rFonts w:asciiTheme="majorBidi" w:hAnsiTheme="majorBidi" w:cstheme="majorBidi"/>
          <w:sz w:val="24"/>
          <w:szCs w:val="24"/>
          <w:lang w:bidi="he-IL"/>
        </w:rPr>
      </w:pPr>
      <w:r w:rsidRPr="00943EC2">
        <w:rPr>
          <w:rFonts w:asciiTheme="majorBidi" w:hAnsiTheme="majorBidi" w:cstheme="majorBidi"/>
          <w:b/>
          <w:bCs/>
          <w:sz w:val="24"/>
          <w:szCs w:val="24"/>
        </w:rPr>
        <w:t>Figure S3.</w:t>
      </w:r>
      <w:r w:rsidRPr="00943EC2">
        <w:rPr>
          <w:rFonts w:asciiTheme="majorBidi" w:hAnsiTheme="majorBidi" w:cstheme="majorBidi"/>
          <w:sz w:val="24"/>
          <w:szCs w:val="24"/>
          <w:lang w:bidi="he-IL"/>
        </w:rPr>
        <w:t xml:space="preserve"> </w:t>
      </w:r>
      <w:r w:rsidRPr="00943EC2">
        <w:rPr>
          <w:rFonts w:asciiTheme="majorBidi" w:hAnsiTheme="majorBidi" w:cstheme="majorBidi"/>
          <w:b/>
          <w:bCs/>
          <w:sz w:val="24"/>
          <w:szCs w:val="24"/>
          <w:lang w:bidi="he-IL"/>
        </w:rPr>
        <w:t>L-lactate, 4-CIN or 3,5-DHBA do not affect DG volume</w:t>
      </w:r>
      <w:r w:rsidRPr="00943EC2">
        <w:rPr>
          <w:rFonts w:asciiTheme="majorBidi" w:hAnsiTheme="majorBidi" w:cstheme="majorBidi"/>
          <w:sz w:val="24"/>
          <w:szCs w:val="24"/>
        </w:rPr>
        <w:t xml:space="preserve">. DG volume of mice treated with L-lactate, PBS, 4-CIN, 4CIN followed by L-lactate, or 3,5-DHBA for the analysis of </w:t>
      </w:r>
      <w:proofErr w:type="spellStart"/>
      <w:r w:rsidRPr="00943EC2">
        <w:rPr>
          <w:rFonts w:asciiTheme="majorBidi" w:hAnsiTheme="majorBidi" w:cstheme="majorBidi"/>
          <w:sz w:val="24"/>
          <w:szCs w:val="24"/>
        </w:rPr>
        <w:t>NeuN</w:t>
      </w:r>
      <w:proofErr w:type="spellEnd"/>
      <w:r w:rsidRPr="00943EC2">
        <w:rPr>
          <w:rFonts w:asciiTheme="majorBidi" w:hAnsiTheme="majorBidi" w:cstheme="majorBidi"/>
          <w:sz w:val="24"/>
          <w:szCs w:val="24"/>
          <w:vertAlign w:val="superscript"/>
        </w:rPr>
        <w:t>+</w:t>
      </w:r>
      <w:r w:rsidRPr="00943EC2">
        <w:rPr>
          <w:rFonts w:asciiTheme="majorBidi" w:hAnsiTheme="majorBidi" w:cstheme="majorBidi"/>
          <w:sz w:val="24"/>
          <w:szCs w:val="24"/>
        </w:rPr>
        <w:t>/</w:t>
      </w:r>
      <w:proofErr w:type="spellStart"/>
      <w:r w:rsidRPr="00943EC2">
        <w:rPr>
          <w:rFonts w:asciiTheme="majorBidi" w:hAnsiTheme="majorBidi" w:cstheme="majorBidi"/>
          <w:sz w:val="24"/>
          <w:szCs w:val="24"/>
        </w:rPr>
        <w:t>BrdU</w:t>
      </w:r>
      <w:proofErr w:type="spellEnd"/>
      <w:r w:rsidRPr="00943EC2">
        <w:rPr>
          <w:rFonts w:asciiTheme="majorBidi" w:hAnsiTheme="majorBidi" w:cstheme="majorBidi"/>
          <w:sz w:val="24"/>
          <w:szCs w:val="24"/>
          <w:vertAlign w:val="superscript"/>
        </w:rPr>
        <w:t>+</w:t>
      </w:r>
      <w:r w:rsidRPr="00943EC2">
        <w:rPr>
          <w:rFonts w:asciiTheme="majorBidi" w:hAnsiTheme="majorBidi" w:cstheme="majorBidi"/>
          <w:sz w:val="24"/>
          <w:szCs w:val="24"/>
        </w:rPr>
        <w:t xml:space="preserve">. </w:t>
      </w:r>
      <w:r w:rsidRPr="00943EC2">
        <w:rPr>
          <w:rFonts w:asciiTheme="majorBidi" w:hAnsiTheme="majorBidi" w:cstheme="majorBidi"/>
          <w:sz w:val="24"/>
          <w:szCs w:val="24"/>
          <w:lang w:bidi="he-IL"/>
        </w:rPr>
        <w:t xml:space="preserve">DG volume did not alter between the treatments (P&gt;0.05). </w:t>
      </w:r>
    </w:p>
    <w:p w:rsidR="00943EC2" w:rsidRPr="00943EC2" w:rsidRDefault="00943EC2" w:rsidP="00943EC2">
      <w:pPr>
        <w:spacing w:line="360" w:lineRule="auto"/>
        <w:outlineLvl w:val="0"/>
        <w:rPr>
          <w:rFonts w:asciiTheme="majorBidi" w:hAnsiTheme="majorBidi" w:cstheme="majorBidi"/>
          <w:b/>
          <w:bCs/>
          <w:sz w:val="24"/>
          <w:szCs w:val="24"/>
        </w:rPr>
      </w:pPr>
    </w:p>
    <w:p w:rsidR="00943EC2" w:rsidRPr="00943EC2" w:rsidRDefault="00943EC2" w:rsidP="00943EC2">
      <w:pPr>
        <w:spacing w:line="360" w:lineRule="auto"/>
        <w:jc w:val="both"/>
        <w:outlineLvl w:val="0"/>
        <w:rPr>
          <w:rFonts w:asciiTheme="majorBidi" w:hAnsiTheme="majorBidi" w:cstheme="majorBidi"/>
          <w:b/>
          <w:bCs/>
          <w:sz w:val="24"/>
          <w:szCs w:val="24"/>
        </w:rPr>
      </w:pPr>
      <w:r w:rsidRPr="00943EC2">
        <w:rPr>
          <w:rFonts w:asciiTheme="majorBidi" w:hAnsiTheme="majorBidi" w:cstheme="majorBidi"/>
          <w:b/>
          <w:bCs/>
          <w:sz w:val="24"/>
          <w:szCs w:val="24"/>
        </w:rPr>
        <w:t xml:space="preserve">Figure S4. Body composition analysis. </w:t>
      </w:r>
      <w:r w:rsidRPr="00943EC2">
        <w:rPr>
          <w:rFonts w:asciiTheme="majorBidi" w:eastAsia="SabonLTStd-Roman" w:hAnsiTheme="majorBidi" w:cstheme="majorBidi"/>
          <w:sz w:val="24"/>
          <w:szCs w:val="24"/>
          <w:lang w:bidi="he-IL"/>
        </w:rPr>
        <w:t>Mice (</w:t>
      </w:r>
      <w:r w:rsidRPr="00943EC2">
        <w:rPr>
          <w:rFonts w:asciiTheme="majorBidi" w:hAnsiTheme="majorBidi" w:cstheme="majorBidi"/>
          <w:sz w:val="24"/>
          <w:szCs w:val="24"/>
        </w:rPr>
        <w:t xml:space="preserve">PBS (n=8), L-lactate (n=8), 4-CIN (n=11), 4-CIN followed by L-lactate (n=13), 3,5-DHBA (n=11)) </w:t>
      </w:r>
      <w:r w:rsidRPr="00943EC2">
        <w:rPr>
          <w:rFonts w:asciiTheme="majorBidi" w:eastAsia="SabonLTStd-Roman" w:hAnsiTheme="majorBidi" w:cstheme="majorBidi"/>
          <w:sz w:val="24"/>
          <w:szCs w:val="24"/>
          <w:lang w:bidi="he-IL"/>
        </w:rPr>
        <w:t xml:space="preserve">received daily </w:t>
      </w:r>
      <w:proofErr w:type="spellStart"/>
      <w:r w:rsidRPr="00943EC2">
        <w:rPr>
          <w:rFonts w:asciiTheme="majorBidi" w:hAnsiTheme="majorBidi" w:cstheme="majorBidi"/>
          <w:sz w:val="24"/>
          <w:szCs w:val="24"/>
        </w:rPr>
        <w:t>i.p</w:t>
      </w:r>
      <w:proofErr w:type="spellEnd"/>
      <w:r w:rsidRPr="00943EC2">
        <w:rPr>
          <w:rFonts w:asciiTheme="majorBidi" w:hAnsiTheme="majorBidi" w:cstheme="majorBidi"/>
          <w:sz w:val="24"/>
          <w:szCs w:val="24"/>
        </w:rPr>
        <w:t xml:space="preserve"> injections of L-lactate </w:t>
      </w:r>
      <w:r w:rsidRPr="00943EC2">
        <w:rPr>
          <w:rFonts w:asciiTheme="majorBidi" w:hAnsiTheme="majorBidi" w:cstheme="majorBidi"/>
          <w:sz w:val="24"/>
          <w:szCs w:val="24"/>
        </w:rPr>
        <w:lastRenderedPageBreak/>
        <w:t xml:space="preserve">,PBS, 4-CIN, 4-CIN followed by L-lactate or 3,5,-DHBA for 7 weeks. Mice were then subjected to </w:t>
      </w:r>
      <w:r w:rsidRPr="00943EC2">
        <w:rPr>
          <w:rFonts w:asciiTheme="majorBidi" w:eastAsia="SabonLTStd-Roman" w:hAnsiTheme="majorBidi" w:cstheme="majorBidi"/>
          <w:sz w:val="24"/>
          <w:szCs w:val="24"/>
          <w:lang w:bidi="he-IL"/>
        </w:rPr>
        <w:t>body composition analysis by using nuclear magnetic resonanc</w:t>
      </w:r>
      <w:r w:rsidRPr="00943EC2">
        <w:rPr>
          <w:rFonts w:asciiTheme="majorBidi" w:hAnsiTheme="majorBidi" w:cstheme="majorBidi"/>
          <w:sz w:val="24"/>
          <w:szCs w:val="24"/>
        </w:rPr>
        <w:t xml:space="preserve">e. No differences were found between the different groups in animals’ </w:t>
      </w:r>
      <w:r w:rsidRPr="00943EC2">
        <w:rPr>
          <w:rFonts w:asciiTheme="majorBidi" w:hAnsiTheme="majorBidi" w:cstheme="majorBidi"/>
          <w:b/>
          <w:bCs/>
          <w:sz w:val="24"/>
          <w:szCs w:val="24"/>
        </w:rPr>
        <w:t>(A)</w:t>
      </w:r>
      <w:r w:rsidRPr="00943EC2">
        <w:rPr>
          <w:rFonts w:asciiTheme="majorBidi" w:hAnsiTheme="majorBidi" w:cstheme="majorBidi"/>
          <w:sz w:val="24"/>
          <w:szCs w:val="24"/>
        </w:rPr>
        <w:t xml:space="preserve"> body weight (gr) (P&gt;0.05), </w:t>
      </w:r>
      <w:r w:rsidRPr="00943EC2">
        <w:rPr>
          <w:rFonts w:asciiTheme="majorBidi" w:hAnsiTheme="majorBidi" w:cstheme="majorBidi"/>
          <w:b/>
          <w:bCs/>
          <w:sz w:val="24"/>
          <w:szCs w:val="24"/>
        </w:rPr>
        <w:t>(B)</w:t>
      </w:r>
      <w:r w:rsidRPr="00943EC2">
        <w:rPr>
          <w:rFonts w:asciiTheme="majorBidi" w:hAnsiTheme="majorBidi" w:cstheme="majorBidi"/>
          <w:sz w:val="24"/>
          <w:szCs w:val="24"/>
        </w:rPr>
        <w:t xml:space="preserve"> %Fat (P&gt;0.05), </w:t>
      </w:r>
      <w:r w:rsidRPr="00943EC2">
        <w:rPr>
          <w:rFonts w:asciiTheme="majorBidi" w:hAnsiTheme="majorBidi" w:cstheme="majorBidi"/>
          <w:b/>
          <w:bCs/>
          <w:sz w:val="24"/>
          <w:szCs w:val="24"/>
        </w:rPr>
        <w:t>(C)</w:t>
      </w:r>
      <w:r w:rsidRPr="00943EC2">
        <w:rPr>
          <w:rFonts w:asciiTheme="majorBidi" w:hAnsiTheme="majorBidi" w:cstheme="majorBidi"/>
          <w:sz w:val="24"/>
          <w:szCs w:val="24"/>
        </w:rPr>
        <w:t xml:space="preserve"> %Lean weight (P&gt;0.05) or </w:t>
      </w:r>
      <w:r w:rsidRPr="00943EC2">
        <w:rPr>
          <w:rFonts w:asciiTheme="majorBidi" w:hAnsiTheme="majorBidi" w:cstheme="majorBidi"/>
          <w:b/>
          <w:bCs/>
          <w:sz w:val="24"/>
          <w:szCs w:val="24"/>
        </w:rPr>
        <w:t>(D)</w:t>
      </w:r>
      <w:r w:rsidRPr="00943EC2">
        <w:rPr>
          <w:rFonts w:asciiTheme="majorBidi" w:hAnsiTheme="majorBidi" w:cstheme="majorBidi"/>
          <w:sz w:val="24"/>
          <w:szCs w:val="24"/>
        </w:rPr>
        <w:t xml:space="preserve"> lean weight (gr) (P&gt;0.05).</w:t>
      </w:r>
    </w:p>
    <w:p w:rsidR="00943EC2" w:rsidRPr="00943EC2" w:rsidRDefault="00943EC2" w:rsidP="00943EC2">
      <w:pPr>
        <w:spacing w:line="360" w:lineRule="auto"/>
        <w:jc w:val="both"/>
        <w:outlineLvl w:val="0"/>
        <w:rPr>
          <w:rFonts w:asciiTheme="majorBidi" w:hAnsiTheme="majorBidi" w:cstheme="majorBidi"/>
          <w:b/>
          <w:bCs/>
          <w:sz w:val="24"/>
          <w:szCs w:val="24"/>
        </w:rPr>
      </w:pPr>
    </w:p>
    <w:p w:rsidR="00943EC2" w:rsidRPr="00943EC2" w:rsidRDefault="00943EC2" w:rsidP="00943EC2">
      <w:pPr>
        <w:spacing w:line="360" w:lineRule="auto"/>
        <w:jc w:val="both"/>
        <w:outlineLvl w:val="0"/>
        <w:rPr>
          <w:rFonts w:asciiTheme="majorBidi" w:hAnsiTheme="majorBidi" w:cstheme="majorBidi"/>
          <w:b/>
          <w:bCs/>
          <w:sz w:val="24"/>
          <w:szCs w:val="24"/>
        </w:rPr>
      </w:pPr>
      <w:r w:rsidRPr="00943EC2">
        <w:rPr>
          <w:rFonts w:asciiTheme="majorBidi" w:hAnsiTheme="majorBidi" w:cstheme="majorBidi"/>
          <w:b/>
          <w:bCs/>
          <w:sz w:val="24"/>
          <w:szCs w:val="24"/>
        </w:rPr>
        <w:t xml:space="preserve">Figure S5.  Prolonged L-lactate, 4-CIN or 3,5-DHBA treatments do not affect metabolic profile of the mice.  </w:t>
      </w:r>
      <w:r w:rsidRPr="00943EC2">
        <w:rPr>
          <w:rFonts w:asciiTheme="majorBidi" w:hAnsiTheme="majorBidi" w:cstheme="majorBidi"/>
          <w:sz w:val="24"/>
          <w:szCs w:val="24"/>
        </w:rPr>
        <w:t>Metabolic performance was studied using automated indirect calorimetry system. Treated mice (L-lactate (n=3) or PBS (n=6) or 4-CIN (n=3) or 4-CIN+L-lactate (n=4) or 3,5-DHBA (n=4)) were individually housed and allowed to acclimate for 3 days in the metabolic cage. After acclimation,</w:t>
      </w:r>
      <w:r w:rsidRPr="00943EC2">
        <w:rPr>
          <w:rFonts w:asciiTheme="majorBidi" w:hAnsiTheme="majorBidi" w:cstheme="majorBidi"/>
          <w:b/>
          <w:bCs/>
          <w:sz w:val="24"/>
          <w:szCs w:val="24"/>
        </w:rPr>
        <w:t xml:space="preserve"> (A, D)</w:t>
      </w:r>
      <w:r w:rsidRPr="00943EC2">
        <w:rPr>
          <w:rFonts w:asciiTheme="majorBidi" w:hAnsiTheme="majorBidi" w:cstheme="majorBidi"/>
          <w:sz w:val="24"/>
          <w:szCs w:val="24"/>
        </w:rPr>
        <w:t xml:space="preserve"> food and </w:t>
      </w:r>
      <w:r w:rsidRPr="00943EC2">
        <w:rPr>
          <w:rFonts w:asciiTheme="majorBidi" w:hAnsiTheme="majorBidi" w:cstheme="majorBidi"/>
          <w:b/>
          <w:bCs/>
          <w:sz w:val="24"/>
          <w:szCs w:val="24"/>
        </w:rPr>
        <w:t xml:space="preserve">(B, E) </w:t>
      </w:r>
      <w:r w:rsidRPr="00943EC2">
        <w:rPr>
          <w:rFonts w:asciiTheme="majorBidi" w:hAnsiTheme="majorBidi" w:cstheme="majorBidi"/>
          <w:sz w:val="24"/>
          <w:szCs w:val="24"/>
        </w:rPr>
        <w:t xml:space="preserve">water consumption were measured, as well as </w:t>
      </w:r>
      <w:r w:rsidRPr="00943EC2">
        <w:rPr>
          <w:rFonts w:asciiTheme="majorBidi" w:hAnsiTheme="majorBidi" w:cstheme="majorBidi"/>
          <w:b/>
          <w:bCs/>
          <w:sz w:val="24"/>
          <w:szCs w:val="24"/>
        </w:rPr>
        <w:t xml:space="preserve">(C, F) </w:t>
      </w:r>
      <w:r w:rsidRPr="00943EC2">
        <w:rPr>
          <w:rFonts w:asciiTheme="majorBidi" w:hAnsiTheme="majorBidi" w:cstheme="majorBidi"/>
          <w:sz w:val="24"/>
          <w:szCs w:val="24"/>
        </w:rPr>
        <w:t>respiratory exchange ratio (RER, ratio between VCO2 and VO2). No difference was observed between the groups (P&gt;0.5).</w:t>
      </w:r>
    </w:p>
    <w:p w:rsidR="00943EC2" w:rsidRPr="00943EC2" w:rsidRDefault="00943EC2" w:rsidP="00943EC2">
      <w:pPr>
        <w:spacing w:line="360" w:lineRule="auto"/>
        <w:jc w:val="both"/>
        <w:rPr>
          <w:rFonts w:asciiTheme="majorBidi" w:hAnsiTheme="majorBidi" w:cstheme="majorBidi"/>
          <w:b/>
          <w:bCs/>
          <w:sz w:val="24"/>
          <w:szCs w:val="24"/>
        </w:rPr>
      </w:pPr>
    </w:p>
    <w:p w:rsidR="00943EC2" w:rsidRPr="00943EC2" w:rsidRDefault="00943EC2" w:rsidP="00943EC2">
      <w:pPr>
        <w:spacing w:line="360" w:lineRule="auto"/>
        <w:jc w:val="both"/>
        <w:rPr>
          <w:rFonts w:asciiTheme="majorBidi" w:hAnsiTheme="majorBidi" w:cstheme="majorBidi"/>
          <w:sz w:val="24"/>
          <w:szCs w:val="24"/>
        </w:rPr>
      </w:pPr>
      <w:r w:rsidRPr="00943EC2">
        <w:rPr>
          <w:rFonts w:asciiTheme="majorBidi" w:hAnsiTheme="majorBidi" w:cstheme="majorBidi"/>
          <w:b/>
          <w:bCs/>
          <w:sz w:val="24"/>
          <w:szCs w:val="24"/>
        </w:rPr>
        <w:t>Figure S6.  Chronic L-lactate administration does not affect hippocampal-dependent spatial. (A)</w:t>
      </w:r>
      <w:r w:rsidRPr="00943EC2">
        <w:rPr>
          <w:rFonts w:asciiTheme="majorBidi" w:hAnsiTheme="majorBidi" w:cstheme="majorBidi"/>
          <w:sz w:val="24"/>
          <w:szCs w:val="24"/>
        </w:rPr>
        <w:t xml:space="preserve"> Mice were tested in the RAWM</w:t>
      </w:r>
      <w:r w:rsidRPr="00943EC2">
        <w:rPr>
          <w:rFonts w:asciiTheme="majorBidi" w:hAnsiTheme="majorBidi" w:cstheme="majorBidi"/>
          <w:b/>
          <w:bCs/>
          <w:sz w:val="24"/>
          <w:szCs w:val="24"/>
        </w:rPr>
        <w:t>;</w:t>
      </w:r>
      <w:r w:rsidRPr="00943EC2">
        <w:rPr>
          <w:rFonts w:asciiTheme="majorBidi" w:hAnsiTheme="majorBidi" w:cstheme="majorBidi"/>
          <w:sz w:val="24"/>
          <w:szCs w:val="24"/>
        </w:rPr>
        <w:t xml:space="preserve"> Reference memory errors in the RAWM. Numbers of reference memory errors were calculated for each day in the acquisition phase. Reference memory is recorded when a mouse visits an arm that is not the target arm. No significant effect was found between treatments (P&gt;0.5).  </w:t>
      </w:r>
      <w:r w:rsidRPr="00943EC2">
        <w:rPr>
          <w:rFonts w:asciiTheme="majorBidi" w:hAnsiTheme="majorBidi" w:cstheme="majorBidi"/>
          <w:b/>
          <w:bCs/>
          <w:sz w:val="24"/>
          <w:szCs w:val="24"/>
        </w:rPr>
        <w:t>(B)</w:t>
      </w:r>
      <w:r w:rsidRPr="00943EC2">
        <w:rPr>
          <w:rFonts w:asciiTheme="majorBidi" w:hAnsiTheme="majorBidi" w:cstheme="majorBidi"/>
          <w:sz w:val="24"/>
          <w:szCs w:val="24"/>
        </w:rPr>
        <w:t xml:space="preserve"> Working memory errors in the RAWM. Number of working memory errors were calculated for each day of acquisition. Working memory error is recorded when a mouse enters a non-target arm more than once. No significant effect was found between treatments (P&gt;0.5). </w:t>
      </w:r>
      <w:r w:rsidRPr="00943EC2">
        <w:rPr>
          <w:rFonts w:asciiTheme="majorBidi" w:hAnsiTheme="majorBidi" w:cstheme="majorBidi"/>
          <w:b/>
          <w:bCs/>
          <w:sz w:val="24"/>
          <w:szCs w:val="24"/>
        </w:rPr>
        <w:t>(C)</w:t>
      </w:r>
      <w:r w:rsidRPr="00943EC2">
        <w:rPr>
          <w:rFonts w:asciiTheme="majorBidi" w:hAnsiTheme="majorBidi" w:cstheme="majorBidi"/>
          <w:sz w:val="24"/>
          <w:szCs w:val="24"/>
        </w:rPr>
        <w:t xml:space="preserve"> Mice were tested in the Modified Barnes maze; Reference memory errors. Numbers of reference memory errors were calculated for each day in the acquisition phase. Reference memory was recorded when a mouse visited a hole that is not the target hole. No significant effect was found between treatments (P&gt;0.5).</w:t>
      </w:r>
      <w:r w:rsidRPr="00943EC2" w:rsidDel="00C82905">
        <w:rPr>
          <w:rFonts w:asciiTheme="majorBidi" w:hAnsiTheme="majorBidi" w:cstheme="majorBidi"/>
          <w:sz w:val="24"/>
          <w:szCs w:val="24"/>
        </w:rPr>
        <w:t xml:space="preserve"> </w:t>
      </w:r>
      <w:r w:rsidRPr="00943EC2">
        <w:rPr>
          <w:rFonts w:asciiTheme="majorBidi" w:hAnsiTheme="majorBidi" w:cstheme="majorBidi"/>
          <w:b/>
          <w:bCs/>
          <w:sz w:val="24"/>
          <w:szCs w:val="24"/>
        </w:rPr>
        <w:t>(D)</w:t>
      </w:r>
      <w:r w:rsidRPr="00943EC2">
        <w:rPr>
          <w:rFonts w:asciiTheme="majorBidi" w:hAnsiTheme="majorBidi" w:cstheme="majorBidi"/>
          <w:sz w:val="24"/>
          <w:szCs w:val="24"/>
        </w:rPr>
        <w:t xml:space="preserve"> Working memory errors. Working memory errors were recorded when a mouse entered a non-target hole more than one time. No significant effect was found between treatments (P&gt;0.5). </w:t>
      </w:r>
      <w:r w:rsidRPr="00943EC2">
        <w:rPr>
          <w:rFonts w:asciiTheme="majorBidi" w:hAnsiTheme="majorBidi" w:cstheme="majorBidi"/>
          <w:b/>
          <w:bCs/>
          <w:sz w:val="24"/>
          <w:szCs w:val="24"/>
        </w:rPr>
        <w:t>(E)</w:t>
      </w:r>
      <w:r w:rsidRPr="00943EC2">
        <w:rPr>
          <w:rFonts w:asciiTheme="majorBidi" w:hAnsiTheme="majorBidi" w:cstheme="majorBidi"/>
          <w:sz w:val="24"/>
          <w:szCs w:val="24"/>
        </w:rPr>
        <w:t xml:space="preserve"> Mice were tested in the </w:t>
      </w:r>
      <w:r w:rsidRPr="00943EC2">
        <w:rPr>
          <w:rFonts w:asciiTheme="majorBidi" w:hAnsiTheme="majorBidi" w:cstheme="majorBidi"/>
          <w:sz w:val="24"/>
          <w:szCs w:val="24"/>
          <w:lang w:bidi="he-IL"/>
        </w:rPr>
        <w:t>S</w:t>
      </w:r>
      <w:r w:rsidRPr="00943EC2">
        <w:rPr>
          <w:rFonts w:asciiTheme="majorBidi" w:hAnsiTheme="majorBidi" w:cstheme="majorBidi"/>
          <w:sz w:val="24"/>
          <w:szCs w:val="24"/>
        </w:rPr>
        <w:t xml:space="preserve">pontaneous alternation test; Short term memory was assessed using spontaneous alternation test. No significant effect was found between treatments (P&gt;0.5) in the number of possible sequences SAP, AAR, SAR. </w:t>
      </w:r>
      <w:r w:rsidRPr="00943EC2">
        <w:rPr>
          <w:rFonts w:asciiTheme="majorBidi" w:hAnsiTheme="majorBidi" w:cstheme="majorBidi"/>
          <w:b/>
          <w:bCs/>
          <w:sz w:val="24"/>
          <w:szCs w:val="24"/>
        </w:rPr>
        <w:t>(F)</w:t>
      </w:r>
      <w:r w:rsidRPr="00943EC2">
        <w:rPr>
          <w:rFonts w:asciiTheme="majorBidi" w:hAnsiTheme="majorBidi" w:cstheme="majorBidi"/>
          <w:sz w:val="24"/>
          <w:szCs w:val="24"/>
        </w:rPr>
        <w:t xml:space="preserve"> Mice were tested in the T-maze; Short term memory was assessed also by the T-maze test. No significant effect was found between treatments (P&gt;0.5) in average success score. </w:t>
      </w:r>
      <w:r w:rsidRPr="00943EC2">
        <w:rPr>
          <w:rFonts w:asciiTheme="majorBidi" w:hAnsiTheme="majorBidi" w:cstheme="majorBidi"/>
          <w:b/>
          <w:bCs/>
          <w:sz w:val="24"/>
          <w:szCs w:val="24"/>
        </w:rPr>
        <w:t>(G)</w:t>
      </w:r>
      <w:r w:rsidRPr="00943EC2">
        <w:rPr>
          <w:rFonts w:asciiTheme="majorBidi" w:hAnsiTheme="majorBidi" w:cstheme="majorBidi"/>
          <w:sz w:val="24"/>
          <w:szCs w:val="24"/>
        </w:rPr>
        <w:t xml:space="preserve"> Mice were tested in the Elevated Zero Maze;</w:t>
      </w:r>
      <w:r w:rsidRPr="00943EC2">
        <w:rPr>
          <w:rFonts w:asciiTheme="majorBidi" w:hAnsiTheme="majorBidi" w:cstheme="majorBidi"/>
          <w:b/>
          <w:bCs/>
          <w:sz w:val="24"/>
          <w:szCs w:val="24"/>
        </w:rPr>
        <w:t xml:space="preserve"> </w:t>
      </w:r>
      <w:r w:rsidRPr="00943EC2">
        <w:rPr>
          <w:rFonts w:asciiTheme="majorBidi" w:hAnsiTheme="majorBidi" w:cstheme="majorBidi"/>
          <w:sz w:val="24"/>
          <w:szCs w:val="24"/>
        </w:rPr>
        <w:t xml:space="preserve">Anxiety was assessed using the elevated zero maze. Time spent in </w:t>
      </w:r>
      <w:r w:rsidRPr="00943EC2">
        <w:rPr>
          <w:rFonts w:asciiTheme="majorBidi" w:hAnsiTheme="majorBidi" w:cstheme="majorBidi"/>
          <w:sz w:val="24"/>
          <w:szCs w:val="24"/>
        </w:rPr>
        <w:lastRenderedPageBreak/>
        <w:t xml:space="preserve">open/closed section did not differ between groups. </w:t>
      </w:r>
      <w:r w:rsidRPr="00943EC2">
        <w:rPr>
          <w:rFonts w:asciiTheme="majorBidi" w:hAnsiTheme="majorBidi" w:cstheme="majorBidi"/>
          <w:b/>
          <w:bCs/>
          <w:sz w:val="24"/>
          <w:szCs w:val="24"/>
        </w:rPr>
        <w:t>(H)</w:t>
      </w:r>
      <w:r w:rsidRPr="00943EC2">
        <w:rPr>
          <w:rFonts w:asciiTheme="majorBidi" w:hAnsiTheme="majorBidi" w:cstheme="majorBidi"/>
          <w:sz w:val="24"/>
          <w:szCs w:val="24"/>
        </w:rPr>
        <w:t xml:space="preserve"> Mice were tested in the Open Field; Exploratory </w:t>
      </w:r>
      <w:proofErr w:type="spellStart"/>
      <w:r w:rsidRPr="00943EC2">
        <w:rPr>
          <w:rFonts w:asciiTheme="majorBidi" w:hAnsiTheme="majorBidi" w:cstheme="majorBidi"/>
          <w:sz w:val="24"/>
          <w:szCs w:val="24"/>
        </w:rPr>
        <w:t>behavior</w:t>
      </w:r>
      <w:proofErr w:type="spellEnd"/>
      <w:r w:rsidRPr="00943EC2">
        <w:rPr>
          <w:rFonts w:asciiTheme="majorBidi" w:hAnsiTheme="majorBidi" w:cstheme="majorBidi"/>
          <w:sz w:val="24"/>
          <w:szCs w:val="24"/>
        </w:rPr>
        <w:t xml:space="preserve"> in the open field arena. Left: time spent in the </w:t>
      </w:r>
      <w:proofErr w:type="spellStart"/>
      <w:r w:rsidRPr="00943EC2">
        <w:rPr>
          <w:rFonts w:asciiTheme="majorBidi" w:hAnsiTheme="majorBidi" w:cstheme="majorBidi"/>
          <w:sz w:val="24"/>
          <w:szCs w:val="24"/>
        </w:rPr>
        <w:t>center</w:t>
      </w:r>
      <w:proofErr w:type="spellEnd"/>
      <w:r w:rsidRPr="00943EC2">
        <w:rPr>
          <w:rFonts w:asciiTheme="majorBidi" w:hAnsiTheme="majorBidi" w:cstheme="majorBidi"/>
          <w:sz w:val="24"/>
          <w:szCs w:val="24"/>
        </w:rPr>
        <w:t xml:space="preserve">, corners and periphery of the Open Field arena did not differ between groups. Right: heat maps of the Open Field test </w:t>
      </w:r>
      <w:proofErr w:type="gramStart"/>
      <w:r w:rsidRPr="00943EC2">
        <w:rPr>
          <w:rFonts w:asciiTheme="majorBidi" w:hAnsiTheme="majorBidi" w:cstheme="majorBidi"/>
          <w:sz w:val="24"/>
          <w:szCs w:val="24"/>
        </w:rPr>
        <w:t>demonstrates</w:t>
      </w:r>
      <w:proofErr w:type="gramEnd"/>
      <w:r w:rsidRPr="00943EC2">
        <w:rPr>
          <w:rFonts w:asciiTheme="majorBidi" w:hAnsiTheme="majorBidi" w:cstheme="majorBidi"/>
          <w:sz w:val="24"/>
          <w:szCs w:val="24"/>
        </w:rPr>
        <w:t xml:space="preserve"> the preferred time spent in the corners by all groups.  </w:t>
      </w:r>
      <w:r w:rsidRPr="00943EC2">
        <w:rPr>
          <w:rFonts w:asciiTheme="majorBidi" w:hAnsiTheme="majorBidi" w:cstheme="majorBidi"/>
          <w:b/>
          <w:bCs/>
          <w:sz w:val="24"/>
          <w:szCs w:val="24"/>
        </w:rPr>
        <w:t>(I).</w:t>
      </w:r>
      <w:r w:rsidRPr="00943EC2">
        <w:rPr>
          <w:rFonts w:asciiTheme="majorBidi" w:hAnsiTheme="majorBidi" w:cstheme="majorBidi"/>
          <w:sz w:val="24"/>
          <w:szCs w:val="24"/>
        </w:rPr>
        <w:t xml:space="preserve"> Mice were tested in the Grip strength test; Muscular strength was assessed using a grip strength measurement apparatus. Grip strength was indicated as gram force to release the wire mesh screen for each of the three trials. Grip strength was averaged from three consecutive trials. No significant effect was found between treatments (P&gt;0.5). </w:t>
      </w:r>
    </w:p>
    <w:p w:rsidR="00943EC2" w:rsidRPr="00A7643E" w:rsidRDefault="00943EC2" w:rsidP="00943EC2">
      <w:pPr>
        <w:spacing w:line="480" w:lineRule="auto"/>
        <w:outlineLvl w:val="0"/>
        <w:rPr>
          <w:rFonts w:asciiTheme="majorBidi" w:hAnsiTheme="majorBidi" w:cstheme="majorBidi"/>
          <w:b/>
          <w:bCs/>
        </w:rPr>
      </w:pPr>
    </w:p>
    <w:p w:rsidR="00943EC2" w:rsidRPr="00A7643E" w:rsidRDefault="00943EC2" w:rsidP="00943EC2">
      <w:pPr>
        <w:spacing w:line="480" w:lineRule="auto"/>
        <w:rPr>
          <w:rFonts w:asciiTheme="majorBidi" w:hAnsiTheme="majorBidi" w:cstheme="majorBidi"/>
          <w:b/>
          <w:bCs/>
        </w:rPr>
      </w:pPr>
    </w:p>
    <w:p w:rsidR="00943EC2" w:rsidRPr="00943EC2" w:rsidRDefault="00943EC2">
      <w:pPr>
        <w:rPr>
          <w:sz w:val="32"/>
          <w:szCs w:val="32"/>
          <w:lang w:val="en-US"/>
        </w:rPr>
      </w:pPr>
    </w:p>
    <w:sectPr w:rsidR="00943EC2" w:rsidRPr="00943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LTStd-Roman">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C2"/>
    <w:rsid w:val="00943EC2"/>
    <w:rsid w:val="009E0DD8"/>
    <w:rsid w:val="00EE382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5154"/>
  <w15:chartTrackingRefBased/>
  <w15:docId w15:val="{C5E9845F-E37F-4A2D-810A-856C8102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Thompson</dc:creator>
  <cp:keywords/>
  <dc:description/>
  <cp:lastModifiedBy>Sean Thompson</cp:lastModifiedBy>
  <cp:revision>1</cp:revision>
  <dcterms:created xsi:type="dcterms:W3CDTF">2019-04-17T07:48:00Z</dcterms:created>
  <dcterms:modified xsi:type="dcterms:W3CDTF">2019-04-17T07:49:00Z</dcterms:modified>
</cp:coreProperties>
</file>