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DC" w:rsidRPr="00D768D3" w:rsidRDefault="00EE2ADC" w:rsidP="00EE2ADC">
      <w:pPr>
        <w:spacing w:after="0"/>
        <w:jc w:val="center"/>
        <w:rPr>
          <w:rFonts w:ascii="Times New Roman" w:hAnsi="Times New Roman" w:cs="Times New Roman"/>
          <w:b/>
          <w:sz w:val="24"/>
          <w:szCs w:val="24"/>
        </w:rPr>
      </w:pPr>
      <w:r w:rsidRPr="00D768D3">
        <w:rPr>
          <w:rFonts w:ascii="Times New Roman" w:hAnsi="Times New Roman" w:cs="Times New Roman"/>
          <w:b/>
          <w:sz w:val="24"/>
          <w:szCs w:val="24"/>
        </w:rPr>
        <w:t>Supplemental Material</w:t>
      </w:r>
    </w:p>
    <w:p w:rsidR="00EE2ADC" w:rsidRPr="00D768D3" w:rsidRDefault="00EE2ADC" w:rsidP="00EE2ADC">
      <w:pPr>
        <w:rPr>
          <w:rFonts w:ascii="Times New Roman" w:hAnsi="Times New Roman" w:cs="Times New Roman"/>
          <w:b/>
          <w:sz w:val="24"/>
          <w:szCs w:val="24"/>
        </w:rPr>
      </w:pPr>
    </w:p>
    <w:p w:rsidR="00EE2ADC" w:rsidRPr="00D768D3" w:rsidRDefault="00EE2ADC" w:rsidP="00EE2ADC">
      <w:pPr>
        <w:rPr>
          <w:rFonts w:ascii="Times New Roman" w:hAnsi="Times New Roman" w:cs="Times New Roman"/>
          <w:b/>
          <w:sz w:val="24"/>
          <w:szCs w:val="24"/>
        </w:rPr>
      </w:pPr>
      <w:r w:rsidRPr="00D768D3">
        <w:rPr>
          <w:rFonts w:ascii="Times New Roman" w:hAnsi="Times New Roman" w:cs="Times New Roman"/>
          <w:b/>
          <w:sz w:val="24"/>
          <w:szCs w:val="24"/>
        </w:rPr>
        <w:t>Methods—additional information</w:t>
      </w:r>
    </w:p>
    <w:p w:rsidR="00EE2ADC" w:rsidRPr="00D768D3" w:rsidRDefault="00EE2ADC" w:rsidP="00EE2ADC">
      <w:pPr>
        <w:rPr>
          <w:rFonts w:ascii="Times New Roman" w:hAnsi="Times New Roman" w:cs="Times New Roman"/>
          <w:sz w:val="24"/>
          <w:szCs w:val="24"/>
        </w:rPr>
      </w:pPr>
      <w:r w:rsidRPr="00D768D3">
        <w:rPr>
          <w:rFonts w:ascii="Times New Roman" w:hAnsi="Times New Roman" w:cs="Times New Roman"/>
          <w:b/>
          <w:sz w:val="24"/>
          <w:szCs w:val="24"/>
          <w:lang w:val="en-GB"/>
        </w:rPr>
        <w:t>The presence, frequency, and intensity of all CFS</w:t>
      </w:r>
      <w:r w:rsidRPr="00D768D3">
        <w:rPr>
          <w:rFonts w:ascii="Times New Roman" w:hAnsi="Times New Roman" w:cs="Times New Roman"/>
          <w:sz w:val="24"/>
          <w:szCs w:val="24"/>
          <w:lang w:val="en-GB"/>
        </w:rPr>
        <w:t xml:space="preserve"> </w:t>
      </w:r>
      <w:r w:rsidRPr="00D768D3">
        <w:rPr>
          <w:rFonts w:ascii="Times New Roman" w:hAnsi="Times New Roman" w:cs="Times New Roman"/>
          <w:b/>
          <w:sz w:val="24"/>
          <w:szCs w:val="24"/>
          <w:lang w:val="en-GB"/>
        </w:rPr>
        <w:t xml:space="preserve">case-defining </w:t>
      </w:r>
      <w:r w:rsidRPr="00D768D3">
        <w:rPr>
          <w:rFonts w:ascii="Times New Roman" w:hAnsi="Times New Roman" w:cs="Times New Roman"/>
          <w:sz w:val="24"/>
          <w:szCs w:val="24"/>
          <w:lang w:val="en-GB"/>
        </w:rPr>
        <w:t>symptoms and other related symptoms were measured by the CDC Symptom Inventory (SI) questionnaire (</w:t>
      </w:r>
      <w:r>
        <w:rPr>
          <w:rFonts w:ascii="Times New Roman" w:hAnsi="Times New Roman" w:cs="Times New Roman"/>
          <w:sz w:val="24"/>
          <w:szCs w:val="24"/>
          <w:lang w:val="en-GB"/>
        </w:rPr>
        <w:t>ref 24, ref 25--Wagner 2005</w:t>
      </w:r>
      <w:r w:rsidRPr="00D768D3">
        <w:rPr>
          <w:rFonts w:ascii="Times New Roman" w:hAnsi="Times New Roman" w:cs="Times New Roman"/>
          <w:sz w:val="24"/>
          <w:szCs w:val="24"/>
          <w:lang w:val="en-GB"/>
        </w:rPr>
        <w:t xml:space="preserve">). The questionnaire queries presence, duration, frequency and intensity/severity of eight CFS-defining symptoms as well as the presence of fatigue, post-exertional malaise and other CFS-related symptoms. The number of symptoms can range from 4 case-defining symptoms (the minimum number to qualify as a CFS case) to 8 (the highest number of CFS-case-defining symptoms). The frequency and severity were graded on a scale of 1 to 4 (most frequent or severe). The sum of the products of the frequency and the intensity/severity of each symptom was used to calculate a </w:t>
      </w:r>
      <w:r w:rsidRPr="00D768D3">
        <w:rPr>
          <w:rFonts w:ascii="Times New Roman" w:hAnsi="Times New Roman" w:cs="Times New Roman"/>
          <w:sz w:val="24"/>
          <w:szCs w:val="24"/>
        </w:rPr>
        <w:t xml:space="preserve">SI score. To qualify as a CFS case a person must have at least 4 case-defining symptoms and a SI score of at least 25, in addition to having had a fatiguing illness for 6 or more months.  </w:t>
      </w:r>
    </w:p>
    <w:p w:rsidR="00EE2ADC" w:rsidRPr="00D768D3" w:rsidRDefault="00EE2ADC" w:rsidP="00EE2ADC">
      <w:pPr>
        <w:rPr>
          <w:rFonts w:ascii="Times New Roman" w:hAnsi="Times New Roman" w:cs="Times New Roman"/>
          <w:sz w:val="24"/>
          <w:szCs w:val="24"/>
        </w:rPr>
      </w:pPr>
      <w:r w:rsidRPr="00D768D3">
        <w:rPr>
          <w:rFonts w:ascii="Times New Roman" w:hAnsi="Times New Roman" w:cs="Times New Roman"/>
          <w:b/>
          <w:sz w:val="24"/>
          <w:szCs w:val="24"/>
        </w:rPr>
        <w:t>Gynecologic conditions and surgeries.</w:t>
      </w:r>
      <w:r w:rsidRPr="00D768D3">
        <w:rPr>
          <w:rFonts w:ascii="Times New Roman" w:hAnsi="Times New Roman" w:cs="Times New Roman"/>
          <w:sz w:val="24"/>
          <w:szCs w:val="24"/>
        </w:rPr>
        <w:t xml:space="preserve">  Women responded to a short, structured gynecologic history questionnaire. Aggregate results on gynecologic history of CFS cases and well controls (without CFS) have been previously published (</w:t>
      </w:r>
      <w:r>
        <w:rPr>
          <w:rFonts w:ascii="Times New Roman" w:hAnsi="Times New Roman" w:cs="Times New Roman"/>
          <w:sz w:val="24"/>
          <w:szCs w:val="24"/>
        </w:rPr>
        <w:t>ref 27--</w:t>
      </w:r>
      <w:r w:rsidRPr="00D768D3">
        <w:rPr>
          <w:rFonts w:ascii="Times New Roman" w:hAnsi="Times New Roman" w:cs="Times New Roman"/>
          <w:sz w:val="24"/>
          <w:szCs w:val="24"/>
        </w:rPr>
        <w:t xml:space="preserve">Boneva et al, 2011). </w:t>
      </w:r>
      <w:r w:rsidRPr="00D768D3">
        <w:rPr>
          <w:rFonts w:ascii="Times New Roman" w:hAnsi="Times New Roman" w:cs="Times New Roman"/>
          <w:sz w:val="24"/>
          <w:szCs w:val="24"/>
          <w:lang w:val="en-GB"/>
        </w:rPr>
        <w:t xml:space="preserve">The following questions in the questionnaire related to endometriosis: “Have you ever been diagnosed with endometriosis?” </w:t>
      </w:r>
      <w:r w:rsidRPr="00D768D3">
        <w:rPr>
          <w:rFonts w:ascii="Times New Roman" w:hAnsi="Times New Roman" w:cs="Times New Roman"/>
          <w:sz w:val="24"/>
          <w:szCs w:val="24"/>
        </w:rPr>
        <w:t>Chronic pelvic pain was assessed by the answer to the question “</w:t>
      </w:r>
      <w:r w:rsidRPr="00D768D3">
        <w:rPr>
          <w:rFonts w:ascii="Times New Roman" w:hAnsi="Times New Roman" w:cs="Times New Roman"/>
          <w:sz w:val="24"/>
          <w:szCs w:val="24"/>
          <w:lang w:val="en-GB"/>
        </w:rPr>
        <w:t>In the past 6 month, have you experience lower abdominal or pelvic pain that is unrelated to your menstrual periods?”</w:t>
      </w:r>
      <w:r w:rsidRPr="00D768D3">
        <w:rPr>
          <w:rFonts w:ascii="Times New Roman" w:hAnsi="Times New Roman" w:cs="Times New Roman"/>
          <w:sz w:val="24"/>
          <w:szCs w:val="24"/>
        </w:rPr>
        <w:t xml:space="preserve"> </w:t>
      </w:r>
      <w:r w:rsidRPr="00D768D3">
        <w:rPr>
          <w:rFonts w:ascii="Times New Roman" w:hAnsi="Times New Roman" w:cs="Times New Roman"/>
          <w:sz w:val="24"/>
          <w:szCs w:val="24"/>
          <w:lang w:val="en-GB"/>
        </w:rPr>
        <w:t xml:space="preserve"> Women were asked whether they were menopausal and those who responded “yes” to this question, were also asked at what age their periods stopped due to menopause. Women were also asked whether they had any gynecological surgery, and if they responded with yes, they had to answer also if they had had their uterus and/or ovaries removed</w:t>
      </w:r>
      <w:r w:rsidRPr="00D768D3">
        <w:rPr>
          <w:rFonts w:ascii="Times New Roman" w:hAnsi="Times New Roman" w:cs="Times New Roman"/>
          <w:sz w:val="24"/>
          <w:szCs w:val="24"/>
        </w:rPr>
        <w:t xml:space="preserve">. </w:t>
      </w:r>
    </w:p>
    <w:p w:rsidR="00EE2ADC" w:rsidRPr="00D768D3" w:rsidRDefault="00EE2ADC" w:rsidP="00EE2ADC">
      <w:pPr>
        <w:rPr>
          <w:rFonts w:ascii="Times New Roman" w:hAnsi="Times New Roman" w:cs="Times New Roman"/>
          <w:sz w:val="24"/>
          <w:szCs w:val="24"/>
        </w:rPr>
      </w:pPr>
      <w:r w:rsidRPr="00D768D3">
        <w:rPr>
          <w:rFonts w:ascii="Times New Roman" w:hAnsi="Times New Roman" w:cs="Times New Roman"/>
          <w:b/>
          <w:sz w:val="24"/>
          <w:szCs w:val="24"/>
        </w:rPr>
        <w:t>Psychosocial measures</w:t>
      </w:r>
      <w:r w:rsidRPr="00D768D3">
        <w:rPr>
          <w:rFonts w:ascii="Times New Roman" w:hAnsi="Times New Roman" w:cs="Times New Roman"/>
          <w:sz w:val="24"/>
          <w:szCs w:val="24"/>
        </w:rPr>
        <w:t xml:space="preserve"> </w:t>
      </w:r>
    </w:p>
    <w:p w:rsidR="00EE2ADC" w:rsidRPr="00D768D3" w:rsidRDefault="00EE2ADC" w:rsidP="00EE2ADC">
      <w:pPr>
        <w:rPr>
          <w:rFonts w:ascii="Times New Roman" w:hAnsi="Times New Roman" w:cs="Times New Roman"/>
          <w:sz w:val="24"/>
          <w:szCs w:val="24"/>
        </w:rPr>
      </w:pPr>
      <w:r w:rsidRPr="00D768D3">
        <w:rPr>
          <w:rFonts w:ascii="Times New Roman" w:hAnsi="Times New Roman" w:cs="Times New Roman"/>
          <w:b/>
          <w:sz w:val="24"/>
          <w:szCs w:val="24"/>
        </w:rPr>
        <w:t>Stress</w:t>
      </w:r>
      <w:r w:rsidRPr="00D768D3">
        <w:rPr>
          <w:rFonts w:ascii="Times New Roman" w:hAnsi="Times New Roman" w:cs="Times New Roman"/>
          <w:sz w:val="24"/>
          <w:szCs w:val="24"/>
        </w:rPr>
        <w:t>.  We used three scales as subjective measures of stress: the Short Form of the Childhood Trauma Questionnaire (CTQ) (</w:t>
      </w:r>
      <w:r>
        <w:rPr>
          <w:rFonts w:ascii="Times New Roman" w:hAnsi="Times New Roman" w:cs="Times New Roman"/>
          <w:sz w:val="24"/>
          <w:szCs w:val="24"/>
        </w:rPr>
        <w:t>ref. 17--</w:t>
      </w:r>
      <w:r w:rsidRPr="00D768D3">
        <w:rPr>
          <w:rFonts w:ascii="Times New Roman" w:hAnsi="Times New Roman" w:cs="Times New Roman"/>
          <w:sz w:val="24"/>
          <w:szCs w:val="24"/>
        </w:rPr>
        <w:t>Heim 200</w:t>
      </w:r>
      <w:r>
        <w:rPr>
          <w:rFonts w:ascii="Times New Roman" w:hAnsi="Times New Roman" w:cs="Times New Roman"/>
          <w:sz w:val="24"/>
          <w:szCs w:val="24"/>
        </w:rPr>
        <w:t>9</w:t>
      </w:r>
      <w:r w:rsidRPr="00D768D3">
        <w:rPr>
          <w:rFonts w:ascii="Times New Roman" w:hAnsi="Times New Roman" w:cs="Times New Roman"/>
          <w:sz w:val="24"/>
          <w:szCs w:val="24"/>
        </w:rPr>
        <w:t>), the Perceived Stress Scale (PSS) (</w:t>
      </w:r>
      <w:r>
        <w:rPr>
          <w:rFonts w:ascii="Times New Roman" w:hAnsi="Times New Roman" w:cs="Times New Roman"/>
          <w:sz w:val="24"/>
          <w:szCs w:val="24"/>
        </w:rPr>
        <w:t>29—</w:t>
      </w:r>
      <w:r w:rsidRPr="007B72DC">
        <w:rPr>
          <w:rFonts w:ascii="Times New Roman" w:hAnsi="Times New Roman" w:cs="Times New Roman"/>
          <w:sz w:val="24"/>
          <w:szCs w:val="24"/>
        </w:rPr>
        <w:t xml:space="preserve"> </w:t>
      </w:r>
      <w:r w:rsidRPr="00D768D3">
        <w:rPr>
          <w:rFonts w:ascii="Times New Roman" w:hAnsi="Times New Roman" w:cs="Times New Roman"/>
          <w:sz w:val="24"/>
          <w:szCs w:val="24"/>
        </w:rPr>
        <w:t>Cohen 1983), and the Life Experiences Survey (LES) (</w:t>
      </w:r>
      <w:r>
        <w:rPr>
          <w:rFonts w:ascii="Times New Roman" w:hAnsi="Times New Roman" w:cs="Times New Roman"/>
          <w:sz w:val="24"/>
          <w:szCs w:val="24"/>
        </w:rPr>
        <w:t>30—Sarason1978</w:t>
      </w:r>
      <w:r w:rsidRPr="00D768D3">
        <w:rPr>
          <w:rFonts w:ascii="Times New Roman" w:hAnsi="Times New Roman" w:cs="Times New Roman"/>
          <w:sz w:val="24"/>
          <w:szCs w:val="24"/>
        </w:rPr>
        <w:t xml:space="preserve">). The CTQ, which measures the severity of emotional abuse and neglect, physical abuse and neglect, and sexual abuse, scores 25 items on a 5-point scale from 1 (never true) through 5 (very often true).  The sum of the responses to five items in each domain forms the subscale score.  The PSS consists of 10 items that measure chronic stress during the past four weeks on a five-point scale from “never” to “very often”.  The PSS assessed how unpredictable, uncontrollable, and overwhelming participants consider their lives to be.  The PSS provides a summary score. The LES asked subjects to rate the impact of 44 life events in the past year as positive (3, 2, 1), negative (-3, -2, -1), or neutral (0).  Summing the impact ratings of those events designated as positive by the subject provides a positive change score whereas the summing of the negative </w:t>
      </w:r>
      <w:r w:rsidRPr="00D768D3">
        <w:rPr>
          <w:rFonts w:ascii="Times New Roman" w:hAnsi="Times New Roman" w:cs="Times New Roman"/>
          <w:sz w:val="24"/>
          <w:szCs w:val="24"/>
        </w:rPr>
        <w:lastRenderedPageBreak/>
        <w:t>impact ratings of those events provides a negative change score. A total change score can be obtained by adding these two change scores, representing the total amount (in absolute value) of rated change (desirable and undesirable).</w:t>
      </w:r>
    </w:p>
    <w:p w:rsidR="00EE2ADC" w:rsidRPr="00D768D3" w:rsidRDefault="00EE2ADC" w:rsidP="00EE2ADC">
      <w:pPr>
        <w:rPr>
          <w:rFonts w:ascii="Times New Roman" w:hAnsi="Times New Roman" w:cs="Times New Roman"/>
          <w:sz w:val="24"/>
          <w:szCs w:val="24"/>
        </w:rPr>
      </w:pPr>
      <w:r w:rsidRPr="00D768D3">
        <w:rPr>
          <w:rFonts w:ascii="Times New Roman" w:hAnsi="Times New Roman" w:cs="Times New Roman"/>
          <w:b/>
          <w:sz w:val="24"/>
          <w:szCs w:val="24"/>
        </w:rPr>
        <w:t>Evaluation for anxiety, post-traumatic stress disorder and depression</w:t>
      </w:r>
      <w:r w:rsidRPr="00D768D3">
        <w:rPr>
          <w:rFonts w:ascii="Times New Roman" w:hAnsi="Times New Roman" w:cs="Times New Roman"/>
          <w:sz w:val="24"/>
          <w:szCs w:val="24"/>
        </w:rPr>
        <w:t>.  We used the self-administered Spielberger State-Trait Anxiety Inventory (STAI) to measures core symptoms of anxiety as a general trait and as a current state based on responses to 40 items (</w:t>
      </w:r>
      <w:r>
        <w:rPr>
          <w:rFonts w:ascii="Times New Roman" w:hAnsi="Times New Roman" w:cs="Times New Roman"/>
          <w:sz w:val="24"/>
          <w:szCs w:val="24"/>
        </w:rPr>
        <w:t>ref 31--</w:t>
      </w:r>
      <w:r w:rsidRPr="00D768D3">
        <w:rPr>
          <w:rFonts w:ascii="Times New Roman" w:hAnsi="Times New Roman" w:cs="Times New Roman"/>
          <w:sz w:val="24"/>
          <w:szCs w:val="24"/>
        </w:rPr>
        <w:t>Spielberg et al, 1970). To assess subjects for posttraumatic stress disorder (PTSD) we used the self-administered Davidson Trauma Scale (DTS) (</w:t>
      </w:r>
      <w:r>
        <w:rPr>
          <w:rFonts w:ascii="Times New Roman" w:hAnsi="Times New Roman" w:cs="Times New Roman"/>
          <w:sz w:val="24"/>
          <w:szCs w:val="24"/>
        </w:rPr>
        <w:t>ref. 33--</w:t>
      </w:r>
      <w:r w:rsidRPr="00D768D3">
        <w:rPr>
          <w:rFonts w:ascii="Times New Roman" w:hAnsi="Times New Roman" w:cs="Times New Roman"/>
          <w:sz w:val="24"/>
          <w:szCs w:val="24"/>
        </w:rPr>
        <w:t>Davidson et al, 1997); a total score of 40 or higher indicates clinically relevant PTSD. We used the Self-Rating Depression Scale (SDS), a 20-item questionnaire, to measure core symptoms of depression on a 4-point Likert scale (</w:t>
      </w:r>
      <w:r>
        <w:rPr>
          <w:rFonts w:ascii="Times New Roman" w:hAnsi="Times New Roman" w:cs="Times New Roman"/>
          <w:sz w:val="24"/>
          <w:szCs w:val="24"/>
        </w:rPr>
        <w:t>ref 32--</w:t>
      </w:r>
      <w:r w:rsidRPr="00D768D3">
        <w:rPr>
          <w:rFonts w:ascii="Times New Roman" w:hAnsi="Times New Roman" w:cs="Times New Roman"/>
          <w:sz w:val="24"/>
          <w:szCs w:val="24"/>
        </w:rPr>
        <w:t xml:space="preserve">Zung 1965). The scale provides a summary score from which an SDS index score is calculated: SDS Index = (Raw Score/maximum possible points) x 100; an SDS score higher than 50 (or SDS index&gt;62.5) indicates depression. </w:t>
      </w:r>
    </w:p>
    <w:p w:rsidR="00EE2ADC" w:rsidRPr="00D768D3" w:rsidRDefault="00EE2ADC" w:rsidP="00EE2ADC">
      <w:pPr>
        <w:rPr>
          <w:rFonts w:ascii="Times New Roman" w:hAnsi="Times New Roman" w:cs="Times New Roman"/>
          <w:sz w:val="24"/>
          <w:szCs w:val="24"/>
        </w:rPr>
      </w:pPr>
      <w:r w:rsidRPr="00D768D3">
        <w:rPr>
          <w:rFonts w:ascii="Times New Roman" w:hAnsi="Times New Roman" w:cs="Times New Roman"/>
          <w:b/>
          <w:sz w:val="24"/>
          <w:szCs w:val="24"/>
        </w:rPr>
        <w:t>Laboratory tests</w:t>
      </w:r>
      <w:r w:rsidRPr="00D768D3">
        <w:rPr>
          <w:rFonts w:ascii="Times New Roman" w:hAnsi="Times New Roman" w:cs="Times New Roman"/>
          <w:sz w:val="24"/>
          <w:szCs w:val="24"/>
        </w:rPr>
        <w:t xml:space="preserve">. </w:t>
      </w:r>
    </w:p>
    <w:p w:rsidR="00EE2ADC" w:rsidRPr="00D768D3" w:rsidRDefault="00EE2ADC" w:rsidP="00EE2ADC">
      <w:pPr>
        <w:rPr>
          <w:rFonts w:ascii="Times New Roman" w:hAnsi="Times New Roman" w:cs="Times New Roman"/>
          <w:sz w:val="24"/>
          <w:szCs w:val="24"/>
        </w:rPr>
      </w:pPr>
      <w:r w:rsidRPr="00D768D3">
        <w:rPr>
          <w:rFonts w:ascii="Times New Roman" w:hAnsi="Times New Roman" w:cs="Times New Roman"/>
          <w:sz w:val="24"/>
          <w:szCs w:val="24"/>
        </w:rPr>
        <w:t xml:space="preserve">Fasting blood samples were collected at 7:30 am after overnight fasting. Participants remained recumbent for 30 minutes prior to blood collection. Blood was drawn for complete blood counts (CBC), routine blood chemistry, endocrine tests, catecholamines, and inflammatory markers (C-reactive protein [CRP], the pro-inflammatory cytokines interleukin 6 [IL-6], and tumor necrosis factor alpha [TNF-α]). Tests for CBC, blood chemistry, urinalysis and basal levels of plasma catecholamines were performed by Quest Diagnostics (KS, USA). Cytokines were measured using an enzyme-linked immunosorbent assay (ELISA) kit (RayBiotech, GA, USA) and all cytokine assays were performed at the CDC.  </w:t>
      </w:r>
    </w:p>
    <w:p w:rsidR="00EE2ADC" w:rsidRPr="00D768D3" w:rsidRDefault="00EE2ADC" w:rsidP="00EE2ADC">
      <w:pPr>
        <w:rPr>
          <w:rFonts w:ascii="Times New Roman" w:hAnsi="Times New Roman" w:cs="Times New Roman"/>
          <w:sz w:val="24"/>
          <w:szCs w:val="24"/>
        </w:rPr>
      </w:pPr>
      <w:r w:rsidRPr="00D768D3">
        <w:rPr>
          <w:rFonts w:ascii="Times New Roman" w:hAnsi="Times New Roman" w:cs="Times New Roman"/>
          <w:b/>
          <w:sz w:val="24"/>
          <w:szCs w:val="24"/>
        </w:rPr>
        <w:t>Cortisol levels</w:t>
      </w:r>
      <w:r w:rsidRPr="00D768D3">
        <w:rPr>
          <w:rFonts w:ascii="Times New Roman" w:hAnsi="Times New Roman" w:cs="Times New Roman"/>
          <w:sz w:val="24"/>
          <w:szCs w:val="24"/>
        </w:rPr>
        <w:t xml:space="preserve"> were measured in serum</w:t>
      </w:r>
      <w:r>
        <w:rPr>
          <w:rFonts w:ascii="Times New Roman" w:hAnsi="Times New Roman" w:cs="Times New Roman"/>
          <w:sz w:val="24"/>
          <w:szCs w:val="24"/>
        </w:rPr>
        <w:t xml:space="preserve"> and</w:t>
      </w:r>
      <w:r w:rsidRPr="00D768D3">
        <w:rPr>
          <w:rFonts w:ascii="Times New Roman" w:hAnsi="Times New Roman" w:cs="Times New Roman"/>
          <w:sz w:val="24"/>
          <w:szCs w:val="24"/>
        </w:rPr>
        <w:t xml:space="preserve"> in a sample of 24 hour urine.</w:t>
      </w:r>
      <w:r w:rsidRPr="00D768D3">
        <w:rPr>
          <w:rFonts w:ascii="Times New Roman" w:hAnsi="Times New Roman" w:cs="Times New Roman"/>
          <w:sz w:val="24"/>
          <w:szCs w:val="24"/>
          <w:lang w:val="en-GB"/>
        </w:rPr>
        <w:t xml:space="preserve"> All </w:t>
      </w:r>
      <w:r w:rsidRPr="00D768D3">
        <w:rPr>
          <w:rFonts w:ascii="Times New Roman" w:hAnsi="Times New Roman" w:cs="Times New Roman"/>
          <w:sz w:val="24"/>
          <w:szCs w:val="24"/>
        </w:rPr>
        <w:t>cortisol testing was completed by a commercial laboratory (Esoterix Inc. Laboratory Services) on stored samples. Details on laboratory assays conducted to assess endocrine status have been published previously (</w:t>
      </w:r>
      <w:r>
        <w:rPr>
          <w:rFonts w:ascii="Times New Roman" w:hAnsi="Times New Roman" w:cs="Times New Roman"/>
          <w:sz w:val="24"/>
          <w:szCs w:val="24"/>
        </w:rPr>
        <w:t>ref 36--</w:t>
      </w:r>
      <w:r w:rsidRPr="00D768D3">
        <w:rPr>
          <w:rFonts w:ascii="Times New Roman" w:hAnsi="Times New Roman" w:cs="Times New Roman"/>
          <w:sz w:val="24"/>
          <w:szCs w:val="24"/>
        </w:rPr>
        <w:t xml:space="preserve">Vernon et al., 2006). All laboratory testing was performed according to standard clinical/laboratory protocols.   </w:t>
      </w:r>
    </w:p>
    <w:p w:rsidR="00EE2ADC" w:rsidRPr="00D768D3" w:rsidRDefault="00EE2ADC" w:rsidP="00EE2ADC">
      <w:pPr>
        <w:rPr>
          <w:rFonts w:ascii="Times New Roman" w:hAnsi="Times New Roman" w:cs="Times New Roman"/>
          <w:sz w:val="24"/>
          <w:szCs w:val="24"/>
        </w:rPr>
      </w:pPr>
      <w:r w:rsidRPr="00D768D3">
        <w:rPr>
          <w:rFonts w:ascii="Times New Roman" w:hAnsi="Times New Roman" w:cs="Times New Roman"/>
          <w:sz w:val="24"/>
          <w:szCs w:val="24"/>
        </w:rPr>
        <w:t>The 24-hour urine samples were collected between 7:00 am on day one and 7:00 am on day two of the hospital stay according to laboratory protocol. Upon awakening, the first morning urine was discarded and each portion of urine for the next 24 hours was collected in a container (the last portion being the one after awakening on the next day). During the 24 hour collection the urine was kept in a refrigerator. At completion of collection, the total quantity of urine was recorded and an aliquot of 30 ml of well-mixed 24-hour urine was prepared for testing. Boric acid (0.5g/100ml) was used as a preservative. Specimens were stored at -20</w:t>
      </w:r>
      <w:r w:rsidRPr="00D768D3">
        <w:rPr>
          <w:rFonts w:ascii="Times New Roman" w:hAnsi="Times New Roman" w:cs="Times New Roman"/>
          <w:sz w:val="24"/>
          <w:szCs w:val="24"/>
          <w:lang w:val="en-GB"/>
        </w:rPr>
        <w:t>ºC and shipped for testing</w:t>
      </w:r>
      <w:r w:rsidRPr="00D768D3">
        <w:rPr>
          <w:rFonts w:ascii="Times New Roman" w:hAnsi="Times New Roman" w:cs="Times New Roman"/>
          <w:sz w:val="24"/>
          <w:szCs w:val="24"/>
        </w:rPr>
        <w:t xml:space="preserve">. </w:t>
      </w:r>
      <w:r w:rsidRPr="00D768D3">
        <w:rPr>
          <w:rFonts w:ascii="Times New Roman" w:hAnsi="Times New Roman" w:cs="Times New Roman"/>
          <w:sz w:val="24"/>
          <w:szCs w:val="24"/>
          <w:lang w:val="en-GB"/>
        </w:rPr>
        <w:t xml:space="preserve">Free cortisol concentration in urine was measured by RIA with sensitivity </w:t>
      </w:r>
      <w:r w:rsidRPr="00D768D3">
        <w:rPr>
          <w:rFonts w:ascii="Times New Roman" w:hAnsi="Times New Roman" w:cs="Times New Roman"/>
          <w:sz w:val="24"/>
          <w:szCs w:val="24"/>
        </w:rPr>
        <w:t xml:space="preserve">of the assay is 0.05 ug/dL, intra-assay coefficient of variance (CV) 4.7-10.7 and inter-assay CV 16%. </w:t>
      </w:r>
      <w:r w:rsidRPr="00D768D3">
        <w:rPr>
          <w:rFonts w:ascii="Times New Roman" w:hAnsi="Times New Roman" w:cs="Times New Roman"/>
          <w:sz w:val="24"/>
          <w:szCs w:val="24"/>
          <w:lang w:val="en-GB"/>
        </w:rPr>
        <w:t xml:space="preserve">Total </w:t>
      </w:r>
      <w:r w:rsidRPr="00D768D3">
        <w:rPr>
          <w:rFonts w:ascii="Times New Roman" w:hAnsi="Times New Roman" w:cs="Times New Roman"/>
          <w:sz w:val="24"/>
          <w:szCs w:val="24"/>
          <w:lang w:val="en-GB"/>
        </w:rPr>
        <w:lastRenderedPageBreak/>
        <w:t>urinary free cortisol wa</w:t>
      </w:r>
      <w:bookmarkStart w:id="0" w:name="_GoBack"/>
      <w:bookmarkEnd w:id="0"/>
      <w:r w:rsidRPr="00D768D3">
        <w:rPr>
          <w:rFonts w:ascii="Times New Roman" w:hAnsi="Times New Roman" w:cs="Times New Roman"/>
          <w:sz w:val="24"/>
          <w:szCs w:val="24"/>
          <w:lang w:val="en-GB"/>
        </w:rPr>
        <w:t>s calculated from the measured cortisol concentration and the total amount of 24 hour urine.</w:t>
      </w:r>
      <w:r w:rsidRPr="00D768D3">
        <w:rPr>
          <w:rFonts w:ascii="Times New Roman" w:hAnsi="Times New Roman" w:cs="Times New Roman"/>
          <w:sz w:val="24"/>
          <w:szCs w:val="24"/>
        </w:rPr>
        <w:t xml:space="preserve"> </w:t>
      </w:r>
    </w:p>
    <w:p w:rsidR="00EE2ADC" w:rsidRPr="00D768D3" w:rsidDel="006F083B" w:rsidRDefault="00EE2ADC" w:rsidP="00EE2ADC">
      <w:pPr>
        <w:rPr>
          <w:rFonts w:ascii="Times New Roman" w:hAnsi="Times New Roman" w:cs="Times New Roman"/>
          <w:sz w:val="24"/>
          <w:szCs w:val="24"/>
        </w:rPr>
      </w:pPr>
      <w:r w:rsidRPr="00D768D3">
        <w:rPr>
          <w:rFonts w:ascii="Times New Roman" w:hAnsi="Times New Roman" w:cs="Times New Roman"/>
          <w:b/>
          <w:bCs/>
          <w:sz w:val="24"/>
          <w:szCs w:val="24"/>
        </w:rPr>
        <w:t xml:space="preserve">Allostatic load </w:t>
      </w:r>
      <w:r w:rsidRPr="00D768D3">
        <w:rPr>
          <w:rFonts w:ascii="Times New Roman" w:hAnsi="Times New Roman" w:cs="Times New Roman"/>
          <w:sz w:val="24"/>
          <w:szCs w:val="24"/>
        </w:rPr>
        <w:t>is a measure of the body’s “wear and tear” in response to stress and adaptation (</w:t>
      </w:r>
      <w:r>
        <w:rPr>
          <w:rFonts w:ascii="Times New Roman" w:hAnsi="Times New Roman" w:cs="Times New Roman"/>
          <w:sz w:val="24"/>
          <w:szCs w:val="24"/>
        </w:rPr>
        <w:t>ref 37--</w:t>
      </w:r>
      <w:r w:rsidRPr="00D768D3">
        <w:rPr>
          <w:rFonts w:ascii="Times New Roman" w:hAnsi="Times New Roman" w:cs="Times New Roman"/>
          <w:sz w:val="24"/>
          <w:szCs w:val="24"/>
        </w:rPr>
        <w:t>McEwen, 1993). In this study we included 11 components: metabolic (waist to hip ratio), cardiovascular activity (systolic and diastolic blood pressure, serum aldosterone); inflammatory response parameters (plasma levels of IL-6, CRP, and albumin); HPA-axis activity parameters (24-hour urinary cortisol, serum DHEA-S) and measures of sympathetic nervous system (SNS) activity (i.e., plasma norepinephrine, epinephrine). Aggregate results for the CFS group and the control group (i.e., well without CFS) have been reported previously (Maloney et al. 2006). Risk cut-offs for these 11 factors were based on quartile risk levels (i.e., 25th percentile and 75th percentile) determined for the non-fatigued controls in the study, except for blood pressure indices, which were based on clinical reference values (</w:t>
      </w:r>
      <w:r>
        <w:rPr>
          <w:rFonts w:ascii="Times New Roman" w:hAnsi="Times New Roman" w:cs="Times New Roman"/>
          <w:sz w:val="24"/>
          <w:szCs w:val="24"/>
        </w:rPr>
        <w:t>ref 38--</w:t>
      </w:r>
      <w:r w:rsidRPr="00D768D3">
        <w:rPr>
          <w:rFonts w:ascii="Times New Roman" w:hAnsi="Times New Roman" w:cs="Times New Roman"/>
          <w:sz w:val="24"/>
          <w:szCs w:val="24"/>
        </w:rPr>
        <w:t xml:space="preserve">Maloney et al. 2006). </w:t>
      </w:r>
    </w:p>
    <w:p w:rsidR="00EE2ADC" w:rsidRPr="00D768D3" w:rsidRDefault="00EE2ADC" w:rsidP="00EE2ADC">
      <w:pPr>
        <w:rPr>
          <w:rFonts w:ascii="Times New Roman" w:hAnsi="Times New Roman" w:cs="Times New Roman"/>
          <w:sz w:val="24"/>
          <w:szCs w:val="24"/>
        </w:rPr>
        <w:sectPr w:rsidR="00EE2ADC" w:rsidRPr="00D768D3" w:rsidSect="00EE2ADC">
          <w:headerReference w:type="default" r:id="rId4"/>
          <w:pgSz w:w="12240" w:h="15840"/>
          <w:pgMar w:top="1440" w:right="1440" w:bottom="1440" w:left="1440" w:header="720" w:footer="720" w:gutter="0"/>
          <w:cols w:space="720"/>
          <w:docGrid w:linePitch="360"/>
        </w:sectPr>
      </w:pPr>
    </w:p>
    <w:p w:rsidR="00EE2ADC" w:rsidRPr="00E60516" w:rsidRDefault="00EE2ADC" w:rsidP="00EE2ADC">
      <w:pPr>
        <w:rPr>
          <w:rFonts w:ascii="Times New Roman" w:hAnsi="Times New Roman" w:cs="Times New Roman"/>
          <w:bCs/>
          <w:sz w:val="24"/>
          <w:szCs w:val="24"/>
          <w:lang w:val="en-GB"/>
        </w:rPr>
      </w:pPr>
      <w:r w:rsidRPr="00E60516">
        <w:rPr>
          <w:b/>
          <w:sz w:val="24"/>
          <w:szCs w:val="24"/>
        </w:rPr>
        <w:lastRenderedPageBreak/>
        <w:t>Supplemental tables</w:t>
      </w:r>
    </w:p>
    <w:p w:rsidR="00EE2ADC" w:rsidRPr="000E54DA" w:rsidRDefault="00EE2ADC" w:rsidP="00EE2ADC">
      <w:pPr>
        <w:rPr>
          <w:rFonts w:ascii="Times New Roman" w:hAnsi="Times New Roman" w:cs="Times New Roman"/>
          <w:bCs/>
          <w:sz w:val="24"/>
          <w:szCs w:val="24"/>
          <w:lang w:val="en-GB"/>
        </w:rPr>
      </w:pPr>
      <w:r w:rsidRPr="00DD0359">
        <w:rPr>
          <w:rFonts w:ascii="Times New Roman" w:hAnsi="Times New Roman" w:cs="Times New Roman"/>
          <w:b/>
          <w:bCs/>
          <w:sz w:val="24"/>
          <w:szCs w:val="24"/>
          <w:lang w:val="en-GB"/>
        </w:rPr>
        <w:t>Table 1</w:t>
      </w:r>
      <w:r>
        <w:rPr>
          <w:rFonts w:ascii="Times New Roman" w:hAnsi="Times New Roman" w:cs="Times New Roman"/>
          <w:b/>
          <w:bCs/>
          <w:sz w:val="24"/>
          <w:szCs w:val="24"/>
          <w:lang w:val="en-GB"/>
        </w:rPr>
        <w:t>S</w:t>
      </w:r>
      <w:r w:rsidRPr="00DD0359">
        <w:rPr>
          <w:rFonts w:ascii="Times New Roman" w:hAnsi="Times New Roman" w:cs="Times New Roman"/>
          <w:b/>
          <w:bCs/>
          <w:sz w:val="24"/>
          <w:szCs w:val="24"/>
          <w:lang w:val="en-GB"/>
        </w:rPr>
        <w:t>. Demographic characteristic for the sample of 36 women with chronic fatigue syndrome (CFS) by subgroup: with endometriosis (CFS+EM) and without endometriosis (CFS-only)</w:t>
      </w:r>
      <w:r w:rsidRPr="000E54DA">
        <w:rPr>
          <w:rFonts w:ascii="Times New Roman" w:hAnsi="Times New Roman" w:cs="Times New Roman"/>
          <w:bCs/>
          <w:sz w:val="24"/>
          <w:szCs w:val="24"/>
          <w:lang w:val="en-GB"/>
        </w:rPr>
        <w:t xml:space="preserve">. </w:t>
      </w:r>
    </w:p>
    <w:tbl>
      <w:tblPr>
        <w:tblStyle w:val="TableGrid"/>
        <w:tblW w:w="0" w:type="auto"/>
        <w:tblLook w:val="04A0" w:firstRow="1" w:lastRow="0" w:firstColumn="1" w:lastColumn="0" w:noHBand="0" w:noVBand="1"/>
      </w:tblPr>
      <w:tblGrid>
        <w:gridCol w:w="4669"/>
        <w:gridCol w:w="2660"/>
        <w:gridCol w:w="2152"/>
        <w:gridCol w:w="2054"/>
        <w:gridCol w:w="1415"/>
      </w:tblGrid>
      <w:tr w:rsidR="00EE2ADC" w:rsidTr="00D746CA">
        <w:tc>
          <w:tcPr>
            <w:tcW w:w="4987" w:type="dxa"/>
            <w:tcBorders>
              <w:top w:val="single" w:sz="2" w:space="0" w:color="000000"/>
              <w:left w:val="dotted" w:sz="4" w:space="0" w:color="auto"/>
              <w:bottom w:val="single" w:sz="2" w:space="0" w:color="000000"/>
              <w:right w:val="dotted" w:sz="4" w:space="0" w:color="auto"/>
              <w:tl2br w:val="single" w:sz="2" w:space="0" w:color="000000"/>
            </w:tcBorders>
            <w:shd w:val="clear" w:color="auto" w:fill="auto"/>
            <w:vAlign w:val="center"/>
          </w:tcPr>
          <w:p w:rsidR="00EE2ADC" w:rsidRPr="0023261F" w:rsidRDefault="00EE2ADC" w:rsidP="00D746CA">
            <w:pPr>
              <w:spacing w:line="360" w:lineRule="auto"/>
              <w:jc w:val="right"/>
              <w:rPr>
                <w:rFonts w:ascii="Times New Roman" w:eastAsia="Calibri" w:hAnsi="Times New Roman" w:cs="Times New Roman"/>
                <w:b/>
                <w:sz w:val="24"/>
                <w:szCs w:val="24"/>
              </w:rPr>
            </w:pPr>
            <w:r w:rsidRPr="0023261F">
              <w:rPr>
                <w:rFonts w:ascii="Times New Roman" w:eastAsia="Calibri" w:hAnsi="Times New Roman" w:cs="Times New Roman"/>
                <w:b/>
                <w:sz w:val="24"/>
                <w:szCs w:val="24"/>
              </w:rPr>
              <w:t>Group</w:t>
            </w:r>
            <w:r>
              <w:rPr>
                <w:rFonts w:ascii="Times New Roman" w:eastAsia="Calibri" w:hAnsi="Times New Roman" w:cs="Times New Roman"/>
                <w:b/>
                <w:sz w:val="24"/>
                <w:szCs w:val="24"/>
              </w:rPr>
              <w:t xml:space="preserve">      </w:t>
            </w:r>
          </w:p>
          <w:p w:rsidR="00EE2ADC" w:rsidRDefault="00EE2ADC" w:rsidP="00D746CA">
            <w:pPr>
              <w:rPr>
                <w:rFonts w:ascii="Times New Roman" w:hAnsi="Times New Roman" w:cs="Times New Roman"/>
                <w:bCs/>
                <w:sz w:val="24"/>
                <w:szCs w:val="24"/>
                <w:lang w:val="en-GB"/>
              </w:rPr>
            </w:pPr>
            <w:r w:rsidRPr="0023261F">
              <w:rPr>
                <w:rFonts w:ascii="Times New Roman" w:eastAsia="Calibri" w:hAnsi="Times New Roman" w:cs="Times New Roman"/>
                <w:b/>
                <w:sz w:val="24"/>
                <w:szCs w:val="24"/>
              </w:rPr>
              <w:t>Variable</w:t>
            </w:r>
          </w:p>
        </w:tc>
        <w:tc>
          <w:tcPr>
            <w:tcW w:w="2815" w:type="dxa"/>
            <w:tcBorders>
              <w:top w:val="single" w:sz="2" w:space="0" w:color="000000"/>
              <w:left w:val="dotted" w:sz="4" w:space="0" w:color="auto"/>
              <w:bottom w:val="single" w:sz="2" w:space="0" w:color="000000"/>
              <w:right w:val="double" w:sz="4" w:space="0" w:color="000000"/>
            </w:tcBorders>
          </w:tcPr>
          <w:p w:rsidR="00EE2ADC" w:rsidRPr="0029277A" w:rsidRDefault="00EE2ADC" w:rsidP="00D746CA">
            <w:pPr>
              <w:spacing w:line="360" w:lineRule="auto"/>
              <w:jc w:val="center"/>
              <w:rPr>
                <w:rFonts w:ascii="Times New Roman" w:eastAsia="Calibri" w:hAnsi="Times New Roman" w:cs="Times New Roman"/>
                <w:iCs/>
                <w:sz w:val="24"/>
                <w:szCs w:val="24"/>
              </w:rPr>
            </w:pPr>
            <w:r w:rsidRPr="0029277A">
              <w:rPr>
                <w:rFonts w:ascii="Times New Roman" w:eastAsia="Calibri" w:hAnsi="Times New Roman" w:cs="Times New Roman"/>
                <w:iCs/>
                <w:sz w:val="24"/>
                <w:szCs w:val="24"/>
              </w:rPr>
              <w:t>All CFS</w:t>
            </w:r>
          </w:p>
          <w:p w:rsidR="00EE2ADC" w:rsidRDefault="00EE2ADC" w:rsidP="00D746CA">
            <w:pPr>
              <w:jc w:val="center"/>
              <w:rPr>
                <w:rFonts w:ascii="Times New Roman" w:hAnsi="Times New Roman" w:cs="Times New Roman"/>
                <w:bCs/>
                <w:sz w:val="24"/>
                <w:szCs w:val="24"/>
                <w:lang w:val="en-GB"/>
              </w:rPr>
            </w:pPr>
            <w:r w:rsidRPr="0029277A">
              <w:rPr>
                <w:rFonts w:ascii="Times New Roman" w:eastAsia="Calibri" w:hAnsi="Times New Roman" w:cs="Times New Roman"/>
                <w:iCs/>
                <w:sz w:val="24"/>
                <w:szCs w:val="24"/>
              </w:rPr>
              <w:t>(n=36)</w:t>
            </w:r>
          </w:p>
        </w:tc>
        <w:tc>
          <w:tcPr>
            <w:tcW w:w="2246" w:type="dxa"/>
            <w:tcBorders>
              <w:top w:val="single" w:sz="2" w:space="0" w:color="000000"/>
              <w:left w:val="double" w:sz="4" w:space="0" w:color="000000"/>
              <w:bottom w:val="single" w:sz="2" w:space="0" w:color="000000"/>
              <w:right w:val="dotted" w:sz="4" w:space="0" w:color="auto"/>
            </w:tcBorders>
            <w:shd w:val="clear" w:color="auto" w:fill="auto"/>
            <w:vAlign w:val="center"/>
          </w:tcPr>
          <w:p w:rsidR="00EE2ADC" w:rsidRPr="0029277A" w:rsidRDefault="00EE2ADC" w:rsidP="00D746CA">
            <w:pPr>
              <w:spacing w:line="360" w:lineRule="auto"/>
              <w:jc w:val="center"/>
              <w:rPr>
                <w:rFonts w:ascii="Times New Roman" w:eastAsia="Calibri" w:hAnsi="Times New Roman" w:cs="Times New Roman"/>
                <w:iCs/>
                <w:sz w:val="24"/>
                <w:szCs w:val="24"/>
              </w:rPr>
            </w:pPr>
            <w:r w:rsidRPr="0029277A">
              <w:rPr>
                <w:rFonts w:ascii="Times New Roman" w:eastAsia="Calibri" w:hAnsi="Times New Roman" w:cs="Times New Roman"/>
                <w:iCs/>
                <w:sz w:val="24"/>
                <w:szCs w:val="24"/>
              </w:rPr>
              <w:t>CFS+EM</w:t>
            </w:r>
          </w:p>
          <w:p w:rsidR="00EE2ADC" w:rsidRDefault="00EE2ADC" w:rsidP="00D746CA">
            <w:pPr>
              <w:jc w:val="center"/>
              <w:rPr>
                <w:rFonts w:ascii="Times New Roman" w:hAnsi="Times New Roman" w:cs="Times New Roman"/>
                <w:bCs/>
                <w:sz w:val="24"/>
                <w:szCs w:val="24"/>
                <w:lang w:val="en-GB"/>
              </w:rPr>
            </w:pPr>
            <w:r w:rsidRPr="0029277A">
              <w:rPr>
                <w:rFonts w:ascii="Times New Roman" w:eastAsia="Calibri" w:hAnsi="Times New Roman" w:cs="Times New Roman"/>
                <w:iCs/>
                <w:sz w:val="24"/>
                <w:szCs w:val="24"/>
              </w:rPr>
              <w:t>(n=13)</w:t>
            </w:r>
          </w:p>
        </w:tc>
        <w:tc>
          <w:tcPr>
            <w:tcW w:w="2152" w:type="dxa"/>
            <w:tcBorders>
              <w:top w:val="single" w:sz="2" w:space="0" w:color="000000"/>
              <w:left w:val="dotted" w:sz="4" w:space="0" w:color="auto"/>
              <w:bottom w:val="single" w:sz="2" w:space="0" w:color="000000"/>
              <w:right w:val="dotted" w:sz="4" w:space="0" w:color="auto"/>
            </w:tcBorders>
            <w:shd w:val="clear" w:color="auto" w:fill="auto"/>
            <w:vAlign w:val="center"/>
          </w:tcPr>
          <w:p w:rsidR="00EE2ADC" w:rsidRDefault="00EE2ADC" w:rsidP="00D746CA">
            <w:pPr>
              <w:jc w:val="center"/>
              <w:rPr>
                <w:rFonts w:ascii="Times New Roman" w:eastAsia="Calibri" w:hAnsi="Times New Roman" w:cs="Times New Roman"/>
                <w:iCs/>
                <w:sz w:val="24"/>
                <w:szCs w:val="24"/>
              </w:rPr>
            </w:pPr>
            <w:r w:rsidRPr="0029277A">
              <w:rPr>
                <w:rFonts w:ascii="Times New Roman" w:eastAsia="Calibri" w:hAnsi="Times New Roman" w:cs="Times New Roman"/>
                <w:iCs/>
                <w:sz w:val="24"/>
                <w:szCs w:val="24"/>
              </w:rPr>
              <w:t xml:space="preserve">CFS-only </w:t>
            </w:r>
          </w:p>
          <w:p w:rsidR="00EE2ADC" w:rsidRDefault="00EE2ADC" w:rsidP="00D746CA">
            <w:pPr>
              <w:jc w:val="center"/>
              <w:rPr>
                <w:rFonts w:ascii="Times New Roman" w:hAnsi="Times New Roman" w:cs="Times New Roman"/>
                <w:bCs/>
                <w:sz w:val="24"/>
                <w:szCs w:val="24"/>
                <w:lang w:val="en-GB"/>
              </w:rPr>
            </w:pPr>
            <w:r w:rsidRPr="0029277A">
              <w:rPr>
                <w:rFonts w:ascii="Times New Roman" w:eastAsia="Calibri" w:hAnsi="Times New Roman" w:cs="Times New Roman"/>
                <w:iCs/>
                <w:sz w:val="24"/>
                <w:szCs w:val="24"/>
              </w:rPr>
              <w:t>(n=23)</w:t>
            </w:r>
          </w:p>
        </w:tc>
        <w:tc>
          <w:tcPr>
            <w:tcW w:w="1470" w:type="dxa"/>
            <w:tcBorders>
              <w:top w:val="single" w:sz="2" w:space="0" w:color="000000"/>
              <w:left w:val="dotted" w:sz="4" w:space="0" w:color="auto"/>
              <w:bottom w:val="single" w:sz="2" w:space="0" w:color="000000"/>
              <w:right w:val="dotted" w:sz="4" w:space="0" w:color="auto"/>
            </w:tcBorders>
            <w:shd w:val="clear" w:color="auto" w:fill="auto"/>
            <w:vAlign w:val="center"/>
          </w:tcPr>
          <w:p w:rsidR="00EE2ADC" w:rsidRPr="0029277A" w:rsidRDefault="00EE2ADC" w:rsidP="00D746CA">
            <w:pPr>
              <w:spacing w:line="36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p</w:t>
            </w:r>
          </w:p>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single" w:sz="2" w:space="0" w:color="000000"/>
              <w:left w:val="dotted" w:sz="4" w:space="0" w:color="auto"/>
              <w:bottom w:val="dotted" w:sz="4" w:space="0" w:color="auto"/>
              <w:right w:val="dotted" w:sz="4" w:space="0" w:color="auto"/>
            </w:tcBorders>
            <w:shd w:val="clear" w:color="auto" w:fill="auto"/>
            <w:vAlign w:val="center"/>
          </w:tcPr>
          <w:p w:rsidR="00EE2ADC" w:rsidRDefault="00EE2ADC" w:rsidP="00D746CA">
            <w:pPr>
              <w:rPr>
                <w:rFonts w:ascii="Times New Roman" w:hAnsi="Times New Roman" w:cs="Times New Roman"/>
                <w:bCs/>
                <w:sz w:val="24"/>
                <w:szCs w:val="24"/>
                <w:lang w:val="en-GB"/>
              </w:rPr>
            </w:pPr>
            <w:r>
              <w:rPr>
                <w:rFonts w:ascii="Times New Roman" w:eastAsia="Calibri" w:hAnsi="Times New Roman" w:cs="Times New Roman"/>
                <w:sz w:val="24"/>
                <w:szCs w:val="24"/>
              </w:rPr>
              <w:t>Mean age (SEM)</w:t>
            </w:r>
          </w:p>
        </w:tc>
        <w:tc>
          <w:tcPr>
            <w:tcW w:w="2815" w:type="dxa"/>
            <w:tcBorders>
              <w:top w:val="single" w:sz="2" w:space="0" w:color="000000"/>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50.9 (1.5)</w:t>
            </w:r>
          </w:p>
        </w:tc>
        <w:tc>
          <w:tcPr>
            <w:tcW w:w="2246" w:type="dxa"/>
            <w:tcBorders>
              <w:top w:val="single" w:sz="2" w:space="0" w:color="000000"/>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sidRPr="0063429B">
              <w:rPr>
                <w:rFonts w:ascii="Times New Roman" w:eastAsia="Calibri" w:hAnsi="Times New Roman" w:cs="Times New Roman"/>
                <w:sz w:val="24"/>
                <w:szCs w:val="24"/>
              </w:rPr>
              <w:t>54.0 (1.8)</w:t>
            </w:r>
          </w:p>
        </w:tc>
        <w:tc>
          <w:tcPr>
            <w:tcW w:w="2152" w:type="dxa"/>
            <w:tcBorders>
              <w:top w:val="single" w:sz="2" w:space="0" w:color="000000"/>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sidRPr="0063429B">
              <w:rPr>
                <w:rFonts w:ascii="Times New Roman" w:eastAsia="Calibri" w:hAnsi="Times New Roman" w:cs="Times New Roman"/>
                <w:sz w:val="24"/>
                <w:szCs w:val="24"/>
              </w:rPr>
              <w:t>49.1 (2.1)</w:t>
            </w:r>
          </w:p>
        </w:tc>
        <w:tc>
          <w:tcPr>
            <w:tcW w:w="1470" w:type="dxa"/>
            <w:tcBorders>
              <w:top w:val="single" w:sz="2" w:space="0" w:color="000000"/>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sidRPr="0063429B">
              <w:rPr>
                <w:rFonts w:ascii="Times New Roman" w:eastAsia="Calibri" w:hAnsi="Times New Roman" w:cs="Times New Roman"/>
                <w:sz w:val="24"/>
                <w:szCs w:val="24"/>
              </w:rPr>
              <w:t>0.39</w:t>
            </w: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rPr>
                <w:rFonts w:ascii="Times New Roman" w:hAnsi="Times New Roman" w:cs="Times New Roman"/>
                <w:bCs/>
                <w:sz w:val="24"/>
                <w:szCs w:val="24"/>
                <w:lang w:val="en-GB"/>
              </w:rPr>
            </w:pPr>
            <w:r>
              <w:rPr>
                <w:rFonts w:ascii="Times New Roman" w:eastAsia="Calibri" w:hAnsi="Times New Roman" w:cs="Times New Roman"/>
                <w:sz w:val="24"/>
                <w:szCs w:val="24"/>
              </w:rPr>
              <w:t>Age group</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sidRPr="00E0632D">
              <w:rPr>
                <w:rFonts w:ascii="Times New Roman" w:eastAsia="Calibri" w:hAnsi="Times New Roman" w:cs="Times New Roman"/>
                <w:color w:val="7F7F7F" w:themeColor="text1" w:themeTint="80"/>
                <w:sz w:val="24"/>
                <w:szCs w:val="24"/>
              </w:rPr>
              <w:t>0.24</w:t>
            </w:r>
            <w:r>
              <w:rPr>
                <w:rFonts w:ascii="Times New Roman" w:eastAsia="Calibri" w:hAnsi="Times New Roman" w:cs="Times New Roman"/>
                <w:color w:val="7F7F7F" w:themeColor="text1" w:themeTint="80"/>
                <w:sz w:val="24"/>
                <w:szCs w:val="24"/>
              </w:rPr>
              <w:t xml:space="preserve">, </w:t>
            </w:r>
            <w:r w:rsidRPr="00C07BEC">
              <w:rPr>
                <w:rFonts w:ascii="Times New Roman" w:eastAsia="Calibri" w:hAnsi="Times New Roman" w:cs="Times New Roman"/>
                <w:sz w:val="24"/>
                <w:szCs w:val="24"/>
              </w:rPr>
              <w:t>0.14</w:t>
            </w:r>
            <w:r w:rsidRPr="009C6652">
              <w:rPr>
                <w:rFonts w:ascii="Times New Roman" w:eastAsia="Calibri" w:hAnsi="Times New Roman" w:cs="Times New Roman"/>
                <w:sz w:val="24"/>
                <w:szCs w:val="24"/>
                <w:vertAlign w:val="superscript"/>
              </w:rPr>
              <w:t>(a)</w:t>
            </w: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hAnsi="Times New Roman" w:cs="Times New Roman"/>
                <w:bCs/>
                <w:sz w:val="24"/>
                <w:szCs w:val="24"/>
                <w:lang w:val="en-GB"/>
              </w:rPr>
            </w:pPr>
            <w:r>
              <w:rPr>
                <w:rFonts w:ascii="Times New Roman" w:eastAsia="Calibri" w:hAnsi="Times New Roman" w:cs="Times New Roman"/>
                <w:sz w:val="24"/>
                <w:szCs w:val="24"/>
              </w:rPr>
              <w:t>18-29</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1 (2.8%)</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hAnsi="Times New Roman" w:cs="Times New Roman"/>
                <w:sz w:val="24"/>
                <w:szCs w:val="24"/>
              </w:rPr>
              <w:t>0</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hAnsi="Times New Roman" w:cs="Times New Roman"/>
                <w:sz w:val="24"/>
                <w:szCs w:val="24"/>
              </w:rPr>
              <w:t>1 (4.3%)</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hAnsi="Times New Roman" w:cs="Times New Roman"/>
                <w:bCs/>
                <w:sz w:val="24"/>
                <w:szCs w:val="24"/>
                <w:lang w:val="en-GB"/>
              </w:rPr>
            </w:pPr>
            <w:r>
              <w:rPr>
                <w:rFonts w:ascii="Times New Roman" w:eastAsia="Calibri" w:hAnsi="Times New Roman" w:cs="Times New Roman"/>
                <w:sz w:val="24"/>
                <w:szCs w:val="24"/>
              </w:rPr>
              <w:t>30-39</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4 (11.1%)</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hAnsi="Times New Roman" w:cs="Times New Roman"/>
                <w:sz w:val="24"/>
                <w:szCs w:val="24"/>
              </w:rPr>
              <w:t>0</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hAnsi="Times New Roman" w:cs="Times New Roman"/>
                <w:sz w:val="24"/>
                <w:szCs w:val="24"/>
              </w:rPr>
              <w:t>4 (17.4%)</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hAnsi="Times New Roman" w:cs="Times New Roman"/>
                <w:bCs/>
                <w:sz w:val="24"/>
                <w:szCs w:val="24"/>
                <w:lang w:val="en-GB"/>
              </w:rPr>
            </w:pPr>
            <w:r>
              <w:rPr>
                <w:rFonts w:ascii="Times New Roman" w:eastAsia="Calibri" w:hAnsi="Times New Roman" w:cs="Times New Roman"/>
                <w:sz w:val="24"/>
                <w:szCs w:val="24"/>
              </w:rPr>
              <w:t>40-49</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10 (27.8%)</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hAnsi="Times New Roman" w:cs="Times New Roman"/>
                <w:sz w:val="24"/>
                <w:szCs w:val="24"/>
              </w:rPr>
              <w:t>3 (23.1)</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hAnsi="Times New Roman" w:cs="Times New Roman"/>
                <w:sz w:val="24"/>
                <w:szCs w:val="24"/>
              </w:rPr>
              <w:t>7 (30.4%)</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hAnsi="Times New Roman" w:cs="Times New Roman"/>
                <w:bCs/>
                <w:sz w:val="24"/>
                <w:szCs w:val="24"/>
                <w:lang w:val="en-GB"/>
              </w:rPr>
            </w:pPr>
            <w:r>
              <w:rPr>
                <w:rFonts w:ascii="Times New Roman" w:eastAsia="Calibri" w:hAnsi="Times New Roman" w:cs="Times New Roman"/>
                <w:sz w:val="24"/>
                <w:szCs w:val="24"/>
              </w:rPr>
              <w:t>50 and older</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21 (58.3%)</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hAnsi="Times New Roman" w:cs="Times New Roman"/>
                <w:sz w:val="24"/>
                <w:szCs w:val="24"/>
              </w:rPr>
              <w:t>10 (76.9%)</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hAnsi="Times New Roman" w:cs="Times New Roman"/>
                <w:sz w:val="24"/>
                <w:szCs w:val="24"/>
              </w:rPr>
              <w:t>11 (47.8%)</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rPr>
                <w:rFonts w:ascii="Times New Roman" w:hAnsi="Times New Roman" w:cs="Times New Roman"/>
                <w:bCs/>
                <w:sz w:val="24"/>
                <w:szCs w:val="24"/>
                <w:lang w:val="en-GB"/>
              </w:rPr>
            </w:pPr>
            <w:r>
              <w:rPr>
                <w:rFonts w:ascii="Times New Roman" w:eastAsia="Calibri" w:hAnsi="Times New Roman" w:cs="Times New Roman"/>
                <w:sz w:val="24"/>
                <w:szCs w:val="24"/>
              </w:rPr>
              <w:t>Race</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hAnsi="Times New Roman" w:cs="Times New Roman"/>
                <w:bCs/>
                <w:sz w:val="24"/>
                <w:szCs w:val="24"/>
                <w:lang w:val="en-GB"/>
              </w:rPr>
              <w:t>0.54</w:t>
            </w:r>
            <w:r w:rsidRPr="009C6652">
              <w:rPr>
                <w:rFonts w:ascii="Times New Roman" w:eastAsia="Calibri" w:hAnsi="Times New Roman" w:cs="Times New Roman"/>
                <w:sz w:val="24"/>
                <w:szCs w:val="24"/>
                <w:vertAlign w:val="superscript"/>
              </w:rPr>
              <w:t>(</w:t>
            </w:r>
            <w:r>
              <w:rPr>
                <w:rFonts w:ascii="Times New Roman" w:eastAsia="Calibri" w:hAnsi="Times New Roman" w:cs="Times New Roman"/>
                <w:sz w:val="24"/>
                <w:szCs w:val="24"/>
                <w:vertAlign w:val="superscript"/>
              </w:rPr>
              <w:t>b</w:t>
            </w:r>
            <w:r w:rsidRPr="009C6652">
              <w:rPr>
                <w:rFonts w:ascii="Times New Roman" w:eastAsia="Calibri" w:hAnsi="Times New Roman" w:cs="Times New Roman"/>
                <w:sz w:val="24"/>
                <w:szCs w:val="24"/>
                <w:vertAlign w:val="superscript"/>
              </w:rPr>
              <w:t>)</w:t>
            </w: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eastAsia="Calibri" w:hAnsi="Times New Roman" w:cs="Times New Roman"/>
                <w:sz w:val="24"/>
                <w:szCs w:val="24"/>
              </w:rPr>
            </w:pPr>
            <w:r>
              <w:rPr>
                <w:rFonts w:ascii="Times New Roman" w:eastAsia="Calibri" w:hAnsi="Times New Roman" w:cs="Times New Roman"/>
                <w:sz w:val="24"/>
                <w:szCs w:val="24"/>
              </w:rPr>
              <w:t>White</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32 (88.9%)</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12 (92.3%)</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20 (87.0%)</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eastAsia="Calibri" w:hAnsi="Times New Roman" w:cs="Times New Roman"/>
                <w:sz w:val="24"/>
                <w:szCs w:val="24"/>
              </w:rPr>
            </w:pPr>
            <w:r>
              <w:rPr>
                <w:rFonts w:ascii="Times New Roman" w:eastAsia="Calibri" w:hAnsi="Times New Roman" w:cs="Times New Roman"/>
                <w:sz w:val="24"/>
                <w:szCs w:val="24"/>
              </w:rPr>
              <w:t>Other (Black and Native American)</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4 (11.1%)</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1 (7.7%)</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3 (12.5%)</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rPr>
                <w:rFonts w:ascii="Times New Roman" w:eastAsia="Calibri" w:hAnsi="Times New Roman" w:cs="Times New Roman"/>
                <w:sz w:val="24"/>
                <w:szCs w:val="24"/>
              </w:rPr>
            </w:pPr>
            <w:r>
              <w:rPr>
                <w:rFonts w:ascii="Times New Roman" w:eastAsia="Calibri" w:hAnsi="Times New Roman" w:cs="Times New Roman"/>
                <w:sz w:val="24"/>
                <w:szCs w:val="24"/>
              </w:rPr>
              <w:t>Education</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hAnsi="Times New Roman" w:cs="Times New Roman"/>
                <w:bCs/>
                <w:sz w:val="24"/>
                <w:szCs w:val="24"/>
                <w:lang w:val="en-GB"/>
              </w:rPr>
              <w:t>0.31</w:t>
            </w: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eastAsia="Calibri" w:hAnsi="Times New Roman" w:cs="Times New Roman"/>
                <w:sz w:val="24"/>
                <w:szCs w:val="24"/>
              </w:rPr>
            </w:pPr>
            <w:r>
              <w:rPr>
                <w:rFonts w:ascii="Times New Roman" w:eastAsia="Calibri" w:hAnsi="Times New Roman" w:cs="Times New Roman"/>
                <w:sz w:val="24"/>
                <w:szCs w:val="24"/>
              </w:rPr>
              <w:t>High school graduate</w:t>
            </w:r>
            <w:r w:rsidRPr="009C6652">
              <w:rPr>
                <w:rFonts w:ascii="Times New Roman" w:eastAsia="Calibri" w:hAnsi="Times New Roman" w:cs="Times New Roman"/>
                <w:sz w:val="24"/>
                <w:szCs w:val="24"/>
                <w:vertAlign w:val="superscript"/>
              </w:rPr>
              <w:t>(</w:t>
            </w:r>
            <w:r>
              <w:rPr>
                <w:rFonts w:ascii="Times New Roman" w:eastAsia="Calibri" w:hAnsi="Times New Roman" w:cs="Times New Roman"/>
                <w:sz w:val="24"/>
                <w:szCs w:val="24"/>
                <w:vertAlign w:val="superscript"/>
              </w:rPr>
              <w:t>c</w:t>
            </w:r>
            <w:r w:rsidRPr="009C6652">
              <w:rPr>
                <w:rFonts w:ascii="Times New Roman" w:eastAsia="Calibri" w:hAnsi="Times New Roman" w:cs="Times New Roman"/>
                <w:sz w:val="24"/>
                <w:szCs w:val="24"/>
                <w:vertAlign w:val="superscript"/>
              </w:rPr>
              <w:t>)</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14 (38.9%)</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3 (23.1%)</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11 (47.8%)</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eastAsia="Calibri" w:hAnsi="Times New Roman" w:cs="Times New Roman"/>
                <w:sz w:val="24"/>
                <w:szCs w:val="24"/>
              </w:rPr>
            </w:pPr>
            <w:r>
              <w:rPr>
                <w:rFonts w:ascii="Times New Roman" w:eastAsia="Calibri" w:hAnsi="Times New Roman" w:cs="Times New Roman"/>
                <w:sz w:val="24"/>
                <w:szCs w:val="24"/>
              </w:rPr>
              <w:t>Associate degree, some college or college degree</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22 (61.1%)</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10 (76.9%)</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12 (52.2%)</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Income ($/year)</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sidRPr="003D7FA7">
              <w:rPr>
                <w:rFonts w:ascii="Times New Roman" w:hAnsi="Times New Roman" w:cs="Times New Roman"/>
                <w:bCs/>
                <w:sz w:val="24"/>
                <w:szCs w:val="24"/>
              </w:rPr>
              <w:t>0.57</w:t>
            </w: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eastAsia="Calibri" w:hAnsi="Times New Roman" w:cs="Times New Roman"/>
                <w:sz w:val="24"/>
                <w:szCs w:val="24"/>
              </w:rPr>
            </w:pPr>
            <w:r>
              <w:rPr>
                <w:rFonts w:ascii="Times New Roman" w:eastAsia="Calibri" w:hAnsi="Times New Roman" w:cs="Times New Roman"/>
                <w:sz w:val="24"/>
                <w:szCs w:val="24"/>
              </w:rPr>
              <w:t>=&lt; 20,000</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11 (30.6%)</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4 (30.8%)</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7 (30.4%)</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eastAsia="Calibri" w:hAnsi="Times New Roman" w:cs="Times New Roman"/>
                <w:sz w:val="24"/>
                <w:szCs w:val="24"/>
              </w:rPr>
            </w:pPr>
            <w:r>
              <w:rPr>
                <w:rFonts w:ascii="Times New Roman" w:eastAsia="Calibri" w:hAnsi="Times New Roman" w:cs="Times New Roman"/>
                <w:sz w:val="24"/>
                <w:szCs w:val="24"/>
              </w:rPr>
              <w:t>20,000 to 40,000</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13 (36.1%)</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5 (38.5%)</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8 (34.8%)</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eastAsia="Calibri" w:hAnsi="Times New Roman" w:cs="Times New Roman"/>
                <w:sz w:val="24"/>
                <w:szCs w:val="24"/>
              </w:rPr>
            </w:pPr>
            <w:r>
              <w:rPr>
                <w:rFonts w:ascii="Times New Roman" w:eastAsia="Calibri" w:hAnsi="Times New Roman" w:cs="Times New Roman"/>
                <w:sz w:val="24"/>
                <w:szCs w:val="24"/>
              </w:rPr>
              <w:t>Over 40,000</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9 (25.0%)</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2 (15.4%)</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7 (30.4%)</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right"/>
              <w:rPr>
                <w:rFonts w:ascii="Times New Roman" w:eastAsia="Calibri" w:hAnsi="Times New Roman" w:cs="Times New Roman"/>
                <w:sz w:val="24"/>
                <w:szCs w:val="24"/>
              </w:rPr>
            </w:pPr>
            <w:r>
              <w:rPr>
                <w:rFonts w:ascii="Times New Roman" w:eastAsia="Calibri" w:hAnsi="Times New Roman" w:cs="Times New Roman"/>
                <w:sz w:val="24"/>
                <w:szCs w:val="24"/>
              </w:rPr>
              <w:t>Missing</w:t>
            </w:r>
          </w:p>
        </w:tc>
        <w:tc>
          <w:tcPr>
            <w:tcW w:w="2815" w:type="dxa"/>
            <w:tcBorders>
              <w:top w:val="dotted" w:sz="4" w:space="0" w:color="auto"/>
              <w:left w:val="dotted" w:sz="4" w:space="0" w:color="auto"/>
              <w:bottom w:val="dotted"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3 (12.5%)</w:t>
            </w:r>
          </w:p>
        </w:tc>
        <w:tc>
          <w:tcPr>
            <w:tcW w:w="2246" w:type="dxa"/>
            <w:tcBorders>
              <w:top w:val="dotted" w:sz="4" w:space="0" w:color="auto"/>
              <w:left w:val="double" w:sz="4" w:space="0" w:color="000000"/>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2 (15.4%)</w:t>
            </w:r>
          </w:p>
        </w:tc>
        <w:tc>
          <w:tcPr>
            <w:tcW w:w="2152"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r>
              <w:rPr>
                <w:rFonts w:ascii="Times New Roman" w:eastAsia="Calibri" w:hAnsi="Times New Roman" w:cs="Times New Roman"/>
                <w:sz w:val="24"/>
                <w:szCs w:val="24"/>
              </w:rPr>
              <w:t>1 (4.4%)</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r w:rsidR="00EE2ADC" w:rsidTr="00D746CA">
        <w:tc>
          <w:tcPr>
            <w:tcW w:w="4987" w:type="dxa"/>
            <w:tcBorders>
              <w:top w:val="dotted" w:sz="4" w:space="0" w:color="auto"/>
              <w:left w:val="dotted" w:sz="4" w:space="0" w:color="auto"/>
              <w:bottom w:val="single" w:sz="4" w:space="0" w:color="auto"/>
              <w:right w:val="dotted" w:sz="4" w:space="0" w:color="auto"/>
            </w:tcBorders>
            <w:shd w:val="clear" w:color="auto" w:fill="auto"/>
            <w:vAlign w:val="center"/>
          </w:tcPr>
          <w:p w:rsidR="00EE2ADC" w:rsidRDefault="00EE2ADC" w:rsidP="00D746CA">
            <w:pPr>
              <w:rPr>
                <w:rFonts w:ascii="Times New Roman" w:eastAsia="Calibri" w:hAnsi="Times New Roman" w:cs="Times New Roman"/>
                <w:sz w:val="24"/>
                <w:szCs w:val="24"/>
              </w:rPr>
            </w:pPr>
          </w:p>
        </w:tc>
        <w:tc>
          <w:tcPr>
            <w:tcW w:w="2815" w:type="dxa"/>
            <w:tcBorders>
              <w:top w:val="dotted" w:sz="4" w:space="0" w:color="auto"/>
              <w:left w:val="dotted" w:sz="4" w:space="0" w:color="auto"/>
              <w:bottom w:val="single" w:sz="4" w:space="0" w:color="auto"/>
              <w:right w:val="double" w:sz="4" w:space="0" w:color="000000"/>
            </w:tcBorders>
          </w:tcPr>
          <w:p w:rsidR="00EE2ADC" w:rsidRDefault="00EE2ADC" w:rsidP="00D746CA">
            <w:pPr>
              <w:jc w:val="center"/>
              <w:rPr>
                <w:rFonts w:ascii="Times New Roman" w:hAnsi="Times New Roman" w:cs="Times New Roman"/>
                <w:bCs/>
                <w:sz w:val="24"/>
                <w:szCs w:val="24"/>
                <w:lang w:val="en-GB"/>
              </w:rPr>
            </w:pPr>
          </w:p>
        </w:tc>
        <w:tc>
          <w:tcPr>
            <w:tcW w:w="2246" w:type="dxa"/>
            <w:tcBorders>
              <w:top w:val="dotted" w:sz="4" w:space="0" w:color="auto"/>
              <w:left w:val="double" w:sz="4" w:space="0" w:color="000000"/>
              <w:bottom w:val="single"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c>
          <w:tcPr>
            <w:tcW w:w="2152" w:type="dxa"/>
            <w:tcBorders>
              <w:top w:val="dotted" w:sz="4" w:space="0" w:color="auto"/>
              <w:left w:val="dotted" w:sz="4" w:space="0" w:color="auto"/>
              <w:bottom w:val="single"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c>
          <w:tcPr>
            <w:tcW w:w="1470" w:type="dxa"/>
            <w:tcBorders>
              <w:top w:val="dotted" w:sz="4" w:space="0" w:color="auto"/>
              <w:left w:val="dotted" w:sz="4" w:space="0" w:color="auto"/>
              <w:bottom w:val="single" w:sz="4" w:space="0" w:color="auto"/>
              <w:right w:val="dotted" w:sz="4" w:space="0" w:color="auto"/>
            </w:tcBorders>
            <w:shd w:val="clear" w:color="auto" w:fill="auto"/>
            <w:vAlign w:val="center"/>
          </w:tcPr>
          <w:p w:rsidR="00EE2ADC" w:rsidRDefault="00EE2ADC" w:rsidP="00D746CA">
            <w:pPr>
              <w:jc w:val="center"/>
              <w:rPr>
                <w:rFonts w:ascii="Times New Roman" w:hAnsi="Times New Roman" w:cs="Times New Roman"/>
                <w:bCs/>
                <w:sz w:val="24"/>
                <w:szCs w:val="24"/>
                <w:lang w:val="en-GB"/>
              </w:rPr>
            </w:pPr>
          </w:p>
        </w:tc>
      </w:tr>
    </w:tbl>
    <w:p w:rsidR="00EE2ADC" w:rsidRDefault="00EE2ADC" w:rsidP="00EE2ADC">
      <w:pPr>
        <w:rPr>
          <w:rFonts w:ascii="Times New Roman" w:hAnsi="Times New Roman" w:cs="Times New Roman"/>
          <w:bCs/>
          <w:sz w:val="24"/>
          <w:szCs w:val="24"/>
          <w:lang w:val="en-GB"/>
        </w:rPr>
      </w:pPr>
      <w:r w:rsidRPr="009C6652">
        <w:rPr>
          <w:rFonts w:ascii="Times New Roman" w:eastAsia="Calibri" w:hAnsi="Times New Roman" w:cs="Times New Roman"/>
          <w:sz w:val="24"/>
          <w:szCs w:val="24"/>
          <w:vertAlign w:val="superscript"/>
        </w:rPr>
        <w:t>(a)</w:t>
      </w:r>
      <w:r>
        <w:rPr>
          <w:rFonts w:ascii="Times New Roman" w:hAnsi="Times New Roman" w:cs="Times New Roman"/>
          <w:bCs/>
          <w:sz w:val="24"/>
          <w:szCs w:val="24"/>
          <w:lang w:val="en-GB"/>
        </w:rPr>
        <w:t xml:space="preserve">Fisher’s exact test two-tailed p value for age as dichotomous variable: p=0.14 for less than 40 versus 40 and older. </w:t>
      </w:r>
    </w:p>
    <w:p w:rsidR="00EE2ADC" w:rsidRDefault="00EE2ADC" w:rsidP="00EE2ADC">
      <w:pPr>
        <w:rPr>
          <w:rFonts w:ascii="Times New Roman" w:hAnsi="Times New Roman" w:cs="Times New Roman"/>
          <w:bCs/>
          <w:sz w:val="24"/>
          <w:szCs w:val="24"/>
          <w:lang w:val="en-GB"/>
        </w:rPr>
      </w:pPr>
      <w:r w:rsidRPr="00C07BEC">
        <w:rPr>
          <w:rFonts w:ascii="Times New Roman" w:hAnsi="Times New Roman" w:cs="Times New Roman"/>
          <w:bCs/>
          <w:sz w:val="24"/>
          <w:szCs w:val="24"/>
          <w:vertAlign w:val="superscript"/>
          <w:lang w:val="en-GB"/>
        </w:rPr>
        <w:t>(b)</w:t>
      </w:r>
      <w:r w:rsidRPr="00C07BEC">
        <w:rPr>
          <w:rFonts w:ascii="Times New Roman" w:hAnsi="Times New Roman" w:cs="Times New Roman"/>
          <w:bCs/>
          <w:sz w:val="24"/>
          <w:szCs w:val="24"/>
          <w:lang w:val="en-GB"/>
        </w:rPr>
        <w:t>Fisher’s exact test two-tailed p</w:t>
      </w:r>
    </w:p>
    <w:p w:rsidR="00EE2ADC" w:rsidRDefault="00EE2ADC" w:rsidP="00EE2ADC">
      <w:pPr>
        <w:rPr>
          <w:rFonts w:ascii="Times New Roman" w:hAnsi="Times New Roman" w:cs="Times New Roman"/>
          <w:b/>
          <w:bCs/>
          <w:sz w:val="24"/>
          <w:szCs w:val="24"/>
          <w:lang w:val="en-GB"/>
        </w:rPr>
      </w:pPr>
      <w:r w:rsidRPr="00C07BEC">
        <w:rPr>
          <w:rFonts w:ascii="Times New Roman" w:hAnsi="Times New Roman" w:cs="Times New Roman"/>
          <w:bCs/>
          <w:sz w:val="24"/>
          <w:szCs w:val="24"/>
          <w:vertAlign w:val="superscript"/>
          <w:lang w:val="en-GB"/>
        </w:rPr>
        <w:t>(</w:t>
      </w:r>
      <w:r>
        <w:rPr>
          <w:rFonts w:ascii="Times New Roman" w:hAnsi="Times New Roman" w:cs="Times New Roman"/>
          <w:bCs/>
          <w:sz w:val="24"/>
          <w:szCs w:val="24"/>
          <w:vertAlign w:val="superscript"/>
          <w:lang w:val="en-GB"/>
        </w:rPr>
        <w:t>c</w:t>
      </w:r>
      <w:r w:rsidRPr="00C07BEC">
        <w:rPr>
          <w:rFonts w:ascii="Times New Roman" w:hAnsi="Times New Roman" w:cs="Times New Roman"/>
          <w:bCs/>
          <w:sz w:val="24"/>
          <w:szCs w:val="24"/>
          <w:vertAlign w:val="superscript"/>
          <w:lang w:val="en-GB"/>
        </w:rPr>
        <w:t>)</w:t>
      </w:r>
      <w:r>
        <w:rPr>
          <w:rFonts w:ascii="Times New Roman" w:hAnsi="Times New Roman" w:cs="Times New Roman"/>
          <w:bCs/>
          <w:sz w:val="24"/>
          <w:szCs w:val="24"/>
          <w:lang w:val="en-GB"/>
        </w:rPr>
        <w:t>Includes one</w:t>
      </w:r>
      <w:r w:rsidRPr="009C6652">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woma</w:t>
      </w:r>
      <w:r w:rsidRPr="009C6652">
        <w:rPr>
          <w:rFonts w:ascii="Times New Roman" w:hAnsi="Times New Roman" w:cs="Times New Roman"/>
          <w:bCs/>
          <w:sz w:val="24"/>
          <w:szCs w:val="24"/>
          <w:lang w:val="en-GB"/>
        </w:rPr>
        <w:t xml:space="preserve">n </w:t>
      </w:r>
      <w:r>
        <w:rPr>
          <w:rFonts w:ascii="Times New Roman" w:hAnsi="Times New Roman" w:cs="Times New Roman"/>
          <w:bCs/>
          <w:sz w:val="24"/>
          <w:szCs w:val="24"/>
          <w:lang w:val="en-GB"/>
        </w:rPr>
        <w:t>with CFS-only</w:t>
      </w:r>
      <w:r w:rsidRPr="009C6652">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who </w:t>
      </w:r>
      <w:r w:rsidRPr="009C6652">
        <w:rPr>
          <w:rFonts w:ascii="Times New Roman" w:hAnsi="Times New Roman" w:cs="Times New Roman"/>
          <w:bCs/>
          <w:sz w:val="24"/>
          <w:szCs w:val="24"/>
          <w:lang w:val="en-GB"/>
        </w:rPr>
        <w:t>had some high school education</w:t>
      </w:r>
      <w:r>
        <w:rPr>
          <w:rFonts w:ascii="Times New Roman" w:hAnsi="Times New Roman" w:cs="Times New Roman"/>
          <w:bCs/>
          <w:sz w:val="24"/>
          <w:szCs w:val="24"/>
          <w:lang w:val="en-GB"/>
        </w:rPr>
        <w:t xml:space="preserve"> but no diploma. </w:t>
      </w:r>
    </w:p>
    <w:p w:rsidR="00EE2ADC" w:rsidRDefault="00EE2ADC" w:rsidP="00EE2ADC">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rsidR="00EE2ADC" w:rsidRPr="00DD0359" w:rsidRDefault="00EE2ADC" w:rsidP="00EE2ADC">
      <w:pPr>
        <w:rPr>
          <w:rFonts w:ascii="Times New Roman" w:hAnsi="Times New Roman" w:cs="Times New Roman"/>
          <w:b/>
          <w:sz w:val="24"/>
          <w:szCs w:val="24"/>
        </w:rPr>
      </w:pPr>
      <w:r w:rsidRPr="00DD0359">
        <w:rPr>
          <w:rFonts w:ascii="Times New Roman" w:hAnsi="Times New Roman" w:cs="Times New Roman"/>
          <w:b/>
          <w:bCs/>
          <w:sz w:val="24"/>
          <w:szCs w:val="24"/>
          <w:lang w:val="en-GB"/>
        </w:rPr>
        <w:lastRenderedPageBreak/>
        <w:t>Table 2</w:t>
      </w:r>
      <w:r>
        <w:rPr>
          <w:rFonts w:ascii="Times New Roman" w:hAnsi="Times New Roman" w:cs="Times New Roman"/>
          <w:b/>
          <w:bCs/>
          <w:sz w:val="24"/>
          <w:szCs w:val="24"/>
          <w:lang w:val="en-GB"/>
        </w:rPr>
        <w:t>S</w:t>
      </w:r>
      <w:r w:rsidRPr="00DD0359">
        <w:rPr>
          <w:rFonts w:ascii="Times New Roman" w:hAnsi="Times New Roman" w:cs="Times New Roman"/>
          <w:b/>
          <w:bCs/>
          <w:sz w:val="24"/>
          <w:szCs w:val="24"/>
          <w:lang w:val="en-GB"/>
        </w:rPr>
        <w:t xml:space="preserve"> (extended to include well controls). </w:t>
      </w:r>
      <w:r w:rsidRPr="00DD0359">
        <w:rPr>
          <w:rFonts w:ascii="Times New Roman" w:hAnsi="Times New Roman" w:cs="Times New Roman"/>
          <w:b/>
          <w:sz w:val="24"/>
          <w:szCs w:val="24"/>
          <w:lang w:val="en-GB"/>
        </w:rPr>
        <w:t xml:space="preserve">Comparisons </w:t>
      </w:r>
      <w:r>
        <w:rPr>
          <w:rFonts w:ascii="Times New Roman" w:hAnsi="Times New Roman" w:cs="Times New Roman"/>
          <w:b/>
          <w:sz w:val="24"/>
          <w:szCs w:val="24"/>
          <w:lang w:val="en-GB"/>
        </w:rPr>
        <w:t xml:space="preserve">of select characteristics </w:t>
      </w:r>
      <w:r w:rsidRPr="00DD0359">
        <w:rPr>
          <w:rFonts w:ascii="Times New Roman" w:hAnsi="Times New Roman" w:cs="Times New Roman"/>
          <w:b/>
          <w:sz w:val="24"/>
          <w:szCs w:val="24"/>
          <w:lang w:val="en-GB"/>
        </w:rPr>
        <w:t xml:space="preserve">for </w:t>
      </w:r>
      <w:r>
        <w:rPr>
          <w:rFonts w:ascii="Times New Roman" w:hAnsi="Times New Roman" w:cs="Times New Roman"/>
          <w:b/>
          <w:sz w:val="24"/>
          <w:szCs w:val="24"/>
          <w:lang w:val="en-GB"/>
        </w:rPr>
        <w:t xml:space="preserve">cases with </w:t>
      </w:r>
      <w:r w:rsidRPr="00DD0359">
        <w:rPr>
          <w:rFonts w:ascii="Times New Roman" w:hAnsi="Times New Roman" w:cs="Times New Roman"/>
          <w:b/>
          <w:sz w:val="24"/>
          <w:szCs w:val="24"/>
          <w:lang w:val="en-GB"/>
        </w:rPr>
        <w:t>CFS+EM v</w:t>
      </w:r>
      <w:r>
        <w:rPr>
          <w:rFonts w:ascii="Times New Roman" w:hAnsi="Times New Roman" w:cs="Times New Roman"/>
          <w:b/>
          <w:sz w:val="24"/>
          <w:szCs w:val="24"/>
          <w:lang w:val="en-GB"/>
        </w:rPr>
        <w:t>er</w:t>
      </w:r>
      <w:r w:rsidRPr="00DD0359">
        <w:rPr>
          <w:rFonts w:ascii="Times New Roman" w:hAnsi="Times New Roman" w:cs="Times New Roman"/>
          <w:b/>
          <w:sz w:val="24"/>
          <w:szCs w:val="24"/>
          <w:lang w:val="en-GB"/>
        </w:rPr>
        <w:t>s</w:t>
      </w:r>
      <w:r>
        <w:rPr>
          <w:rFonts w:ascii="Times New Roman" w:hAnsi="Times New Roman" w:cs="Times New Roman"/>
          <w:b/>
          <w:sz w:val="24"/>
          <w:szCs w:val="24"/>
          <w:lang w:val="en-GB"/>
        </w:rPr>
        <w:t>us</w:t>
      </w:r>
      <w:r w:rsidRPr="00DD0359">
        <w:rPr>
          <w:rFonts w:ascii="Times New Roman" w:hAnsi="Times New Roman" w:cs="Times New Roman"/>
          <w:b/>
          <w:sz w:val="24"/>
          <w:szCs w:val="24"/>
          <w:lang w:val="en-GB"/>
        </w:rPr>
        <w:t xml:space="preserve"> CFS-only and for controls with endometriosis v</w:t>
      </w:r>
      <w:r>
        <w:rPr>
          <w:rFonts w:ascii="Times New Roman" w:hAnsi="Times New Roman" w:cs="Times New Roman"/>
          <w:b/>
          <w:sz w:val="24"/>
          <w:szCs w:val="24"/>
          <w:lang w:val="en-GB"/>
        </w:rPr>
        <w:t>er</w:t>
      </w:r>
      <w:r w:rsidRPr="00DD0359">
        <w:rPr>
          <w:rFonts w:ascii="Times New Roman" w:hAnsi="Times New Roman" w:cs="Times New Roman"/>
          <w:b/>
          <w:sz w:val="24"/>
          <w:szCs w:val="24"/>
          <w:lang w:val="en-GB"/>
        </w:rPr>
        <w:t>s</w:t>
      </w:r>
      <w:r>
        <w:rPr>
          <w:rFonts w:ascii="Times New Roman" w:hAnsi="Times New Roman" w:cs="Times New Roman"/>
          <w:b/>
          <w:sz w:val="24"/>
          <w:szCs w:val="24"/>
          <w:lang w:val="en-GB"/>
        </w:rPr>
        <w:t>us</w:t>
      </w:r>
      <w:r w:rsidRPr="00DD0359">
        <w:rPr>
          <w:rFonts w:ascii="Times New Roman" w:hAnsi="Times New Roman" w:cs="Times New Roman"/>
          <w:b/>
          <w:sz w:val="24"/>
          <w:szCs w:val="24"/>
          <w:lang w:val="en-GB"/>
        </w:rPr>
        <w:t xml:space="preserve"> controls without endometriosis</w:t>
      </w:r>
      <w:r>
        <w:rPr>
          <w:rFonts w:ascii="Times New Roman" w:hAnsi="Times New Roman" w:cs="Times New Roman"/>
          <w:b/>
          <w:sz w:val="24"/>
          <w:szCs w:val="24"/>
          <w:lang w:val="en-GB"/>
        </w:rPr>
        <w:t>:</w:t>
      </w:r>
      <w:r w:rsidRPr="00DD0359">
        <w:rPr>
          <w:rFonts w:ascii="Times New Roman" w:hAnsi="Times New Roman" w:cs="Times New Roman"/>
          <w:b/>
          <w:sz w:val="24"/>
          <w:szCs w:val="24"/>
          <w:lang w:val="en-GB"/>
        </w:rPr>
        <w:t xml:space="preserve"> case-control study of chronic fatigue syndrome in Wichita, Kansas (2002-2003). </w:t>
      </w:r>
    </w:p>
    <w:tbl>
      <w:tblPr>
        <w:tblW w:w="13855" w:type="dxa"/>
        <w:tblLook w:val="0000" w:firstRow="0" w:lastRow="0" w:firstColumn="0" w:lastColumn="0" w:noHBand="0" w:noVBand="0"/>
      </w:tblPr>
      <w:tblGrid>
        <w:gridCol w:w="4078"/>
        <w:gridCol w:w="1601"/>
        <w:gridCol w:w="1526"/>
        <w:gridCol w:w="1610"/>
        <w:gridCol w:w="1710"/>
        <w:gridCol w:w="1710"/>
        <w:gridCol w:w="1620"/>
      </w:tblGrid>
      <w:tr w:rsidR="00EE2ADC" w:rsidRPr="006C5577" w:rsidTr="00D746CA">
        <w:trPr>
          <w:trHeight w:val="1449"/>
        </w:trPr>
        <w:tc>
          <w:tcPr>
            <w:tcW w:w="4078" w:type="dxa"/>
            <w:tcBorders>
              <w:top w:val="single" w:sz="2" w:space="0" w:color="000000"/>
              <w:left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240" w:lineRule="auto"/>
              <w:jc w:val="center"/>
              <w:rPr>
                <w:rFonts w:ascii="Times New Roman" w:eastAsia="Calibri" w:hAnsi="Times New Roman" w:cs="Times New Roman"/>
                <w:b/>
                <w:sz w:val="24"/>
                <w:szCs w:val="24"/>
              </w:rPr>
            </w:pPr>
          </w:p>
        </w:tc>
        <w:tc>
          <w:tcPr>
            <w:tcW w:w="4737" w:type="dxa"/>
            <w:gridSpan w:val="3"/>
            <w:tcBorders>
              <w:top w:val="single" w:sz="2" w:space="0" w:color="000000"/>
              <w:left w:val="dotted" w:sz="4" w:space="0" w:color="auto"/>
              <w:right w:val="double" w:sz="4" w:space="0" w:color="auto"/>
            </w:tcBorders>
            <w:shd w:val="clear" w:color="auto" w:fill="auto"/>
            <w:tcMar>
              <w:top w:w="58" w:type="dxa"/>
              <w:bottom w:w="58" w:type="dxa"/>
            </w:tcMar>
            <w:vAlign w:val="center"/>
          </w:tcPr>
          <w:p w:rsidR="00EE2ADC" w:rsidRDefault="00EE2ADC" w:rsidP="00D746CA">
            <w:pPr>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CFS cases </w:t>
            </w:r>
          </w:p>
          <w:p w:rsidR="00EE2ADC" w:rsidRPr="004D6A74" w:rsidRDefault="00EE2ADC" w:rsidP="00D746CA">
            <w:pPr>
              <w:spacing w:after="0" w:line="240" w:lineRule="auto"/>
              <w:jc w:val="center"/>
              <w:rPr>
                <w:rFonts w:ascii="Times New Roman" w:eastAsia="Calibri" w:hAnsi="Times New Roman" w:cs="Times New Roman"/>
                <w:iCs/>
                <w:sz w:val="24"/>
                <w:szCs w:val="24"/>
              </w:rPr>
            </w:pPr>
            <w:r w:rsidRPr="004D6A74">
              <w:rPr>
                <w:rFonts w:ascii="Times New Roman" w:eastAsia="Calibri" w:hAnsi="Times New Roman" w:cs="Times New Roman"/>
                <w:iCs/>
                <w:sz w:val="24"/>
                <w:szCs w:val="24"/>
              </w:rPr>
              <w:t>(n=36 women)</w:t>
            </w:r>
          </w:p>
        </w:tc>
        <w:tc>
          <w:tcPr>
            <w:tcW w:w="5040" w:type="dxa"/>
            <w:gridSpan w:val="3"/>
            <w:tcBorders>
              <w:top w:val="single" w:sz="2" w:space="0" w:color="000000"/>
              <w:left w:val="double" w:sz="4" w:space="0" w:color="auto"/>
              <w:right w:val="dotted" w:sz="4" w:space="0" w:color="auto"/>
            </w:tcBorders>
            <w:tcMar>
              <w:top w:w="58" w:type="dxa"/>
              <w:bottom w:w="58" w:type="dxa"/>
            </w:tcMar>
            <w:vAlign w:val="center"/>
          </w:tcPr>
          <w:p w:rsidR="00EE2ADC" w:rsidRDefault="00EE2ADC" w:rsidP="00D746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Well controls </w:t>
            </w:r>
          </w:p>
          <w:p w:rsidR="00EE2ADC" w:rsidRPr="004D6A74" w:rsidRDefault="00EE2ADC" w:rsidP="00D746CA">
            <w:pPr>
              <w:spacing w:after="0" w:line="240" w:lineRule="auto"/>
              <w:jc w:val="center"/>
              <w:rPr>
                <w:rFonts w:ascii="Times New Roman" w:eastAsia="Calibri" w:hAnsi="Times New Roman" w:cs="Times New Roman"/>
                <w:sz w:val="24"/>
                <w:szCs w:val="24"/>
              </w:rPr>
            </w:pPr>
            <w:r w:rsidRPr="004D6A74">
              <w:rPr>
                <w:rFonts w:ascii="Times New Roman" w:eastAsia="Calibri" w:hAnsi="Times New Roman" w:cs="Times New Roman"/>
                <w:sz w:val="24"/>
                <w:szCs w:val="24"/>
              </w:rPr>
              <w:t>(n=48)</w:t>
            </w:r>
          </w:p>
        </w:tc>
      </w:tr>
      <w:tr w:rsidR="00EE2ADC" w:rsidRPr="006C5577" w:rsidTr="00D746CA">
        <w:trPr>
          <w:trHeight w:val="1449"/>
        </w:trPr>
        <w:tc>
          <w:tcPr>
            <w:tcW w:w="4078" w:type="dxa"/>
            <w:tcBorders>
              <w:top w:val="single" w:sz="2" w:space="0" w:color="000000"/>
              <w:left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240" w:lineRule="auto"/>
              <w:jc w:val="center"/>
              <w:rPr>
                <w:rFonts w:ascii="Times New Roman" w:eastAsia="Calibri" w:hAnsi="Times New Roman" w:cs="Times New Roman"/>
                <w:b/>
                <w:sz w:val="24"/>
                <w:szCs w:val="24"/>
              </w:rPr>
            </w:pPr>
            <w:r w:rsidRPr="006C5577">
              <w:rPr>
                <w:rFonts w:ascii="Times New Roman" w:eastAsia="Calibri" w:hAnsi="Times New Roman" w:cs="Times New Roman"/>
                <w:b/>
                <w:sz w:val="24"/>
                <w:szCs w:val="24"/>
              </w:rPr>
              <w:t>Variable</w:t>
            </w:r>
          </w:p>
        </w:tc>
        <w:tc>
          <w:tcPr>
            <w:tcW w:w="1601" w:type="dxa"/>
            <w:tcBorders>
              <w:top w:val="single" w:sz="2" w:space="0" w:color="000000"/>
              <w:left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240" w:lineRule="auto"/>
              <w:jc w:val="center"/>
              <w:rPr>
                <w:rFonts w:ascii="Times New Roman" w:eastAsia="Calibri" w:hAnsi="Times New Roman" w:cs="Times New Roman"/>
                <w:b/>
                <w:iCs/>
                <w:sz w:val="24"/>
                <w:szCs w:val="24"/>
              </w:rPr>
            </w:pPr>
            <w:r w:rsidRPr="006C5577">
              <w:rPr>
                <w:rFonts w:ascii="Times New Roman" w:eastAsia="Calibri" w:hAnsi="Times New Roman" w:cs="Times New Roman"/>
                <w:b/>
                <w:iCs/>
                <w:sz w:val="24"/>
                <w:szCs w:val="24"/>
              </w:rPr>
              <w:t xml:space="preserve">CFS+EM </w:t>
            </w:r>
          </w:p>
          <w:p w:rsidR="00EE2ADC" w:rsidRPr="00830BEE" w:rsidRDefault="00EE2ADC" w:rsidP="00D746CA">
            <w:pPr>
              <w:spacing w:after="0" w:line="240" w:lineRule="auto"/>
              <w:jc w:val="center"/>
              <w:rPr>
                <w:rFonts w:ascii="Times New Roman" w:eastAsia="Calibri" w:hAnsi="Times New Roman" w:cs="Times New Roman"/>
                <w:sz w:val="24"/>
                <w:szCs w:val="24"/>
              </w:rPr>
            </w:pPr>
            <w:r w:rsidRPr="00830BEE">
              <w:rPr>
                <w:rFonts w:ascii="Times New Roman" w:eastAsia="Calibri" w:hAnsi="Times New Roman" w:cs="Times New Roman"/>
                <w:iCs/>
                <w:sz w:val="24"/>
                <w:szCs w:val="24"/>
              </w:rPr>
              <w:t>(n=13)</w:t>
            </w:r>
          </w:p>
        </w:tc>
        <w:tc>
          <w:tcPr>
            <w:tcW w:w="1526" w:type="dxa"/>
            <w:tcBorders>
              <w:top w:val="single" w:sz="2" w:space="0" w:color="000000"/>
              <w:left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240" w:lineRule="auto"/>
              <w:jc w:val="center"/>
              <w:rPr>
                <w:rFonts w:ascii="Times New Roman" w:eastAsia="Calibri" w:hAnsi="Times New Roman" w:cs="Times New Roman"/>
                <w:b/>
                <w:iCs/>
                <w:sz w:val="24"/>
                <w:szCs w:val="24"/>
              </w:rPr>
            </w:pPr>
            <w:r w:rsidRPr="006C5577">
              <w:rPr>
                <w:rFonts w:ascii="Times New Roman" w:eastAsia="Calibri" w:hAnsi="Times New Roman" w:cs="Times New Roman"/>
                <w:b/>
                <w:iCs/>
                <w:sz w:val="24"/>
                <w:szCs w:val="24"/>
              </w:rPr>
              <w:t xml:space="preserve">CFS-only </w:t>
            </w:r>
            <w:r w:rsidRPr="00830BEE">
              <w:rPr>
                <w:rFonts w:ascii="Times New Roman" w:eastAsia="Calibri" w:hAnsi="Times New Roman" w:cs="Times New Roman"/>
                <w:iCs/>
                <w:sz w:val="24"/>
                <w:szCs w:val="24"/>
              </w:rPr>
              <w:t>(n=23)</w:t>
            </w:r>
          </w:p>
        </w:tc>
        <w:tc>
          <w:tcPr>
            <w:tcW w:w="1610" w:type="dxa"/>
            <w:tcBorders>
              <w:top w:val="single" w:sz="2" w:space="0" w:color="000000"/>
              <w:left w:val="dotted" w:sz="4" w:space="0" w:color="auto"/>
              <w:right w:val="double" w:sz="4" w:space="0" w:color="auto"/>
            </w:tcBorders>
            <w:tcMar>
              <w:top w:w="58" w:type="dxa"/>
              <w:bottom w:w="58" w:type="dxa"/>
            </w:tcMar>
          </w:tcPr>
          <w:p w:rsidR="00EE2ADC" w:rsidRDefault="00EE2ADC" w:rsidP="00D746CA">
            <w:pPr>
              <w:spacing w:after="0" w:line="240" w:lineRule="auto"/>
              <w:jc w:val="center"/>
              <w:rPr>
                <w:rFonts w:ascii="Times New Roman" w:eastAsia="Calibri" w:hAnsi="Times New Roman" w:cs="Times New Roman"/>
                <w:b/>
                <w:iCs/>
                <w:sz w:val="24"/>
                <w:szCs w:val="24"/>
              </w:rPr>
            </w:pPr>
          </w:p>
          <w:p w:rsidR="00EE2ADC" w:rsidRDefault="00EE2ADC" w:rsidP="00D746CA">
            <w:pPr>
              <w:spacing w:after="0" w:line="240" w:lineRule="auto"/>
              <w:jc w:val="center"/>
              <w:rPr>
                <w:rFonts w:ascii="Times New Roman" w:eastAsia="Calibri" w:hAnsi="Times New Roman" w:cs="Times New Roman"/>
                <w:b/>
                <w:iCs/>
                <w:color w:val="595959" w:themeColor="text1" w:themeTint="A6"/>
                <w:sz w:val="24"/>
                <w:szCs w:val="24"/>
              </w:rPr>
            </w:pPr>
            <w:r>
              <w:rPr>
                <w:rFonts w:ascii="Times New Roman" w:eastAsia="Calibri" w:hAnsi="Times New Roman" w:cs="Times New Roman"/>
                <w:b/>
                <w:iCs/>
                <w:color w:val="595959" w:themeColor="text1" w:themeTint="A6"/>
                <w:sz w:val="24"/>
                <w:szCs w:val="24"/>
              </w:rPr>
              <w:t>p</w:t>
            </w:r>
          </w:p>
          <w:p w:rsidR="00EE2ADC" w:rsidRDefault="00EE2ADC" w:rsidP="00D746CA">
            <w:pPr>
              <w:spacing w:after="0" w:line="240" w:lineRule="auto"/>
              <w:jc w:val="center"/>
              <w:rPr>
                <w:rFonts w:ascii="Times New Roman" w:eastAsia="Calibri" w:hAnsi="Times New Roman" w:cs="Times New Roman"/>
                <w:iCs/>
                <w:sz w:val="18"/>
                <w:szCs w:val="18"/>
              </w:rPr>
            </w:pPr>
            <w:r>
              <w:rPr>
                <w:rFonts w:ascii="Times New Roman" w:eastAsia="Calibri" w:hAnsi="Times New Roman" w:cs="Times New Roman"/>
                <w:iCs/>
                <w:sz w:val="18"/>
                <w:szCs w:val="18"/>
              </w:rPr>
              <w:t xml:space="preserve"> </w:t>
            </w:r>
          </w:p>
          <w:p w:rsidR="00EE2ADC" w:rsidRPr="006C5577" w:rsidRDefault="00EE2ADC" w:rsidP="00D746CA">
            <w:pPr>
              <w:spacing w:after="0" w:line="240" w:lineRule="auto"/>
              <w:jc w:val="center"/>
              <w:rPr>
                <w:rFonts w:ascii="Times New Roman" w:eastAsia="Calibri" w:hAnsi="Times New Roman" w:cs="Times New Roman"/>
                <w:iCs/>
                <w:sz w:val="18"/>
                <w:szCs w:val="18"/>
              </w:rPr>
            </w:pPr>
            <w:r>
              <w:rPr>
                <w:rFonts w:ascii="Times New Roman" w:eastAsia="Calibri" w:hAnsi="Times New Roman" w:cs="Times New Roman"/>
                <w:iCs/>
                <w:sz w:val="18"/>
                <w:szCs w:val="18"/>
              </w:rPr>
              <w:t>(CFS+EM) versus (CFS-only</w:t>
            </w:r>
            <w:r w:rsidRPr="00A2795B">
              <w:rPr>
                <w:rFonts w:ascii="Times New Roman" w:eastAsia="Calibri" w:hAnsi="Times New Roman" w:cs="Times New Roman"/>
                <w:iCs/>
                <w:sz w:val="18"/>
                <w:szCs w:val="18"/>
              </w:rPr>
              <w:t>)</w:t>
            </w:r>
            <w:r w:rsidRPr="006C5577">
              <w:rPr>
                <w:rFonts w:ascii="Times New Roman" w:eastAsia="Calibri" w:hAnsi="Times New Roman" w:cs="Times New Roman"/>
                <w:iCs/>
                <w:sz w:val="18"/>
                <w:szCs w:val="18"/>
              </w:rPr>
              <w:t xml:space="preserve"> </w:t>
            </w:r>
          </w:p>
          <w:p w:rsidR="00EE2ADC" w:rsidRDefault="00EE2ADC" w:rsidP="00D746CA">
            <w:pPr>
              <w:spacing w:after="0" w:line="240" w:lineRule="auto"/>
              <w:jc w:val="center"/>
              <w:rPr>
                <w:rFonts w:ascii="Times New Roman" w:eastAsia="Calibri" w:hAnsi="Times New Roman" w:cs="Times New Roman"/>
                <w:b/>
                <w:iCs/>
                <w:sz w:val="24"/>
                <w:szCs w:val="24"/>
              </w:rPr>
            </w:pPr>
          </w:p>
        </w:tc>
        <w:tc>
          <w:tcPr>
            <w:tcW w:w="1710" w:type="dxa"/>
            <w:tcBorders>
              <w:top w:val="single" w:sz="2" w:space="0" w:color="000000"/>
              <w:left w:val="double" w:sz="4" w:space="0" w:color="auto"/>
              <w:right w:val="dotted" w:sz="4" w:space="0" w:color="auto"/>
            </w:tcBorders>
            <w:tcMar>
              <w:top w:w="58" w:type="dxa"/>
              <w:bottom w:w="58" w:type="dxa"/>
            </w:tcMar>
            <w:vAlign w:val="center"/>
          </w:tcPr>
          <w:p w:rsidR="00EE2ADC" w:rsidRPr="004942C1" w:rsidRDefault="00EE2ADC" w:rsidP="00D746CA">
            <w:pPr>
              <w:spacing w:after="0" w:line="240" w:lineRule="auto"/>
              <w:jc w:val="center"/>
              <w:rPr>
                <w:rFonts w:ascii="Times New Roman" w:eastAsia="Calibri" w:hAnsi="Times New Roman" w:cs="Times New Roman"/>
                <w:b/>
                <w:iCs/>
                <w:color w:val="595959" w:themeColor="text1" w:themeTint="A6"/>
                <w:sz w:val="24"/>
                <w:szCs w:val="24"/>
              </w:rPr>
            </w:pPr>
            <w:r w:rsidRPr="004942C1">
              <w:rPr>
                <w:rFonts w:ascii="Times New Roman" w:eastAsia="Calibri" w:hAnsi="Times New Roman" w:cs="Times New Roman"/>
                <w:b/>
                <w:iCs/>
                <w:color w:val="595959" w:themeColor="text1" w:themeTint="A6"/>
                <w:sz w:val="24"/>
                <w:szCs w:val="24"/>
              </w:rPr>
              <w:t xml:space="preserve">Con+EM </w:t>
            </w:r>
          </w:p>
          <w:p w:rsidR="00EE2ADC" w:rsidRPr="00830BEE" w:rsidRDefault="00EE2ADC" w:rsidP="00D746CA">
            <w:pPr>
              <w:spacing w:after="0" w:line="240" w:lineRule="auto"/>
              <w:jc w:val="center"/>
              <w:rPr>
                <w:rFonts w:ascii="Times New Roman" w:eastAsia="Calibri" w:hAnsi="Times New Roman" w:cs="Times New Roman"/>
                <w:color w:val="595959" w:themeColor="text1" w:themeTint="A6"/>
                <w:sz w:val="24"/>
                <w:szCs w:val="24"/>
              </w:rPr>
            </w:pPr>
            <w:r w:rsidRPr="00830BEE">
              <w:rPr>
                <w:rFonts w:ascii="Times New Roman" w:eastAsia="Calibri" w:hAnsi="Times New Roman" w:cs="Times New Roman"/>
                <w:iCs/>
                <w:color w:val="595959" w:themeColor="text1" w:themeTint="A6"/>
                <w:sz w:val="24"/>
                <w:szCs w:val="24"/>
              </w:rPr>
              <w:t>(n=8)</w:t>
            </w:r>
          </w:p>
        </w:tc>
        <w:tc>
          <w:tcPr>
            <w:tcW w:w="1710" w:type="dxa"/>
            <w:tcBorders>
              <w:top w:val="single" w:sz="2" w:space="0" w:color="000000"/>
              <w:left w:val="dotted" w:sz="4" w:space="0" w:color="auto"/>
              <w:right w:val="dotted" w:sz="4" w:space="0" w:color="auto"/>
            </w:tcBorders>
            <w:tcMar>
              <w:top w:w="58" w:type="dxa"/>
              <w:bottom w:w="58" w:type="dxa"/>
            </w:tcMar>
            <w:vAlign w:val="center"/>
          </w:tcPr>
          <w:p w:rsidR="00EE2ADC" w:rsidRPr="004942C1" w:rsidRDefault="00EE2ADC" w:rsidP="00D746CA">
            <w:pPr>
              <w:spacing w:after="0" w:line="240" w:lineRule="auto"/>
              <w:jc w:val="center"/>
              <w:rPr>
                <w:rFonts w:ascii="Times New Roman" w:eastAsia="Calibri" w:hAnsi="Times New Roman" w:cs="Times New Roman"/>
                <w:b/>
                <w:iCs/>
                <w:color w:val="595959" w:themeColor="text1" w:themeTint="A6"/>
                <w:sz w:val="24"/>
                <w:szCs w:val="24"/>
              </w:rPr>
            </w:pPr>
            <w:r w:rsidRPr="004942C1">
              <w:rPr>
                <w:rFonts w:ascii="Times New Roman" w:eastAsia="Calibri" w:hAnsi="Times New Roman" w:cs="Times New Roman"/>
                <w:b/>
                <w:iCs/>
                <w:color w:val="595959" w:themeColor="text1" w:themeTint="A6"/>
                <w:sz w:val="24"/>
                <w:szCs w:val="24"/>
              </w:rPr>
              <w:t xml:space="preserve">Con </w:t>
            </w:r>
            <w:r>
              <w:rPr>
                <w:rFonts w:ascii="Times New Roman" w:eastAsia="Calibri" w:hAnsi="Times New Roman" w:cs="Times New Roman"/>
                <w:b/>
                <w:iCs/>
                <w:color w:val="595959" w:themeColor="text1" w:themeTint="A6"/>
                <w:sz w:val="24"/>
                <w:szCs w:val="24"/>
              </w:rPr>
              <w:t>without</w:t>
            </w:r>
            <w:r w:rsidRPr="004942C1">
              <w:rPr>
                <w:rFonts w:ascii="Times New Roman" w:eastAsia="Calibri" w:hAnsi="Times New Roman" w:cs="Times New Roman"/>
                <w:b/>
                <w:iCs/>
                <w:color w:val="595959" w:themeColor="text1" w:themeTint="A6"/>
                <w:sz w:val="24"/>
                <w:szCs w:val="24"/>
              </w:rPr>
              <w:t xml:space="preserve"> EM </w:t>
            </w:r>
            <w:r w:rsidRPr="00830BEE">
              <w:rPr>
                <w:rFonts w:ascii="Times New Roman" w:eastAsia="Calibri" w:hAnsi="Times New Roman" w:cs="Times New Roman"/>
                <w:iCs/>
                <w:color w:val="595959" w:themeColor="text1" w:themeTint="A6"/>
                <w:sz w:val="24"/>
                <w:szCs w:val="24"/>
              </w:rPr>
              <w:t>(n=40)</w:t>
            </w:r>
          </w:p>
        </w:tc>
        <w:tc>
          <w:tcPr>
            <w:tcW w:w="1620" w:type="dxa"/>
            <w:tcBorders>
              <w:top w:val="single" w:sz="2" w:space="0" w:color="000000"/>
              <w:left w:val="dotted" w:sz="4" w:space="0" w:color="auto"/>
              <w:right w:val="dotted" w:sz="4" w:space="0" w:color="auto"/>
            </w:tcBorders>
            <w:shd w:val="clear" w:color="auto" w:fill="auto"/>
            <w:tcMar>
              <w:top w:w="58" w:type="dxa"/>
              <w:bottom w:w="58" w:type="dxa"/>
            </w:tcMar>
            <w:vAlign w:val="center"/>
          </w:tcPr>
          <w:p w:rsidR="00EE2ADC" w:rsidRPr="000A5A79" w:rsidRDefault="00EE2ADC" w:rsidP="00D746CA">
            <w:pPr>
              <w:spacing w:after="0" w:line="240" w:lineRule="auto"/>
              <w:jc w:val="center"/>
              <w:rPr>
                <w:rFonts w:ascii="Times New Roman" w:eastAsia="Calibri" w:hAnsi="Times New Roman" w:cs="Times New Roman"/>
                <w:b/>
                <w:sz w:val="24"/>
                <w:szCs w:val="24"/>
              </w:rPr>
            </w:pPr>
            <w:r w:rsidRPr="000A5A79">
              <w:rPr>
                <w:rFonts w:ascii="Times New Roman" w:eastAsia="Calibri" w:hAnsi="Times New Roman" w:cs="Times New Roman"/>
                <w:b/>
                <w:sz w:val="24"/>
                <w:szCs w:val="24"/>
              </w:rPr>
              <w:t>p</w:t>
            </w:r>
          </w:p>
          <w:p w:rsidR="00EE2ADC" w:rsidRDefault="00EE2ADC" w:rsidP="00D746CA">
            <w:pPr>
              <w:spacing w:after="0" w:line="240" w:lineRule="auto"/>
              <w:jc w:val="center"/>
              <w:rPr>
                <w:rFonts w:ascii="Times New Roman" w:eastAsia="Calibri" w:hAnsi="Times New Roman" w:cs="Times New Roman"/>
                <w:sz w:val="18"/>
                <w:szCs w:val="18"/>
              </w:rPr>
            </w:pPr>
          </w:p>
          <w:p w:rsidR="00EE2ADC" w:rsidRPr="00EE27CC" w:rsidRDefault="00EE2ADC" w:rsidP="00D746C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r w:rsidRPr="00EE27CC">
              <w:rPr>
                <w:rFonts w:ascii="Times New Roman" w:eastAsia="Calibri" w:hAnsi="Times New Roman" w:cs="Times New Roman"/>
                <w:sz w:val="18"/>
                <w:szCs w:val="18"/>
              </w:rPr>
              <w:t>Con+EM</w:t>
            </w:r>
            <w:r>
              <w:rPr>
                <w:rFonts w:ascii="Times New Roman" w:eastAsia="Calibri" w:hAnsi="Times New Roman" w:cs="Times New Roman"/>
                <w:sz w:val="18"/>
                <w:szCs w:val="18"/>
              </w:rPr>
              <w:t>)</w:t>
            </w:r>
            <w:r w:rsidRPr="00EE27CC">
              <w:rPr>
                <w:rFonts w:ascii="Times New Roman" w:eastAsia="Calibri" w:hAnsi="Times New Roman" w:cs="Times New Roman"/>
                <w:sz w:val="18"/>
                <w:szCs w:val="18"/>
              </w:rPr>
              <w:t xml:space="preserve"> v</w:t>
            </w:r>
            <w:r>
              <w:rPr>
                <w:rFonts w:ascii="Times New Roman" w:eastAsia="Calibri" w:hAnsi="Times New Roman" w:cs="Times New Roman"/>
                <w:sz w:val="18"/>
                <w:szCs w:val="18"/>
              </w:rPr>
              <w:t>ersu</w:t>
            </w:r>
            <w:r w:rsidRPr="00EE27CC">
              <w:rPr>
                <w:rFonts w:ascii="Times New Roman" w:eastAsia="Calibri" w:hAnsi="Times New Roman" w:cs="Times New Roman"/>
                <w:sz w:val="18"/>
                <w:szCs w:val="18"/>
              </w:rPr>
              <w:t xml:space="preserve">s </w:t>
            </w:r>
            <w:r>
              <w:rPr>
                <w:rFonts w:ascii="Times New Roman" w:eastAsia="Calibri" w:hAnsi="Times New Roman" w:cs="Times New Roman"/>
                <w:sz w:val="18"/>
                <w:szCs w:val="18"/>
              </w:rPr>
              <w:t>(</w:t>
            </w:r>
            <w:r w:rsidRPr="00EE27CC">
              <w:rPr>
                <w:rFonts w:ascii="Times New Roman" w:eastAsia="Calibri" w:hAnsi="Times New Roman" w:cs="Times New Roman"/>
                <w:sz w:val="18"/>
                <w:szCs w:val="18"/>
              </w:rPr>
              <w:t>Con w/o</w:t>
            </w:r>
            <w:r>
              <w:rPr>
                <w:rFonts w:ascii="Times New Roman" w:eastAsia="Calibri" w:hAnsi="Times New Roman" w:cs="Times New Roman"/>
                <w:sz w:val="18"/>
                <w:szCs w:val="18"/>
              </w:rPr>
              <w:t xml:space="preserve"> </w:t>
            </w:r>
            <w:r w:rsidRPr="00EE27CC">
              <w:rPr>
                <w:rFonts w:ascii="Times New Roman" w:eastAsia="Calibri" w:hAnsi="Times New Roman" w:cs="Times New Roman"/>
                <w:sz w:val="18"/>
                <w:szCs w:val="18"/>
              </w:rPr>
              <w:t>EM</w:t>
            </w:r>
            <w:r>
              <w:rPr>
                <w:rFonts w:ascii="Times New Roman" w:eastAsia="Calibri" w:hAnsi="Times New Roman" w:cs="Times New Roman"/>
                <w:sz w:val="18"/>
                <w:szCs w:val="18"/>
              </w:rPr>
              <w:t>)</w:t>
            </w:r>
          </w:p>
        </w:tc>
      </w:tr>
      <w:tr w:rsidR="00EE2ADC" w:rsidRPr="006C5577" w:rsidTr="00D746CA">
        <w:trPr>
          <w:trHeight w:val="255"/>
        </w:trPr>
        <w:tc>
          <w:tcPr>
            <w:tcW w:w="4078" w:type="dxa"/>
            <w:tcBorders>
              <w:top w:val="single"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rPr>
                <w:rFonts w:ascii="Times New Roman" w:eastAsia="Calibri" w:hAnsi="Times New Roman" w:cs="Times New Roman"/>
                <w:sz w:val="24"/>
                <w:szCs w:val="24"/>
              </w:rPr>
            </w:pPr>
            <w:r w:rsidRPr="006C5577">
              <w:rPr>
                <w:rFonts w:ascii="Times New Roman" w:eastAsia="Calibri" w:hAnsi="Times New Roman" w:cs="Times New Roman"/>
                <w:sz w:val="24"/>
                <w:szCs w:val="24"/>
              </w:rPr>
              <w:t>Age</w:t>
            </w:r>
            <w:r>
              <w:rPr>
                <w:rFonts w:ascii="Times New Roman" w:eastAsia="Calibri" w:hAnsi="Times New Roman" w:cs="Times New Roman"/>
                <w:sz w:val="24"/>
                <w:szCs w:val="24"/>
              </w:rPr>
              <w:t xml:space="preserve">, </w:t>
            </w:r>
            <w:r w:rsidRPr="006C5577">
              <w:rPr>
                <w:rFonts w:ascii="Times New Roman" w:hAnsi="Times New Roman" w:cs="Times New Roman"/>
                <w:sz w:val="24"/>
                <w:szCs w:val="24"/>
                <w:lang w:val="en-GB"/>
              </w:rPr>
              <w:t xml:space="preserve">mean (SEM) </w:t>
            </w:r>
            <w:r w:rsidRPr="006C5577">
              <w:rPr>
                <w:rFonts w:ascii="Times New Roman" w:eastAsia="Calibri" w:hAnsi="Times New Roman" w:cs="Times New Roman"/>
                <w:sz w:val="24"/>
                <w:szCs w:val="24"/>
              </w:rPr>
              <w:t xml:space="preserve"> </w:t>
            </w:r>
          </w:p>
        </w:tc>
        <w:tc>
          <w:tcPr>
            <w:tcW w:w="1601" w:type="dxa"/>
            <w:tcBorders>
              <w:top w:val="single"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highlight w:val="green"/>
              </w:rPr>
            </w:pPr>
            <w:r w:rsidRPr="006C5577">
              <w:rPr>
                <w:rFonts w:ascii="Times New Roman" w:eastAsia="Calibri" w:hAnsi="Times New Roman" w:cs="Times New Roman"/>
                <w:sz w:val="24"/>
                <w:szCs w:val="24"/>
              </w:rPr>
              <w:t>54.0 (1.8)</w:t>
            </w:r>
          </w:p>
        </w:tc>
        <w:tc>
          <w:tcPr>
            <w:tcW w:w="1526" w:type="dxa"/>
            <w:tcBorders>
              <w:top w:val="single"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rPr>
            </w:pPr>
            <w:r w:rsidRPr="006C5577">
              <w:rPr>
                <w:rFonts w:ascii="Times New Roman" w:eastAsia="Calibri" w:hAnsi="Times New Roman" w:cs="Times New Roman"/>
                <w:sz w:val="24"/>
                <w:szCs w:val="24"/>
              </w:rPr>
              <w:t>49.1 (2.1)</w:t>
            </w:r>
          </w:p>
        </w:tc>
        <w:tc>
          <w:tcPr>
            <w:tcW w:w="1610" w:type="dxa"/>
            <w:tcBorders>
              <w:top w:val="single" w:sz="4" w:space="0" w:color="auto"/>
              <w:left w:val="dotted" w:sz="4" w:space="0" w:color="auto"/>
              <w:bottom w:val="dotted" w:sz="4" w:space="0" w:color="auto"/>
              <w:right w:val="double"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6C5577">
              <w:rPr>
                <w:rFonts w:ascii="Times New Roman" w:eastAsia="Calibri" w:hAnsi="Times New Roman" w:cs="Times New Roman"/>
                <w:sz w:val="24"/>
                <w:szCs w:val="24"/>
              </w:rPr>
              <w:t xml:space="preserve">0.39 </w:t>
            </w:r>
          </w:p>
        </w:tc>
        <w:tc>
          <w:tcPr>
            <w:tcW w:w="1710" w:type="dxa"/>
            <w:tcBorders>
              <w:top w:val="single" w:sz="4" w:space="0" w:color="auto"/>
              <w:left w:val="double"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54.8 (2.9)</w:t>
            </w:r>
          </w:p>
        </w:tc>
        <w:tc>
          <w:tcPr>
            <w:tcW w:w="1710" w:type="dxa"/>
            <w:tcBorders>
              <w:top w:val="single"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50.5 (1.4)</w:t>
            </w:r>
          </w:p>
        </w:tc>
        <w:tc>
          <w:tcPr>
            <w:tcW w:w="1620" w:type="dxa"/>
            <w:tcBorders>
              <w:top w:val="single"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0.61</w:t>
            </w: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rPr>
                <w:rFonts w:ascii="Times New Roman" w:eastAsia="Calibri" w:hAnsi="Times New Roman" w:cs="Times New Roman"/>
                <w:sz w:val="24"/>
                <w:szCs w:val="24"/>
              </w:rPr>
            </w:pPr>
            <w:r w:rsidRPr="006C5577">
              <w:rPr>
                <w:rFonts w:ascii="Times New Roman" w:eastAsia="Calibri" w:hAnsi="Times New Roman" w:cs="Times New Roman"/>
                <w:sz w:val="24"/>
                <w:szCs w:val="24"/>
              </w:rPr>
              <w:t>BMI</w:t>
            </w:r>
            <w:r>
              <w:rPr>
                <w:rFonts w:ascii="Times New Roman" w:eastAsia="Calibri" w:hAnsi="Times New Roman" w:cs="Times New Roman"/>
                <w:sz w:val="24"/>
                <w:szCs w:val="24"/>
              </w:rPr>
              <w:t xml:space="preserve">, </w:t>
            </w:r>
            <w:r w:rsidRPr="006C5577">
              <w:rPr>
                <w:rFonts w:ascii="Times New Roman" w:hAnsi="Times New Roman" w:cs="Times New Roman"/>
                <w:sz w:val="24"/>
                <w:szCs w:val="24"/>
                <w:lang w:val="en-GB"/>
              </w:rPr>
              <w:t xml:space="preserve">mean (SEM) </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28.6 (1.0)</w:t>
            </w: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30.0 (1.0)</w:t>
            </w:r>
          </w:p>
        </w:tc>
        <w:tc>
          <w:tcPr>
            <w:tcW w:w="1610" w:type="dxa"/>
            <w:tcBorders>
              <w:top w:val="dotted" w:sz="4" w:space="0" w:color="auto"/>
              <w:left w:val="dotted" w:sz="4" w:space="0" w:color="auto"/>
              <w:bottom w:val="dotted" w:sz="4" w:space="0" w:color="auto"/>
              <w:right w:val="double"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6C5577">
              <w:rPr>
                <w:rFonts w:ascii="Times New Roman" w:eastAsia="Calibri" w:hAnsi="Times New Roman" w:cs="Times New Roman"/>
                <w:sz w:val="24"/>
                <w:szCs w:val="24"/>
              </w:rPr>
              <w:t>0.29</w:t>
            </w:r>
          </w:p>
        </w:tc>
        <w:tc>
          <w:tcPr>
            <w:tcW w:w="1710" w:type="dxa"/>
            <w:tcBorders>
              <w:top w:val="dotted" w:sz="4" w:space="0" w:color="auto"/>
              <w:left w:val="double"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26.6 (1.5)</w:t>
            </w: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29.6 (0.8)</w:t>
            </w: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0.36</w:t>
            </w: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rPr>
                <w:rFonts w:ascii="Times New Roman" w:hAnsi="Times New Roman" w:cs="Times New Roman"/>
                <w:sz w:val="24"/>
                <w:szCs w:val="24"/>
              </w:rPr>
            </w:pPr>
            <w:r w:rsidRPr="005F0208">
              <w:rPr>
                <w:rFonts w:ascii="Times New Roman" w:hAnsi="Times New Roman" w:cs="Times New Roman"/>
                <w:b/>
                <w:sz w:val="24"/>
                <w:szCs w:val="24"/>
              </w:rPr>
              <w:t xml:space="preserve">SF-36 subscales </w:t>
            </w:r>
            <w:r w:rsidRPr="006C5577">
              <w:rPr>
                <w:rFonts w:ascii="Times New Roman" w:hAnsi="Times New Roman" w:cs="Times New Roman"/>
                <w:sz w:val="24"/>
                <w:szCs w:val="24"/>
              </w:rPr>
              <w:t>(range 0-100)</w:t>
            </w:r>
            <w:r>
              <w:rPr>
                <w:rFonts w:ascii="Times New Roman" w:hAnsi="Times New Roman" w:cs="Times New Roman"/>
                <w:sz w:val="24"/>
                <w:szCs w:val="24"/>
              </w:rPr>
              <w:t>,</w:t>
            </w:r>
            <w:r w:rsidRPr="006C5577">
              <w:rPr>
                <w:rFonts w:ascii="Times New Roman" w:hAnsi="Times New Roman" w:cs="Times New Roman"/>
                <w:sz w:val="24"/>
                <w:szCs w:val="24"/>
              </w:rPr>
              <w:t>^</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rPr>
            </w:pP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rPr>
            </w:pPr>
          </w:p>
        </w:tc>
        <w:tc>
          <w:tcPr>
            <w:tcW w:w="1610" w:type="dxa"/>
            <w:tcBorders>
              <w:top w:val="dotted" w:sz="4" w:space="0" w:color="auto"/>
              <w:left w:val="dotted" w:sz="4" w:space="0" w:color="auto"/>
              <w:bottom w:val="dotted" w:sz="4" w:space="0" w:color="auto"/>
              <w:right w:val="double"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p>
        </w:tc>
        <w:tc>
          <w:tcPr>
            <w:tcW w:w="1710" w:type="dxa"/>
            <w:tcBorders>
              <w:top w:val="dotted" w:sz="4" w:space="0" w:color="auto"/>
              <w:left w:val="double"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hAnsi="Times New Roman" w:cs="Times New Roman"/>
                <w:color w:val="595959" w:themeColor="text1" w:themeTint="A6"/>
                <w:sz w:val="24"/>
                <w:szCs w:val="24"/>
              </w:rPr>
            </w:pP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hAnsi="Times New Roman" w:cs="Times New Roman"/>
                <w:color w:val="808080" w:themeColor="background1" w:themeShade="80"/>
                <w:sz w:val="24"/>
                <w:szCs w:val="24"/>
              </w:rPr>
            </w:pP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jc w:val="right"/>
              <w:rPr>
                <w:rFonts w:ascii="Times New Roman" w:hAnsi="Times New Roman" w:cs="Times New Roman"/>
                <w:sz w:val="24"/>
                <w:szCs w:val="24"/>
              </w:rPr>
            </w:pPr>
            <w:r w:rsidRPr="006C5577">
              <w:rPr>
                <w:rFonts w:ascii="Times New Roman" w:hAnsi="Times New Roman" w:cs="Times New Roman"/>
                <w:sz w:val="24"/>
                <w:szCs w:val="24"/>
              </w:rPr>
              <w:t xml:space="preserve">General health </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53.9 (5.7)</w:t>
            </w: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50.3 (4.6)</w:t>
            </w:r>
          </w:p>
        </w:tc>
        <w:tc>
          <w:tcPr>
            <w:tcW w:w="1610" w:type="dxa"/>
            <w:tcBorders>
              <w:top w:val="dotted" w:sz="4" w:space="0" w:color="auto"/>
              <w:left w:val="dotted" w:sz="4" w:space="0" w:color="auto"/>
              <w:bottom w:val="dotted" w:sz="4" w:space="0" w:color="auto"/>
              <w:right w:val="double"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6C5577">
              <w:rPr>
                <w:rFonts w:ascii="Times New Roman" w:hAnsi="Times New Roman" w:cs="Times New Roman"/>
                <w:sz w:val="24"/>
                <w:szCs w:val="24"/>
              </w:rPr>
              <w:t>0.93</w:t>
            </w:r>
          </w:p>
        </w:tc>
        <w:tc>
          <w:tcPr>
            <w:tcW w:w="1710" w:type="dxa"/>
            <w:tcBorders>
              <w:top w:val="dotted" w:sz="4" w:space="0" w:color="auto"/>
              <w:left w:val="double"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83.3 (5.0)</w:t>
            </w: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87.6 (1.9)</w:t>
            </w: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0.91</w:t>
            </w: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jc w:val="right"/>
              <w:rPr>
                <w:rFonts w:ascii="Times New Roman" w:hAnsi="Times New Roman" w:cs="Times New Roman"/>
                <w:sz w:val="24"/>
                <w:szCs w:val="24"/>
              </w:rPr>
            </w:pPr>
            <w:r w:rsidRPr="006C5577">
              <w:rPr>
                <w:rFonts w:ascii="Times New Roman" w:hAnsi="Times New Roman" w:cs="Times New Roman"/>
                <w:sz w:val="24"/>
                <w:szCs w:val="24"/>
              </w:rPr>
              <w:t>Vitality</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19.6 (4.0)</w:t>
            </w: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16.7 (2.3)</w:t>
            </w:r>
          </w:p>
        </w:tc>
        <w:tc>
          <w:tcPr>
            <w:tcW w:w="1610" w:type="dxa"/>
            <w:tcBorders>
              <w:top w:val="dotted" w:sz="4" w:space="0" w:color="auto"/>
              <w:left w:val="dotted" w:sz="4" w:space="0" w:color="auto"/>
              <w:bottom w:val="dotted" w:sz="4" w:space="0" w:color="auto"/>
              <w:right w:val="double"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6C5577">
              <w:rPr>
                <w:rFonts w:ascii="Times New Roman" w:hAnsi="Times New Roman" w:cs="Times New Roman"/>
                <w:sz w:val="24"/>
                <w:szCs w:val="24"/>
              </w:rPr>
              <w:t xml:space="preserve">0.91 </w:t>
            </w:r>
          </w:p>
        </w:tc>
        <w:tc>
          <w:tcPr>
            <w:tcW w:w="1710" w:type="dxa"/>
            <w:tcBorders>
              <w:top w:val="dotted" w:sz="4" w:space="0" w:color="auto"/>
              <w:left w:val="double"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75.0 (4.5)</w:t>
            </w: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73.5 (2.5)</w:t>
            </w: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0.99</w:t>
            </w: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jc w:val="right"/>
              <w:rPr>
                <w:rFonts w:ascii="Times New Roman" w:hAnsi="Times New Roman" w:cs="Times New Roman"/>
                <w:sz w:val="24"/>
                <w:szCs w:val="24"/>
              </w:rPr>
            </w:pPr>
            <w:r w:rsidRPr="006C5577">
              <w:rPr>
                <w:rFonts w:ascii="Times New Roman" w:hAnsi="Times New Roman" w:cs="Times New Roman"/>
                <w:sz w:val="24"/>
                <w:szCs w:val="24"/>
              </w:rPr>
              <w:t>Bodily Pain</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37.0 (3.8)</w:t>
            </w: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41.8 (3.7)</w:t>
            </w:r>
          </w:p>
        </w:tc>
        <w:tc>
          <w:tcPr>
            <w:tcW w:w="1610" w:type="dxa"/>
            <w:tcBorders>
              <w:top w:val="dotted" w:sz="4" w:space="0" w:color="auto"/>
              <w:left w:val="dotted" w:sz="4" w:space="0" w:color="auto"/>
              <w:bottom w:val="dotted" w:sz="4" w:space="0" w:color="auto"/>
              <w:right w:val="double"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hAnsi="Times New Roman" w:cs="Times New Roman"/>
                <w:color w:val="595959" w:themeColor="text1" w:themeTint="A6"/>
                <w:sz w:val="24"/>
                <w:szCs w:val="24"/>
              </w:rPr>
            </w:pPr>
            <w:r w:rsidRPr="006C5577">
              <w:rPr>
                <w:rFonts w:ascii="Times New Roman" w:hAnsi="Times New Roman" w:cs="Times New Roman"/>
                <w:sz w:val="24"/>
                <w:szCs w:val="24"/>
              </w:rPr>
              <w:t>0.82</w:t>
            </w:r>
          </w:p>
        </w:tc>
        <w:tc>
          <w:tcPr>
            <w:tcW w:w="1710" w:type="dxa"/>
            <w:tcBorders>
              <w:top w:val="dotted" w:sz="4" w:space="0" w:color="auto"/>
              <w:left w:val="double"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79.5 (5.4)</w:t>
            </w: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78.8 (2.0)</w:t>
            </w: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0.99</w:t>
            </w: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rPr>
                <w:rFonts w:ascii="Times New Roman" w:eastAsia="Calibri" w:hAnsi="Times New Roman" w:cs="Times New Roman"/>
                <w:sz w:val="24"/>
                <w:szCs w:val="24"/>
              </w:rPr>
            </w:pPr>
            <w:r w:rsidRPr="005F0208">
              <w:rPr>
                <w:rFonts w:ascii="Times New Roman" w:eastAsia="Calibri" w:hAnsi="Times New Roman" w:cs="Times New Roman"/>
                <w:b/>
                <w:sz w:val="24"/>
                <w:szCs w:val="24"/>
              </w:rPr>
              <w:t>MFI-20 Subscales</w:t>
            </w:r>
            <w:r w:rsidRPr="006C5577">
              <w:rPr>
                <w:rFonts w:ascii="Times New Roman" w:eastAsia="Calibri" w:hAnsi="Times New Roman" w:cs="Times New Roman"/>
                <w:sz w:val="24"/>
                <w:szCs w:val="24"/>
              </w:rPr>
              <w:t xml:space="preserve"> (range 4-20)*</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p>
        </w:tc>
        <w:tc>
          <w:tcPr>
            <w:tcW w:w="1610" w:type="dxa"/>
            <w:tcBorders>
              <w:top w:val="dotted" w:sz="4" w:space="0" w:color="auto"/>
              <w:left w:val="dotted" w:sz="4" w:space="0" w:color="auto"/>
              <w:bottom w:val="dotted" w:sz="4" w:space="0" w:color="auto"/>
              <w:right w:val="double"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p>
        </w:tc>
        <w:tc>
          <w:tcPr>
            <w:tcW w:w="1710" w:type="dxa"/>
            <w:tcBorders>
              <w:top w:val="dotted" w:sz="4" w:space="0" w:color="auto"/>
              <w:left w:val="double"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eastAsia="Calibri" w:hAnsi="Times New Roman" w:cs="Times New Roman"/>
                <w:color w:val="808080" w:themeColor="background1" w:themeShade="80"/>
                <w:sz w:val="24"/>
                <w:szCs w:val="24"/>
              </w:rPr>
            </w:pP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jc w:val="right"/>
              <w:rPr>
                <w:rFonts w:ascii="Times New Roman" w:eastAsia="Calibri" w:hAnsi="Times New Roman" w:cs="Times New Roman"/>
                <w:sz w:val="24"/>
                <w:szCs w:val="24"/>
              </w:rPr>
            </w:pPr>
            <w:r w:rsidRPr="006C5577">
              <w:rPr>
                <w:rFonts w:ascii="Times New Roman" w:eastAsia="Calibri" w:hAnsi="Times New Roman" w:cs="Times New Roman"/>
                <w:sz w:val="24"/>
                <w:szCs w:val="24"/>
              </w:rPr>
              <w:lastRenderedPageBreak/>
              <w:t>General fatigue</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hAnsi="Times New Roman" w:cs="Times New Roman"/>
                <w:sz w:val="24"/>
                <w:szCs w:val="24"/>
              </w:rPr>
              <w:t>17.1 (0.4)</w:t>
            </w: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hAnsi="Times New Roman" w:cs="Times New Roman"/>
                <w:sz w:val="24"/>
                <w:szCs w:val="24"/>
              </w:rPr>
              <w:t>17.9 (0.4)</w:t>
            </w:r>
          </w:p>
        </w:tc>
        <w:tc>
          <w:tcPr>
            <w:tcW w:w="1610" w:type="dxa"/>
            <w:tcBorders>
              <w:top w:val="dotted" w:sz="4" w:space="0" w:color="auto"/>
              <w:left w:val="dotted" w:sz="4" w:space="0" w:color="auto"/>
              <w:bottom w:val="dotted" w:sz="4" w:space="0" w:color="auto"/>
              <w:right w:val="double"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hAnsi="Times New Roman" w:cs="Times New Roman"/>
                <w:color w:val="595959" w:themeColor="text1" w:themeTint="A6"/>
                <w:sz w:val="24"/>
                <w:szCs w:val="24"/>
              </w:rPr>
            </w:pPr>
            <w:r w:rsidRPr="006C5577">
              <w:rPr>
                <w:rFonts w:ascii="Times New Roman" w:eastAsia="Calibri" w:hAnsi="Times New Roman" w:cs="Times New Roman"/>
                <w:sz w:val="24"/>
                <w:szCs w:val="24"/>
              </w:rPr>
              <w:t>0.74</w:t>
            </w:r>
          </w:p>
        </w:tc>
        <w:tc>
          <w:tcPr>
            <w:tcW w:w="1710" w:type="dxa"/>
            <w:tcBorders>
              <w:top w:val="dotted" w:sz="4" w:space="0" w:color="auto"/>
              <w:left w:val="double"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8.0 (0.9)</w:t>
            </w: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7.8 (0.4)</w:t>
            </w: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0.99</w:t>
            </w: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jc w:val="right"/>
              <w:rPr>
                <w:rFonts w:ascii="Times New Roman" w:eastAsia="Calibri" w:hAnsi="Times New Roman" w:cs="Times New Roman"/>
                <w:sz w:val="24"/>
                <w:szCs w:val="24"/>
              </w:rPr>
            </w:pPr>
            <w:r w:rsidRPr="006C5577">
              <w:rPr>
                <w:rFonts w:ascii="Times New Roman" w:eastAsia="Calibri" w:hAnsi="Times New Roman" w:cs="Times New Roman"/>
                <w:sz w:val="24"/>
                <w:szCs w:val="24"/>
              </w:rPr>
              <w:t>Physical fatigue</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hAnsi="Times New Roman" w:cs="Times New Roman"/>
                <w:sz w:val="24"/>
                <w:szCs w:val="24"/>
              </w:rPr>
              <w:t>13.8 (0.9)</w:t>
            </w: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hAnsi="Times New Roman" w:cs="Times New Roman"/>
                <w:sz w:val="24"/>
                <w:szCs w:val="24"/>
              </w:rPr>
              <w:t>14.7 (0.6)</w:t>
            </w:r>
          </w:p>
        </w:tc>
        <w:tc>
          <w:tcPr>
            <w:tcW w:w="1610" w:type="dxa"/>
            <w:tcBorders>
              <w:top w:val="dotted" w:sz="4" w:space="0" w:color="auto"/>
              <w:left w:val="dotted" w:sz="4" w:space="0" w:color="auto"/>
              <w:bottom w:val="dotted" w:sz="4" w:space="0" w:color="auto"/>
              <w:right w:val="double"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6C5577">
              <w:rPr>
                <w:rFonts w:ascii="Times New Roman" w:eastAsia="Calibri" w:hAnsi="Times New Roman" w:cs="Times New Roman"/>
                <w:sz w:val="24"/>
                <w:szCs w:val="24"/>
              </w:rPr>
              <w:t>0.80</w:t>
            </w:r>
          </w:p>
        </w:tc>
        <w:tc>
          <w:tcPr>
            <w:tcW w:w="1710" w:type="dxa"/>
            <w:tcBorders>
              <w:top w:val="dotted" w:sz="4" w:space="0" w:color="auto"/>
              <w:left w:val="double"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6.0 (0.5)</w:t>
            </w: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6.8 (0.4)</w:t>
            </w: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0.88</w:t>
            </w: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jc w:val="right"/>
              <w:rPr>
                <w:rFonts w:ascii="Times New Roman" w:eastAsia="Calibri" w:hAnsi="Times New Roman" w:cs="Times New Roman"/>
                <w:sz w:val="24"/>
                <w:szCs w:val="24"/>
              </w:rPr>
            </w:pPr>
            <w:r w:rsidRPr="006C5577">
              <w:rPr>
                <w:rFonts w:ascii="Times New Roman" w:eastAsia="Calibri" w:hAnsi="Times New Roman" w:cs="Times New Roman"/>
                <w:sz w:val="24"/>
                <w:szCs w:val="24"/>
              </w:rPr>
              <w:t>Mental fatigue</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hAnsi="Times New Roman" w:cs="Times New Roman"/>
                <w:sz w:val="24"/>
                <w:szCs w:val="24"/>
              </w:rPr>
              <w:t>12.8 (1.2)</w:t>
            </w: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hAnsi="Times New Roman" w:cs="Times New Roman"/>
                <w:sz w:val="24"/>
                <w:szCs w:val="24"/>
              </w:rPr>
              <w:t>14.9 (0.8)</w:t>
            </w:r>
          </w:p>
        </w:tc>
        <w:tc>
          <w:tcPr>
            <w:tcW w:w="1610" w:type="dxa"/>
            <w:tcBorders>
              <w:top w:val="dotted" w:sz="4" w:space="0" w:color="auto"/>
              <w:left w:val="dotted" w:sz="4" w:space="0" w:color="auto"/>
              <w:bottom w:val="dotted" w:sz="4" w:space="0" w:color="auto"/>
              <w:right w:val="double"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6C5577">
              <w:rPr>
                <w:rFonts w:ascii="Times New Roman" w:eastAsia="Calibri" w:hAnsi="Times New Roman" w:cs="Times New Roman"/>
                <w:sz w:val="24"/>
                <w:szCs w:val="24"/>
              </w:rPr>
              <w:t>0.28</w:t>
            </w:r>
          </w:p>
        </w:tc>
        <w:tc>
          <w:tcPr>
            <w:tcW w:w="1710" w:type="dxa"/>
            <w:tcBorders>
              <w:top w:val="dotted" w:sz="4" w:space="0" w:color="auto"/>
              <w:left w:val="double"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6.4 (0.9)</w:t>
            </w: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6.3 (0.4)</w:t>
            </w: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0.99</w:t>
            </w: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5F0208" w:rsidRDefault="00EE2ADC" w:rsidP="00D746CA">
            <w:pPr>
              <w:spacing w:after="0" w:line="360" w:lineRule="auto"/>
              <w:rPr>
                <w:rFonts w:ascii="Times New Roman" w:eastAsia="Calibri" w:hAnsi="Times New Roman" w:cs="Times New Roman"/>
                <w:b/>
                <w:sz w:val="24"/>
                <w:szCs w:val="24"/>
              </w:rPr>
            </w:pPr>
            <w:r w:rsidRPr="005F0208">
              <w:rPr>
                <w:rFonts w:ascii="Times New Roman" w:eastAsia="Calibri" w:hAnsi="Times New Roman" w:cs="Times New Roman"/>
                <w:b/>
                <w:sz w:val="24"/>
                <w:szCs w:val="24"/>
              </w:rPr>
              <w:t>Number of CFS symptoms</w:t>
            </w:r>
            <w:r>
              <w:rPr>
                <w:rFonts w:ascii="Times New Roman" w:eastAsia="Calibri" w:hAnsi="Times New Roman" w:cs="Times New Roman"/>
                <w:b/>
                <w:sz w:val="24"/>
                <w:szCs w:val="24"/>
              </w:rPr>
              <w:t xml:space="preserve">, </w:t>
            </w:r>
            <w:r w:rsidRPr="006C5577">
              <w:rPr>
                <w:rFonts w:ascii="Times New Roman" w:hAnsi="Times New Roman" w:cs="Times New Roman"/>
                <w:sz w:val="24"/>
                <w:szCs w:val="24"/>
                <w:lang w:val="en-GB"/>
              </w:rPr>
              <w:t>mean (SEM)</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rPr>
            </w:pPr>
            <w:r w:rsidRPr="006C5577">
              <w:rPr>
                <w:rFonts w:ascii="Times New Roman" w:eastAsia="Calibri" w:hAnsi="Times New Roman" w:cs="Times New Roman"/>
                <w:sz w:val="24"/>
                <w:szCs w:val="24"/>
              </w:rPr>
              <w:t>6.8 (0.3)</w:t>
            </w: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rPr>
            </w:pPr>
            <w:r w:rsidRPr="006C5577">
              <w:rPr>
                <w:rFonts w:ascii="Times New Roman" w:eastAsia="Calibri" w:hAnsi="Times New Roman" w:cs="Times New Roman"/>
                <w:sz w:val="24"/>
                <w:szCs w:val="24"/>
              </w:rPr>
              <w:t>5.5 (0.3)</w:t>
            </w:r>
          </w:p>
        </w:tc>
        <w:tc>
          <w:tcPr>
            <w:tcW w:w="1610" w:type="dxa"/>
            <w:tcBorders>
              <w:top w:val="dotted" w:sz="4" w:space="0" w:color="auto"/>
              <w:left w:val="dotted" w:sz="4" w:space="0" w:color="auto"/>
              <w:bottom w:val="dotted" w:sz="4" w:space="0" w:color="auto"/>
              <w:right w:val="double"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EE27CC">
              <w:rPr>
                <w:rFonts w:ascii="Times New Roman" w:eastAsia="Calibri" w:hAnsi="Times New Roman" w:cs="Times New Roman"/>
                <w:b/>
                <w:sz w:val="24"/>
                <w:szCs w:val="24"/>
              </w:rPr>
              <w:t>0.02</w:t>
            </w:r>
          </w:p>
        </w:tc>
        <w:tc>
          <w:tcPr>
            <w:tcW w:w="1710" w:type="dxa"/>
            <w:tcBorders>
              <w:top w:val="dotted" w:sz="4" w:space="0" w:color="auto"/>
              <w:left w:val="double"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2.3 (0.5)</w:t>
            </w: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1.6 (0.2)</w:t>
            </w: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0.52</w:t>
            </w:r>
          </w:p>
        </w:tc>
      </w:tr>
      <w:tr w:rsidR="00EE2ADC" w:rsidRPr="006C5577" w:rsidTr="00D746CA">
        <w:trPr>
          <w:trHeight w:val="255"/>
        </w:trPr>
        <w:tc>
          <w:tcPr>
            <w:tcW w:w="4078" w:type="dxa"/>
            <w:tcBorders>
              <w:top w:val="dotted" w:sz="4" w:space="0" w:color="auto"/>
              <w:left w:val="dotted" w:sz="4" w:space="0" w:color="auto"/>
              <w:bottom w:val="single" w:sz="4" w:space="0" w:color="000000"/>
              <w:right w:val="dotted" w:sz="4" w:space="0" w:color="auto"/>
            </w:tcBorders>
            <w:shd w:val="clear" w:color="auto" w:fill="auto"/>
            <w:tcMar>
              <w:top w:w="58" w:type="dxa"/>
              <w:left w:w="115" w:type="dxa"/>
              <w:bottom w:w="58" w:type="dxa"/>
              <w:right w:w="115" w:type="dxa"/>
            </w:tcMar>
            <w:vAlign w:val="center"/>
          </w:tcPr>
          <w:p w:rsidR="00EE2ADC" w:rsidRPr="005F0208" w:rsidRDefault="00EE2ADC" w:rsidP="00D746CA">
            <w:pPr>
              <w:spacing w:after="0" w:line="360" w:lineRule="auto"/>
              <w:rPr>
                <w:rFonts w:ascii="Times New Roman" w:eastAsia="Calibri" w:hAnsi="Times New Roman" w:cs="Times New Roman"/>
                <w:b/>
                <w:sz w:val="24"/>
                <w:szCs w:val="24"/>
              </w:rPr>
            </w:pPr>
            <w:r w:rsidRPr="005F0208">
              <w:rPr>
                <w:rFonts w:ascii="Times New Roman" w:eastAsia="Calibri" w:hAnsi="Times New Roman" w:cs="Times New Roman"/>
                <w:b/>
                <w:sz w:val="24"/>
                <w:szCs w:val="24"/>
              </w:rPr>
              <w:t>Symptom Inventory Score</w:t>
            </w:r>
            <w:r>
              <w:rPr>
                <w:rFonts w:ascii="Times New Roman" w:eastAsia="Calibri" w:hAnsi="Times New Roman" w:cs="Times New Roman"/>
                <w:b/>
                <w:sz w:val="24"/>
                <w:szCs w:val="24"/>
              </w:rPr>
              <w:t xml:space="preserve">, </w:t>
            </w:r>
            <w:r w:rsidRPr="005F0208">
              <w:rPr>
                <w:rFonts w:ascii="Times New Roman" w:eastAsia="Calibri" w:hAnsi="Times New Roman" w:cs="Times New Roman"/>
                <w:b/>
                <w:sz w:val="24"/>
                <w:szCs w:val="24"/>
              </w:rPr>
              <w:t xml:space="preserve"> </w:t>
            </w:r>
            <w:r w:rsidRPr="006C5577">
              <w:rPr>
                <w:rFonts w:ascii="Times New Roman" w:hAnsi="Times New Roman" w:cs="Times New Roman"/>
                <w:sz w:val="24"/>
                <w:szCs w:val="24"/>
                <w:lang w:val="en-GB"/>
              </w:rPr>
              <w:t>mean (SEM)</w:t>
            </w:r>
          </w:p>
        </w:tc>
        <w:tc>
          <w:tcPr>
            <w:tcW w:w="1601" w:type="dxa"/>
            <w:tcBorders>
              <w:top w:val="dotted" w:sz="4" w:space="0" w:color="auto"/>
              <w:left w:val="dotted" w:sz="4" w:space="0" w:color="auto"/>
              <w:bottom w:val="single" w:sz="4" w:space="0" w:color="000000"/>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rPr>
            </w:pPr>
            <w:r w:rsidRPr="006C5577">
              <w:rPr>
                <w:rFonts w:ascii="Times New Roman" w:eastAsia="Calibri" w:hAnsi="Times New Roman" w:cs="Times New Roman"/>
                <w:sz w:val="24"/>
                <w:szCs w:val="24"/>
              </w:rPr>
              <w:t>51.4 (5.7)</w:t>
            </w:r>
          </w:p>
        </w:tc>
        <w:tc>
          <w:tcPr>
            <w:tcW w:w="1526" w:type="dxa"/>
            <w:tcBorders>
              <w:top w:val="dotted" w:sz="4" w:space="0" w:color="auto"/>
              <w:left w:val="dotted" w:sz="4" w:space="0" w:color="auto"/>
              <w:bottom w:val="single" w:sz="4" w:space="0" w:color="000000"/>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rPr>
            </w:pPr>
            <w:r w:rsidRPr="006C5577">
              <w:rPr>
                <w:rFonts w:ascii="Times New Roman" w:eastAsia="Calibri" w:hAnsi="Times New Roman" w:cs="Times New Roman"/>
                <w:sz w:val="24"/>
                <w:szCs w:val="24"/>
              </w:rPr>
              <w:t>43.0 (4.3)</w:t>
            </w:r>
          </w:p>
        </w:tc>
        <w:tc>
          <w:tcPr>
            <w:tcW w:w="1610" w:type="dxa"/>
            <w:tcBorders>
              <w:top w:val="dotted" w:sz="4" w:space="0" w:color="auto"/>
              <w:left w:val="dotted" w:sz="4" w:space="0" w:color="auto"/>
              <w:bottom w:val="single" w:sz="4" w:space="0" w:color="000000"/>
              <w:right w:val="double"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6C5577">
              <w:rPr>
                <w:rFonts w:ascii="Times New Roman" w:eastAsia="Calibri" w:hAnsi="Times New Roman" w:cs="Times New Roman"/>
                <w:sz w:val="24"/>
                <w:szCs w:val="24"/>
              </w:rPr>
              <w:t>0.30</w:t>
            </w:r>
          </w:p>
        </w:tc>
        <w:tc>
          <w:tcPr>
            <w:tcW w:w="1710" w:type="dxa"/>
            <w:tcBorders>
              <w:top w:val="dotted" w:sz="4" w:space="0" w:color="auto"/>
              <w:left w:val="double" w:sz="4" w:space="0" w:color="auto"/>
              <w:bottom w:val="single" w:sz="4" w:space="0" w:color="000000"/>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6.6 (1.8)</w:t>
            </w:r>
          </w:p>
        </w:tc>
        <w:tc>
          <w:tcPr>
            <w:tcW w:w="1710" w:type="dxa"/>
            <w:tcBorders>
              <w:top w:val="dotted" w:sz="4" w:space="0" w:color="auto"/>
              <w:left w:val="dotted" w:sz="4" w:space="0" w:color="auto"/>
              <w:bottom w:val="single" w:sz="4" w:space="0" w:color="000000"/>
              <w:right w:val="dotted" w:sz="4" w:space="0" w:color="auto"/>
            </w:tcBorders>
            <w:tcMar>
              <w:top w:w="58" w:type="dxa"/>
              <w:bottom w:w="58" w:type="dxa"/>
            </w:tcMar>
            <w:vAlign w:val="center"/>
          </w:tcPr>
          <w:p w:rsidR="00EE2ADC" w:rsidRPr="004942C1" w:rsidRDefault="00EE2ADC" w:rsidP="00D746CA">
            <w:pPr>
              <w:spacing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4.3 (0.7)</w:t>
            </w:r>
          </w:p>
        </w:tc>
        <w:tc>
          <w:tcPr>
            <w:tcW w:w="1620" w:type="dxa"/>
            <w:tcBorders>
              <w:top w:val="dotted" w:sz="4" w:space="0" w:color="auto"/>
              <w:left w:val="dotted" w:sz="4" w:space="0" w:color="auto"/>
              <w:bottom w:val="single" w:sz="4" w:space="0" w:color="000000"/>
              <w:right w:val="dotted" w:sz="4" w:space="0" w:color="auto"/>
            </w:tcBorders>
            <w:shd w:val="clear" w:color="auto" w:fill="auto"/>
            <w:tcMar>
              <w:top w:w="58" w:type="dxa"/>
              <w:bottom w:w="58" w:type="dxa"/>
            </w:tcMar>
            <w:vAlign w:val="center"/>
          </w:tcPr>
          <w:p w:rsidR="00EE2ADC" w:rsidRPr="00EE27CC" w:rsidRDefault="00EE2ADC" w:rsidP="00D746CA">
            <w:pPr>
              <w:spacing w:after="0" w:line="360" w:lineRule="auto"/>
              <w:jc w:val="center"/>
              <w:rPr>
                <w:rFonts w:ascii="Times New Roman" w:eastAsia="Calibri" w:hAnsi="Times New Roman" w:cs="Times New Roman"/>
                <w:color w:val="808080" w:themeColor="background1" w:themeShade="80"/>
                <w:sz w:val="24"/>
                <w:szCs w:val="24"/>
              </w:rPr>
            </w:pPr>
            <w:r w:rsidRPr="00EE27CC">
              <w:rPr>
                <w:rFonts w:ascii="Times New Roman" w:eastAsia="Calibri" w:hAnsi="Times New Roman" w:cs="Times New Roman"/>
                <w:color w:val="808080" w:themeColor="background1" w:themeShade="80"/>
                <w:sz w:val="24"/>
                <w:szCs w:val="24"/>
              </w:rPr>
              <w:t>0.98</w:t>
            </w:r>
          </w:p>
        </w:tc>
      </w:tr>
      <w:tr w:rsidR="00EE2ADC" w:rsidRPr="006C5577" w:rsidTr="00D746CA">
        <w:trPr>
          <w:trHeight w:val="255"/>
        </w:trPr>
        <w:tc>
          <w:tcPr>
            <w:tcW w:w="4078" w:type="dxa"/>
            <w:tcBorders>
              <w:top w:val="single" w:sz="4" w:space="0" w:color="000000"/>
              <w:left w:val="dotted" w:sz="4" w:space="0" w:color="auto"/>
              <w:bottom w:val="single" w:sz="2" w:space="0" w:color="000000"/>
              <w:right w:val="dotted" w:sz="4" w:space="0" w:color="auto"/>
            </w:tcBorders>
            <w:shd w:val="clear" w:color="auto" w:fill="auto"/>
            <w:tcMar>
              <w:top w:w="58" w:type="dxa"/>
              <w:left w:w="115" w:type="dxa"/>
              <w:bottom w:w="58" w:type="dxa"/>
              <w:right w:w="115" w:type="dxa"/>
            </w:tcMar>
            <w:vAlign w:val="center"/>
          </w:tcPr>
          <w:p w:rsidR="00EE2ADC" w:rsidRPr="005F0208" w:rsidRDefault="00EE2ADC" w:rsidP="00D746CA">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Gynecologic hi</w:t>
            </w:r>
            <w:r w:rsidRPr="005F0208">
              <w:rPr>
                <w:rFonts w:ascii="Times New Roman" w:eastAsia="Calibri" w:hAnsi="Times New Roman" w:cs="Times New Roman"/>
                <w:b/>
                <w:sz w:val="24"/>
                <w:szCs w:val="24"/>
              </w:rPr>
              <w:t>story</w:t>
            </w:r>
          </w:p>
        </w:tc>
        <w:tc>
          <w:tcPr>
            <w:tcW w:w="1601" w:type="dxa"/>
            <w:tcBorders>
              <w:top w:val="single" w:sz="4" w:space="0" w:color="000000"/>
              <w:left w:val="dotted" w:sz="4" w:space="0" w:color="auto"/>
              <w:bottom w:val="single" w:sz="2" w:space="0" w:color="000000"/>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rPr>
            </w:pPr>
          </w:p>
        </w:tc>
        <w:tc>
          <w:tcPr>
            <w:tcW w:w="1526" w:type="dxa"/>
            <w:tcBorders>
              <w:top w:val="single" w:sz="4" w:space="0" w:color="000000"/>
              <w:left w:val="dotted" w:sz="4" w:space="0" w:color="auto"/>
              <w:bottom w:val="single" w:sz="2" w:space="0" w:color="000000"/>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rPr>
            </w:pPr>
          </w:p>
        </w:tc>
        <w:tc>
          <w:tcPr>
            <w:tcW w:w="1610" w:type="dxa"/>
            <w:tcBorders>
              <w:top w:val="single" w:sz="4" w:space="0" w:color="000000"/>
              <w:left w:val="dotted" w:sz="4" w:space="0" w:color="auto"/>
              <w:bottom w:val="single" w:sz="2" w:space="0" w:color="000000"/>
              <w:right w:val="double" w:sz="4" w:space="0" w:color="000000"/>
            </w:tcBorders>
            <w:tcMar>
              <w:top w:w="58" w:type="dxa"/>
              <w:bottom w:w="58" w:type="dxa"/>
            </w:tcMar>
            <w:vAlign w:val="center"/>
          </w:tcPr>
          <w:p w:rsidR="00EE2ADC" w:rsidRPr="00EE27CC" w:rsidRDefault="00EE2ADC" w:rsidP="00D746CA">
            <w:pPr>
              <w:spacing w:after="0" w:line="360" w:lineRule="auto"/>
              <w:jc w:val="center"/>
              <w:rPr>
                <w:rFonts w:ascii="Times New Roman" w:eastAsia="Calibri" w:hAnsi="Times New Roman" w:cs="Times New Roman"/>
                <w:b/>
                <w:sz w:val="24"/>
                <w:szCs w:val="24"/>
              </w:rPr>
            </w:pPr>
          </w:p>
        </w:tc>
        <w:tc>
          <w:tcPr>
            <w:tcW w:w="1710" w:type="dxa"/>
            <w:tcBorders>
              <w:top w:val="single" w:sz="4" w:space="0" w:color="000000"/>
              <w:left w:val="double" w:sz="4" w:space="0" w:color="000000"/>
              <w:bottom w:val="single" w:sz="2" w:space="0" w:color="000000"/>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p>
        </w:tc>
        <w:tc>
          <w:tcPr>
            <w:tcW w:w="1710" w:type="dxa"/>
            <w:tcBorders>
              <w:top w:val="single" w:sz="4" w:space="0" w:color="000000"/>
              <w:left w:val="dotted" w:sz="4" w:space="0" w:color="auto"/>
              <w:bottom w:val="single" w:sz="2" w:space="0" w:color="000000"/>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p>
        </w:tc>
        <w:tc>
          <w:tcPr>
            <w:tcW w:w="1620" w:type="dxa"/>
            <w:tcBorders>
              <w:top w:val="single" w:sz="4" w:space="0" w:color="000000"/>
              <w:left w:val="dotted" w:sz="4" w:space="0" w:color="auto"/>
              <w:bottom w:val="single" w:sz="2" w:space="0" w:color="000000"/>
              <w:right w:val="dotted" w:sz="4" w:space="0" w:color="auto"/>
            </w:tcBorders>
            <w:shd w:val="clear" w:color="auto" w:fill="auto"/>
            <w:tcMar>
              <w:top w:w="58" w:type="dxa"/>
              <w:bottom w:w="58" w:type="dxa"/>
            </w:tcMar>
            <w:vAlign w:val="center"/>
          </w:tcPr>
          <w:p w:rsidR="00EE2ADC" w:rsidRDefault="00EE2ADC" w:rsidP="00D746CA">
            <w:pPr>
              <w:spacing w:after="0" w:line="360" w:lineRule="auto"/>
              <w:jc w:val="center"/>
              <w:rPr>
                <w:rFonts w:ascii="Times New Roman" w:eastAsia="Calibri" w:hAnsi="Times New Roman" w:cs="Times New Roman"/>
                <w:color w:val="808080" w:themeColor="background1" w:themeShade="80"/>
                <w:sz w:val="24"/>
                <w:szCs w:val="24"/>
              </w:rPr>
            </w:pPr>
          </w:p>
        </w:tc>
      </w:tr>
      <w:tr w:rsidR="00EE2ADC" w:rsidRPr="006C5577" w:rsidTr="00D746CA">
        <w:trPr>
          <w:trHeight w:val="255"/>
        </w:trPr>
        <w:tc>
          <w:tcPr>
            <w:tcW w:w="4078" w:type="dxa"/>
            <w:tcBorders>
              <w:top w:val="single" w:sz="2" w:space="0" w:color="000000"/>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rPr>
                <w:rFonts w:ascii="Times New Roman" w:eastAsia="Calibri" w:hAnsi="Times New Roman" w:cs="Times New Roman"/>
                <w:sz w:val="24"/>
                <w:szCs w:val="24"/>
              </w:rPr>
            </w:pPr>
            <w:r w:rsidRPr="006C5577">
              <w:rPr>
                <w:rFonts w:ascii="Times New Roman" w:eastAsia="Calibri" w:hAnsi="Times New Roman" w:cs="Times New Roman"/>
                <w:sz w:val="24"/>
                <w:szCs w:val="24"/>
              </w:rPr>
              <w:t>Pelvic pain,   n (%)</w:t>
            </w:r>
          </w:p>
        </w:tc>
        <w:tc>
          <w:tcPr>
            <w:tcW w:w="1601" w:type="dxa"/>
            <w:tcBorders>
              <w:top w:val="single" w:sz="2" w:space="0" w:color="000000"/>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6 (46.2%)</w:t>
            </w:r>
          </w:p>
        </w:tc>
        <w:tc>
          <w:tcPr>
            <w:tcW w:w="1526" w:type="dxa"/>
            <w:tcBorders>
              <w:top w:val="single" w:sz="2" w:space="0" w:color="000000"/>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2 (8.7%)</w:t>
            </w:r>
          </w:p>
        </w:tc>
        <w:tc>
          <w:tcPr>
            <w:tcW w:w="1610" w:type="dxa"/>
            <w:tcBorders>
              <w:top w:val="single" w:sz="2" w:space="0" w:color="000000"/>
              <w:left w:val="dotted" w:sz="4" w:space="0" w:color="auto"/>
              <w:bottom w:val="dotted" w:sz="4" w:space="0" w:color="auto"/>
              <w:right w:val="double" w:sz="4" w:space="0" w:color="000000"/>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EE27CC">
              <w:rPr>
                <w:rFonts w:ascii="Times New Roman" w:eastAsia="Calibri" w:hAnsi="Times New Roman" w:cs="Times New Roman"/>
                <w:b/>
                <w:sz w:val="24"/>
                <w:szCs w:val="24"/>
              </w:rPr>
              <w:t>0.02</w:t>
            </w:r>
          </w:p>
        </w:tc>
        <w:tc>
          <w:tcPr>
            <w:tcW w:w="1710" w:type="dxa"/>
            <w:tcBorders>
              <w:top w:val="single" w:sz="2" w:space="0" w:color="000000"/>
              <w:left w:val="double" w:sz="4" w:space="0" w:color="000000"/>
              <w:bottom w:val="dotted" w:sz="4" w:space="0" w:color="auto"/>
              <w:right w:val="dotted" w:sz="4" w:space="0" w:color="auto"/>
            </w:tcBorders>
            <w:tcMar>
              <w:top w:w="58" w:type="dxa"/>
              <w:bottom w:w="58" w:type="dxa"/>
            </w:tcMar>
            <w:vAlign w:val="center"/>
          </w:tcPr>
          <w:p w:rsidR="00EE2ADC" w:rsidRPr="00A61FE5" w:rsidRDefault="00EE2ADC" w:rsidP="00D746CA">
            <w:pPr>
              <w:spacing w:after="0" w:line="360" w:lineRule="auto"/>
              <w:jc w:val="center"/>
              <w:rPr>
                <w:rFonts w:ascii="Times New Roman" w:eastAsia="Calibri" w:hAnsi="Times New Roman" w:cs="Times New Roman"/>
                <w:sz w:val="24"/>
                <w:szCs w:val="24"/>
              </w:rPr>
            </w:pPr>
            <w:r w:rsidRPr="00A61FE5">
              <w:rPr>
                <w:rFonts w:ascii="Times New Roman" w:eastAsia="Calibri" w:hAnsi="Times New Roman" w:cs="Times New Roman"/>
                <w:sz w:val="24"/>
                <w:szCs w:val="24"/>
              </w:rPr>
              <w:t>1 (12.5%)</w:t>
            </w:r>
          </w:p>
        </w:tc>
        <w:tc>
          <w:tcPr>
            <w:tcW w:w="1710" w:type="dxa"/>
            <w:tcBorders>
              <w:top w:val="single" w:sz="2" w:space="0" w:color="000000"/>
              <w:left w:val="dotted" w:sz="4" w:space="0" w:color="auto"/>
              <w:bottom w:val="dotted" w:sz="4" w:space="0" w:color="auto"/>
              <w:right w:val="dotted" w:sz="4" w:space="0" w:color="auto"/>
            </w:tcBorders>
            <w:tcMar>
              <w:top w:w="58" w:type="dxa"/>
              <w:bottom w:w="58" w:type="dxa"/>
            </w:tcMar>
            <w:vAlign w:val="center"/>
          </w:tcPr>
          <w:p w:rsidR="00EE2ADC" w:rsidRPr="00A61FE5" w:rsidRDefault="00EE2ADC" w:rsidP="00D746CA">
            <w:pPr>
              <w:spacing w:after="0" w:line="360" w:lineRule="auto"/>
              <w:jc w:val="center"/>
              <w:rPr>
                <w:rFonts w:ascii="Times New Roman" w:eastAsia="Calibri" w:hAnsi="Times New Roman" w:cs="Times New Roman"/>
                <w:sz w:val="24"/>
                <w:szCs w:val="24"/>
              </w:rPr>
            </w:pPr>
            <w:r w:rsidRPr="00A61FE5">
              <w:rPr>
                <w:rFonts w:ascii="Times New Roman" w:eastAsia="Calibri" w:hAnsi="Times New Roman" w:cs="Times New Roman"/>
                <w:sz w:val="24"/>
                <w:szCs w:val="24"/>
              </w:rPr>
              <w:t>0 (0%)</w:t>
            </w:r>
          </w:p>
        </w:tc>
        <w:tc>
          <w:tcPr>
            <w:tcW w:w="1620" w:type="dxa"/>
            <w:tcBorders>
              <w:top w:val="single" w:sz="2" w:space="0" w:color="000000"/>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A61FE5" w:rsidRDefault="00EE2ADC" w:rsidP="00D746CA">
            <w:pPr>
              <w:spacing w:after="0" w:line="360" w:lineRule="auto"/>
              <w:jc w:val="center"/>
              <w:rPr>
                <w:rFonts w:ascii="Times New Roman" w:eastAsia="Calibri" w:hAnsi="Times New Roman" w:cs="Times New Roman"/>
                <w:sz w:val="24"/>
                <w:szCs w:val="24"/>
              </w:rPr>
            </w:pPr>
            <w:r w:rsidRPr="00A61FE5">
              <w:rPr>
                <w:rFonts w:ascii="Times New Roman" w:eastAsia="Calibri" w:hAnsi="Times New Roman" w:cs="Times New Roman"/>
                <w:sz w:val="24"/>
                <w:szCs w:val="24"/>
              </w:rPr>
              <w:t xml:space="preserve">0.17** </w:t>
            </w: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rPr>
                <w:rFonts w:ascii="Times New Roman" w:eastAsia="Calibri" w:hAnsi="Times New Roman" w:cs="Times New Roman"/>
                <w:sz w:val="24"/>
                <w:szCs w:val="24"/>
              </w:rPr>
            </w:pPr>
            <w:r w:rsidRPr="006C5577">
              <w:rPr>
                <w:rFonts w:ascii="Times New Roman" w:eastAsia="Calibri" w:hAnsi="Times New Roman" w:cs="Times New Roman"/>
                <w:sz w:val="24"/>
                <w:szCs w:val="24"/>
              </w:rPr>
              <w:t xml:space="preserve">Postmenopausal, </w:t>
            </w:r>
            <w:r w:rsidRPr="006C5577">
              <w:rPr>
                <w:rFonts w:ascii="Times New Roman" w:hAnsi="Times New Roman" w:cs="Times New Roman"/>
                <w:sz w:val="24"/>
                <w:szCs w:val="24"/>
              </w:rPr>
              <w:t>n (%)</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12 (92.3%)</w:t>
            </w: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13 (56.5%)</w:t>
            </w:r>
          </w:p>
        </w:tc>
        <w:tc>
          <w:tcPr>
            <w:tcW w:w="1610" w:type="dxa"/>
            <w:tcBorders>
              <w:top w:val="dotted" w:sz="4" w:space="0" w:color="auto"/>
              <w:left w:val="dotted" w:sz="4" w:space="0" w:color="auto"/>
              <w:bottom w:val="dotted" w:sz="4" w:space="0" w:color="auto"/>
              <w:right w:val="double" w:sz="4" w:space="0" w:color="000000"/>
            </w:tcBorders>
            <w:tcMar>
              <w:top w:w="58" w:type="dxa"/>
              <w:bottom w:w="58" w:type="dxa"/>
            </w:tcMar>
            <w:vAlign w:val="center"/>
          </w:tcPr>
          <w:p w:rsidR="00EE2ADC" w:rsidRPr="00821B6D" w:rsidRDefault="00EE2ADC" w:rsidP="00D746CA">
            <w:pPr>
              <w:spacing w:after="0" w:line="360" w:lineRule="auto"/>
              <w:jc w:val="center"/>
              <w:rPr>
                <w:rFonts w:ascii="Times New Roman" w:eastAsia="Calibri" w:hAnsi="Times New Roman" w:cs="Times New Roman"/>
                <w:b/>
                <w:color w:val="595959" w:themeColor="text1" w:themeTint="A6"/>
                <w:sz w:val="24"/>
                <w:szCs w:val="24"/>
              </w:rPr>
            </w:pPr>
            <w:r w:rsidRPr="00821B6D">
              <w:rPr>
                <w:rFonts w:ascii="Times New Roman" w:eastAsia="Calibri" w:hAnsi="Times New Roman" w:cs="Times New Roman"/>
                <w:b/>
                <w:sz w:val="24"/>
                <w:szCs w:val="24"/>
              </w:rPr>
              <w:t>0.03</w:t>
            </w:r>
          </w:p>
        </w:tc>
        <w:tc>
          <w:tcPr>
            <w:tcW w:w="1710" w:type="dxa"/>
            <w:tcBorders>
              <w:top w:val="dotted" w:sz="4" w:space="0" w:color="auto"/>
              <w:left w:val="double" w:sz="4" w:space="0" w:color="000000"/>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8 (100%)</w:t>
            </w: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27 (67.5%)</w:t>
            </w: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17592D" w:rsidRDefault="00EE2ADC" w:rsidP="00D746CA">
            <w:pPr>
              <w:spacing w:after="0" w:line="360" w:lineRule="auto"/>
              <w:jc w:val="center"/>
              <w:rPr>
                <w:rFonts w:ascii="Times New Roman" w:eastAsia="Calibri" w:hAnsi="Times New Roman" w:cs="Times New Roman"/>
                <w:sz w:val="18"/>
                <w:szCs w:val="18"/>
              </w:rPr>
            </w:pPr>
            <w:r>
              <w:rPr>
                <w:rFonts w:ascii="Times New Roman" w:eastAsia="Calibri" w:hAnsi="Times New Roman" w:cs="Times New Roman"/>
                <w:sz w:val="24"/>
                <w:szCs w:val="24"/>
              </w:rPr>
              <w:t xml:space="preserve">0.09 </w:t>
            </w:r>
          </w:p>
        </w:tc>
      </w:tr>
      <w:tr w:rsidR="00EE2ADC" w:rsidRPr="006C5577" w:rsidTr="00D746CA">
        <w:trPr>
          <w:trHeight w:val="255"/>
        </w:trPr>
        <w:tc>
          <w:tcPr>
            <w:tcW w:w="4078" w:type="dxa"/>
            <w:tcBorders>
              <w:top w:val="dotted" w:sz="4" w:space="0" w:color="auto"/>
              <w:left w:val="dotted" w:sz="4" w:space="0" w:color="auto"/>
              <w:bottom w:val="dotted" w:sz="4" w:space="0" w:color="auto"/>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w:t>
            </w:r>
            <w:r w:rsidRPr="006C5577">
              <w:rPr>
                <w:rFonts w:ascii="Times New Roman" w:eastAsia="Calibri" w:hAnsi="Times New Roman" w:cs="Times New Roman"/>
                <w:sz w:val="24"/>
                <w:szCs w:val="24"/>
              </w:rPr>
              <w:t>ge at menopause onset</w:t>
            </w:r>
            <w:r>
              <w:rPr>
                <w:rFonts w:ascii="Times New Roman" w:eastAsia="Calibri" w:hAnsi="Times New Roman" w:cs="Times New Roman"/>
                <w:sz w:val="24"/>
                <w:szCs w:val="24"/>
              </w:rPr>
              <w:t>,</w:t>
            </w:r>
            <w:r>
              <w:rPr>
                <w:rFonts w:ascii="Times New Roman" w:hAnsi="Times New Roman" w:cs="Times New Roman"/>
                <w:sz w:val="24"/>
                <w:szCs w:val="24"/>
                <w:lang w:val="en-GB"/>
              </w:rPr>
              <w:t xml:space="preserve"> </w:t>
            </w:r>
            <w:r w:rsidRPr="006C5577">
              <w:rPr>
                <w:rFonts w:ascii="Times New Roman" w:hAnsi="Times New Roman" w:cs="Times New Roman"/>
                <w:sz w:val="24"/>
                <w:szCs w:val="24"/>
                <w:lang w:val="en-GB"/>
              </w:rPr>
              <w:t xml:space="preserve">mean (SEM) </w:t>
            </w:r>
            <w:r>
              <w:rPr>
                <w:rFonts w:ascii="Times New Roman" w:eastAsia="Calibri" w:hAnsi="Times New Roman" w:cs="Times New Roman"/>
                <w:sz w:val="24"/>
                <w:szCs w:val="24"/>
              </w:rPr>
              <w:t xml:space="preserve"> </w:t>
            </w:r>
          </w:p>
        </w:tc>
        <w:tc>
          <w:tcPr>
            <w:tcW w:w="1601"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rPr>
            </w:pPr>
            <w:r w:rsidRPr="006C5577">
              <w:rPr>
                <w:rFonts w:ascii="Times New Roman" w:eastAsia="Calibri" w:hAnsi="Times New Roman" w:cs="Times New Roman"/>
                <w:sz w:val="24"/>
                <w:szCs w:val="24"/>
              </w:rPr>
              <w:t>36.4 (3.0)</w:t>
            </w:r>
          </w:p>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(n=10)</w:t>
            </w:r>
          </w:p>
        </w:tc>
        <w:tc>
          <w:tcPr>
            <w:tcW w:w="1526"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eastAsia="Calibri" w:hAnsi="Times New Roman" w:cs="Times New Roman"/>
                <w:sz w:val="24"/>
                <w:szCs w:val="24"/>
              </w:rPr>
            </w:pPr>
            <w:r w:rsidRPr="006C5577">
              <w:rPr>
                <w:rFonts w:ascii="Times New Roman" w:eastAsia="Calibri" w:hAnsi="Times New Roman" w:cs="Times New Roman"/>
                <w:sz w:val="24"/>
                <w:szCs w:val="24"/>
              </w:rPr>
              <w:t>47.0 (2.7)</w:t>
            </w:r>
          </w:p>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(n=10)</w:t>
            </w:r>
          </w:p>
        </w:tc>
        <w:tc>
          <w:tcPr>
            <w:tcW w:w="1610" w:type="dxa"/>
            <w:tcBorders>
              <w:top w:val="dotted" w:sz="4" w:space="0" w:color="auto"/>
              <w:left w:val="dotted" w:sz="4" w:space="0" w:color="auto"/>
              <w:bottom w:val="dotted" w:sz="4" w:space="0" w:color="auto"/>
              <w:right w:val="double" w:sz="4" w:space="0" w:color="000000"/>
            </w:tcBorders>
            <w:tcMar>
              <w:top w:w="58" w:type="dxa"/>
              <w:bottom w:w="58" w:type="dxa"/>
            </w:tcMar>
            <w:vAlign w:val="center"/>
          </w:tcPr>
          <w:p w:rsidR="00EE2ADC" w:rsidRPr="00821B6D" w:rsidRDefault="00EE2ADC" w:rsidP="00D746CA">
            <w:pPr>
              <w:spacing w:after="0" w:line="360" w:lineRule="auto"/>
              <w:jc w:val="center"/>
              <w:rPr>
                <w:rFonts w:ascii="Times New Roman" w:eastAsia="Calibri" w:hAnsi="Times New Roman" w:cs="Times New Roman"/>
                <w:b/>
                <w:color w:val="595959" w:themeColor="text1" w:themeTint="A6"/>
                <w:sz w:val="24"/>
                <w:szCs w:val="24"/>
              </w:rPr>
            </w:pPr>
            <w:r w:rsidRPr="00821B6D">
              <w:rPr>
                <w:rFonts w:ascii="Times New Roman" w:eastAsia="Calibri" w:hAnsi="Times New Roman" w:cs="Times New Roman"/>
                <w:b/>
                <w:sz w:val="24"/>
                <w:szCs w:val="24"/>
              </w:rPr>
              <w:t xml:space="preserve">0.03 </w:t>
            </w:r>
          </w:p>
        </w:tc>
        <w:tc>
          <w:tcPr>
            <w:tcW w:w="1710" w:type="dxa"/>
            <w:tcBorders>
              <w:top w:val="dotted" w:sz="4" w:space="0" w:color="auto"/>
              <w:left w:val="double" w:sz="4" w:space="0" w:color="000000"/>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50.8  (1.3)</w:t>
            </w:r>
          </w:p>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(n=4)</w:t>
            </w:r>
          </w:p>
        </w:tc>
        <w:tc>
          <w:tcPr>
            <w:tcW w:w="1710" w:type="dxa"/>
            <w:tcBorders>
              <w:top w:val="dotted" w:sz="4" w:space="0" w:color="auto"/>
              <w:left w:val="dotted" w:sz="4" w:space="0" w:color="auto"/>
              <w:bottom w:val="dotted" w:sz="4" w:space="0" w:color="auto"/>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45.3 (1.7)</w:t>
            </w:r>
          </w:p>
          <w:p w:rsidR="00EE2ADC" w:rsidRPr="004942C1" w:rsidRDefault="00EE2ADC" w:rsidP="00D746CA">
            <w:pPr>
              <w:spacing w:after="0" w:line="360" w:lineRule="auto"/>
              <w:jc w:val="center"/>
              <w:rPr>
                <w:rFonts w:ascii="Times New Roman" w:eastAsia="Calibri" w:hAnsi="Times New Roman" w:cs="Times New Roman"/>
                <w:color w:val="595959" w:themeColor="text1" w:themeTint="A6"/>
                <w:sz w:val="24"/>
                <w:szCs w:val="24"/>
              </w:rPr>
            </w:pPr>
            <w:r w:rsidRPr="004942C1">
              <w:rPr>
                <w:rFonts w:ascii="Times New Roman" w:eastAsia="Calibri" w:hAnsi="Times New Roman" w:cs="Times New Roman"/>
                <w:color w:val="595959" w:themeColor="text1" w:themeTint="A6"/>
                <w:sz w:val="24"/>
                <w:szCs w:val="24"/>
              </w:rPr>
              <w:t>(n=24)</w:t>
            </w:r>
          </w:p>
        </w:tc>
        <w:tc>
          <w:tcPr>
            <w:tcW w:w="1620" w:type="dxa"/>
            <w:tcBorders>
              <w:top w:val="dotted" w:sz="4" w:space="0" w:color="auto"/>
              <w:left w:val="dotted" w:sz="4" w:space="0" w:color="auto"/>
              <w:bottom w:val="dotted" w:sz="4" w:space="0" w:color="auto"/>
              <w:right w:val="dotted" w:sz="4" w:space="0" w:color="auto"/>
            </w:tcBorders>
            <w:shd w:val="clear" w:color="auto" w:fill="auto"/>
            <w:tcMar>
              <w:top w:w="58" w:type="dxa"/>
              <w:bottom w:w="58" w:type="dxa"/>
            </w:tcMar>
            <w:vAlign w:val="center"/>
          </w:tcPr>
          <w:p w:rsidR="00EE2ADC" w:rsidRDefault="00EE2ADC" w:rsidP="00D746C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0.63</w:t>
            </w:r>
          </w:p>
          <w:p w:rsidR="00EE2ADC" w:rsidRPr="006C5577" w:rsidRDefault="00EE2ADC" w:rsidP="00D746CA">
            <w:pPr>
              <w:spacing w:after="0" w:line="360" w:lineRule="auto"/>
              <w:jc w:val="center"/>
              <w:rPr>
                <w:rFonts w:ascii="Times New Roman" w:hAnsi="Times New Roman" w:cs="Times New Roman"/>
                <w:sz w:val="24"/>
                <w:szCs w:val="24"/>
              </w:rPr>
            </w:pPr>
            <w:r w:rsidRPr="007D070D">
              <w:rPr>
                <w:rFonts w:ascii="Times New Roman" w:hAnsi="Times New Roman" w:cs="Times New Roman"/>
                <w:b/>
                <w:sz w:val="24"/>
                <w:szCs w:val="24"/>
              </w:rPr>
              <w:t>0.03</w:t>
            </w:r>
            <w:r>
              <w:rPr>
                <w:rFonts w:ascii="Times New Roman" w:hAnsi="Times New Roman" w:cs="Times New Roman"/>
                <w:sz w:val="24"/>
                <w:szCs w:val="24"/>
              </w:rPr>
              <w:t xml:space="preserve">§ </w:t>
            </w:r>
          </w:p>
        </w:tc>
      </w:tr>
      <w:tr w:rsidR="00EE2ADC" w:rsidRPr="006C5577" w:rsidTr="00D746CA">
        <w:trPr>
          <w:trHeight w:val="255"/>
        </w:trPr>
        <w:tc>
          <w:tcPr>
            <w:tcW w:w="4078" w:type="dxa"/>
            <w:tcBorders>
              <w:top w:val="dotted" w:sz="4" w:space="0" w:color="auto"/>
              <w:left w:val="dotted" w:sz="4" w:space="0" w:color="auto"/>
              <w:bottom w:val="single" w:sz="2" w:space="0" w:color="000000"/>
              <w:right w:val="dotted" w:sz="4" w:space="0" w:color="auto"/>
            </w:tcBorders>
            <w:shd w:val="clear" w:color="auto" w:fill="auto"/>
            <w:tcMar>
              <w:top w:w="58" w:type="dxa"/>
              <w:left w:w="115" w:type="dxa"/>
              <w:bottom w:w="58" w:type="dxa"/>
              <w:right w:w="115" w:type="dxa"/>
            </w:tcMar>
            <w:vAlign w:val="center"/>
          </w:tcPr>
          <w:p w:rsidR="00EE2ADC" w:rsidRPr="006C5577" w:rsidRDefault="00EE2ADC" w:rsidP="00D746CA">
            <w:pPr>
              <w:spacing w:after="0" w:line="360" w:lineRule="auto"/>
              <w:rPr>
                <w:rFonts w:ascii="Times New Roman" w:hAnsi="Times New Roman" w:cs="Times New Roman"/>
                <w:sz w:val="24"/>
                <w:szCs w:val="24"/>
              </w:rPr>
            </w:pPr>
            <w:r w:rsidRPr="006C5577">
              <w:rPr>
                <w:rFonts w:ascii="Times New Roman" w:hAnsi="Times New Roman" w:cs="Times New Roman"/>
                <w:sz w:val="24"/>
                <w:szCs w:val="24"/>
              </w:rPr>
              <w:t>Hysterectomy, n (%)</w:t>
            </w:r>
          </w:p>
        </w:tc>
        <w:tc>
          <w:tcPr>
            <w:tcW w:w="1601" w:type="dxa"/>
            <w:tcBorders>
              <w:top w:val="dotted" w:sz="4" w:space="0" w:color="auto"/>
              <w:left w:val="dotted" w:sz="4" w:space="0" w:color="auto"/>
              <w:bottom w:val="single" w:sz="2" w:space="0" w:color="000000"/>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11 (84.6%)</w:t>
            </w:r>
          </w:p>
        </w:tc>
        <w:tc>
          <w:tcPr>
            <w:tcW w:w="1526" w:type="dxa"/>
            <w:tcBorders>
              <w:top w:val="dotted" w:sz="4" w:space="0" w:color="auto"/>
              <w:left w:val="dotted" w:sz="4" w:space="0" w:color="auto"/>
              <w:bottom w:val="single" w:sz="2" w:space="0" w:color="000000"/>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6C5577">
              <w:rPr>
                <w:rFonts w:ascii="Times New Roman" w:eastAsia="Calibri" w:hAnsi="Times New Roman" w:cs="Times New Roman"/>
                <w:sz w:val="24"/>
                <w:szCs w:val="24"/>
              </w:rPr>
              <w:t>8 (34.8%)</w:t>
            </w:r>
          </w:p>
        </w:tc>
        <w:tc>
          <w:tcPr>
            <w:tcW w:w="1610" w:type="dxa"/>
            <w:tcBorders>
              <w:top w:val="dotted" w:sz="4" w:space="0" w:color="auto"/>
              <w:left w:val="dotted" w:sz="4" w:space="0" w:color="auto"/>
              <w:bottom w:val="single" w:sz="2" w:space="0" w:color="000000"/>
              <w:right w:val="double" w:sz="4" w:space="0" w:color="000000"/>
            </w:tcBorders>
            <w:tcMar>
              <w:top w:w="58" w:type="dxa"/>
              <w:bottom w:w="58" w:type="dxa"/>
            </w:tcMar>
            <w:vAlign w:val="center"/>
          </w:tcPr>
          <w:p w:rsidR="00EE2ADC" w:rsidRPr="00821B6D" w:rsidRDefault="00EE2ADC" w:rsidP="00D746CA">
            <w:pPr>
              <w:spacing w:after="0" w:line="360" w:lineRule="auto"/>
              <w:jc w:val="center"/>
              <w:rPr>
                <w:rFonts w:ascii="Times New Roman" w:hAnsi="Times New Roman" w:cs="Times New Roman"/>
                <w:b/>
                <w:color w:val="595959" w:themeColor="text1" w:themeTint="A6"/>
                <w:sz w:val="24"/>
                <w:szCs w:val="24"/>
              </w:rPr>
            </w:pPr>
            <w:r w:rsidRPr="00821B6D">
              <w:rPr>
                <w:rFonts w:ascii="Times New Roman" w:hAnsi="Times New Roman" w:cs="Times New Roman"/>
                <w:b/>
                <w:sz w:val="24"/>
                <w:szCs w:val="24"/>
              </w:rPr>
              <w:t>0.006</w:t>
            </w:r>
          </w:p>
        </w:tc>
        <w:tc>
          <w:tcPr>
            <w:tcW w:w="1710" w:type="dxa"/>
            <w:tcBorders>
              <w:top w:val="dotted" w:sz="4" w:space="0" w:color="auto"/>
              <w:left w:val="double" w:sz="4" w:space="0" w:color="000000"/>
              <w:bottom w:val="single" w:sz="2" w:space="0" w:color="000000"/>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7 (87.5%)</w:t>
            </w:r>
          </w:p>
        </w:tc>
        <w:tc>
          <w:tcPr>
            <w:tcW w:w="1710" w:type="dxa"/>
            <w:tcBorders>
              <w:top w:val="dotted" w:sz="4" w:space="0" w:color="auto"/>
              <w:left w:val="dotted" w:sz="4" w:space="0" w:color="auto"/>
              <w:bottom w:val="single" w:sz="2" w:space="0" w:color="000000"/>
              <w:right w:val="dotted" w:sz="4" w:space="0" w:color="auto"/>
            </w:tcBorders>
            <w:tcMar>
              <w:top w:w="58" w:type="dxa"/>
              <w:bottom w:w="58" w:type="dxa"/>
            </w:tcMar>
            <w:vAlign w:val="center"/>
          </w:tcPr>
          <w:p w:rsidR="00EE2ADC" w:rsidRPr="004942C1" w:rsidRDefault="00EE2ADC" w:rsidP="00D746CA">
            <w:pPr>
              <w:spacing w:after="0" w:line="360" w:lineRule="auto"/>
              <w:jc w:val="center"/>
              <w:rPr>
                <w:rFonts w:ascii="Times New Roman" w:hAnsi="Times New Roman" w:cs="Times New Roman"/>
                <w:color w:val="595959" w:themeColor="text1" w:themeTint="A6"/>
                <w:sz w:val="24"/>
                <w:szCs w:val="24"/>
              </w:rPr>
            </w:pPr>
            <w:r w:rsidRPr="004942C1">
              <w:rPr>
                <w:rFonts w:ascii="Times New Roman" w:hAnsi="Times New Roman" w:cs="Times New Roman"/>
                <w:color w:val="595959" w:themeColor="text1" w:themeTint="A6"/>
                <w:sz w:val="24"/>
                <w:szCs w:val="24"/>
              </w:rPr>
              <w:t>12 (30%)</w:t>
            </w:r>
          </w:p>
        </w:tc>
        <w:tc>
          <w:tcPr>
            <w:tcW w:w="1620" w:type="dxa"/>
            <w:tcBorders>
              <w:top w:val="dotted" w:sz="4" w:space="0" w:color="auto"/>
              <w:left w:val="dotted" w:sz="4" w:space="0" w:color="auto"/>
              <w:bottom w:val="single" w:sz="2" w:space="0" w:color="000000"/>
              <w:right w:val="dotted" w:sz="4" w:space="0" w:color="auto"/>
            </w:tcBorders>
            <w:shd w:val="clear" w:color="auto" w:fill="auto"/>
            <w:tcMar>
              <w:top w:w="58" w:type="dxa"/>
              <w:bottom w:w="58" w:type="dxa"/>
            </w:tcMar>
            <w:vAlign w:val="center"/>
          </w:tcPr>
          <w:p w:rsidR="00EE2ADC" w:rsidRPr="006C5577" w:rsidRDefault="00EE2ADC" w:rsidP="00D746CA">
            <w:pPr>
              <w:spacing w:after="0" w:line="360" w:lineRule="auto"/>
              <w:jc w:val="center"/>
              <w:rPr>
                <w:rFonts w:ascii="Times New Roman" w:hAnsi="Times New Roman" w:cs="Times New Roman"/>
                <w:sz w:val="24"/>
                <w:szCs w:val="24"/>
              </w:rPr>
            </w:pPr>
            <w:r w:rsidRPr="00795415">
              <w:rPr>
                <w:rFonts w:ascii="Times New Roman" w:hAnsi="Times New Roman" w:cs="Times New Roman"/>
                <w:sz w:val="24"/>
                <w:szCs w:val="24"/>
              </w:rPr>
              <w:t>0.0</w:t>
            </w:r>
            <w:r>
              <w:rPr>
                <w:rFonts w:ascii="Times New Roman" w:hAnsi="Times New Roman" w:cs="Times New Roman"/>
                <w:sz w:val="24"/>
                <w:szCs w:val="24"/>
              </w:rPr>
              <w:t>04</w:t>
            </w:r>
          </w:p>
        </w:tc>
      </w:tr>
    </w:tbl>
    <w:p w:rsidR="00EE2ADC" w:rsidRDefault="00EE2ADC" w:rsidP="00EE2ADC">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CFS, chronic fatigue syndrome; </w:t>
      </w:r>
    </w:p>
    <w:p w:rsidR="00EE2ADC" w:rsidRDefault="00EE2ADC" w:rsidP="00EE2ADC">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EM, endometriosis; </w:t>
      </w:r>
    </w:p>
    <w:p w:rsidR="00EE2ADC" w:rsidRDefault="00EE2ADC" w:rsidP="00EE2ADC">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Con, controls; </w:t>
      </w:r>
    </w:p>
    <w:p w:rsidR="00EE2ADC" w:rsidRDefault="00EE2ADC" w:rsidP="00EE2ADC">
      <w:pPr>
        <w:spacing w:after="0"/>
        <w:rPr>
          <w:rFonts w:ascii="Times New Roman" w:hAnsi="Times New Roman" w:cs="Times New Roman"/>
          <w:sz w:val="24"/>
          <w:szCs w:val="24"/>
          <w:lang w:val="en-GB"/>
        </w:rPr>
      </w:pPr>
      <w:r>
        <w:rPr>
          <w:rFonts w:ascii="Times New Roman" w:hAnsi="Times New Roman" w:cs="Times New Roman"/>
          <w:sz w:val="24"/>
          <w:szCs w:val="24"/>
          <w:lang w:val="en-GB"/>
        </w:rPr>
        <w:t>SEM</w:t>
      </w:r>
      <w:r w:rsidRPr="006C5577">
        <w:rPr>
          <w:rFonts w:ascii="Times New Roman" w:hAnsi="Times New Roman" w:cs="Times New Roman"/>
          <w:sz w:val="24"/>
          <w:szCs w:val="24"/>
          <w:lang w:val="en-GB"/>
        </w:rPr>
        <w:t>, standard error of the mean</w:t>
      </w:r>
      <w:r>
        <w:rPr>
          <w:rFonts w:ascii="Times New Roman" w:hAnsi="Times New Roman" w:cs="Times New Roman"/>
          <w:sz w:val="24"/>
          <w:szCs w:val="24"/>
          <w:lang w:val="en-GB"/>
        </w:rPr>
        <w:t xml:space="preserve">; </w:t>
      </w:r>
    </w:p>
    <w:p w:rsidR="00EE2ADC" w:rsidRPr="006C5577" w:rsidRDefault="00EE2ADC" w:rsidP="00EE2ADC">
      <w:pPr>
        <w:spacing w:after="0"/>
        <w:rPr>
          <w:rFonts w:ascii="Times New Roman" w:hAnsi="Times New Roman" w:cs="Times New Roman"/>
          <w:sz w:val="24"/>
          <w:szCs w:val="24"/>
          <w:lang w:val="en-GB"/>
        </w:rPr>
      </w:pPr>
      <w:r w:rsidRPr="006C5577">
        <w:rPr>
          <w:rFonts w:ascii="Times New Roman" w:hAnsi="Times New Roman" w:cs="Times New Roman"/>
          <w:sz w:val="24"/>
          <w:szCs w:val="24"/>
          <w:lang w:val="en-GB"/>
        </w:rPr>
        <w:t>Values are mean (SEM) or number, n (%)</w:t>
      </w:r>
      <w:r>
        <w:rPr>
          <w:rFonts w:ascii="Times New Roman" w:hAnsi="Times New Roman" w:cs="Times New Roman"/>
          <w:sz w:val="24"/>
          <w:szCs w:val="24"/>
          <w:lang w:val="en-GB"/>
        </w:rPr>
        <w:t>;</w:t>
      </w:r>
    </w:p>
    <w:p w:rsidR="00EE2ADC" w:rsidRPr="006C5577" w:rsidRDefault="00EE2ADC" w:rsidP="00EE2ADC">
      <w:pPr>
        <w:spacing w:after="0"/>
        <w:rPr>
          <w:rFonts w:ascii="Times New Roman" w:hAnsi="Times New Roman" w:cs="Times New Roman"/>
          <w:sz w:val="24"/>
          <w:szCs w:val="24"/>
        </w:rPr>
      </w:pPr>
      <w:r>
        <w:rPr>
          <w:rFonts w:ascii="Times New Roman" w:hAnsi="Times New Roman" w:cs="Times New Roman"/>
          <w:sz w:val="24"/>
          <w:szCs w:val="24"/>
          <w:lang w:val="en-GB"/>
        </w:rPr>
        <w:t xml:space="preserve">This table includes only select subscales from the SF-36 and the MFI-20 subscales. </w:t>
      </w:r>
      <w:r w:rsidRPr="006C5577">
        <w:rPr>
          <w:rFonts w:ascii="Times New Roman" w:hAnsi="Times New Roman" w:cs="Times New Roman"/>
          <w:sz w:val="24"/>
          <w:szCs w:val="24"/>
        </w:rPr>
        <w:t>^ Lower score indicates worse health status/more disability</w:t>
      </w:r>
      <w:r>
        <w:rPr>
          <w:rFonts w:ascii="Times New Roman" w:hAnsi="Times New Roman" w:cs="Times New Roman"/>
          <w:sz w:val="24"/>
          <w:szCs w:val="24"/>
        </w:rPr>
        <w:t xml:space="preserve">; </w:t>
      </w:r>
      <w:r w:rsidRPr="006C5577">
        <w:rPr>
          <w:rFonts w:ascii="Times New Roman" w:hAnsi="Times New Roman" w:cs="Times New Roman"/>
          <w:sz w:val="24"/>
          <w:szCs w:val="24"/>
        </w:rPr>
        <w:t xml:space="preserve"> </w:t>
      </w:r>
    </w:p>
    <w:p w:rsidR="00EE2ADC" w:rsidRDefault="00EE2ADC" w:rsidP="00EE2ADC">
      <w:pPr>
        <w:spacing w:after="0"/>
        <w:rPr>
          <w:rFonts w:ascii="Times New Roman" w:hAnsi="Times New Roman" w:cs="Times New Roman"/>
          <w:sz w:val="24"/>
          <w:szCs w:val="24"/>
          <w:lang w:val="en-GB"/>
        </w:rPr>
      </w:pPr>
      <w:r w:rsidRPr="006C5577">
        <w:rPr>
          <w:rFonts w:ascii="Times New Roman" w:hAnsi="Times New Roman" w:cs="Times New Roman"/>
          <w:sz w:val="24"/>
          <w:szCs w:val="24"/>
        </w:rPr>
        <w:t>*Higher score indicates more fatigue</w:t>
      </w:r>
      <w:r>
        <w:rPr>
          <w:rFonts w:ascii="Times New Roman" w:hAnsi="Times New Roman" w:cs="Times New Roman"/>
          <w:sz w:val="24"/>
          <w:szCs w:val="24"/>
        </w:rPr>
        <w:t>.</w:t>
      </w:r>
    </w:p>
    <w:p w:rsidR="00EE2ADC" w:rsidRDefault="00EE2ADC" w:rsidP="00EE2ADC">
      <w:pPr>
        <w:spacing w:after="12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Fisher’s exact test two-tailed p value. </w:t>
      </w:r>
    </w:p>
    <w:p w:rsidR="00EE2ADC" w:rsidRPr="006C5577" w:rsidRDefault="00EE2ADC" w:rsidP="00EE2ADC">
      <w:pPr>
        <w:spacing w:after="120" w:line="240" w:lineRule="auto"/>
        <w:rPr>
          <w:rFonts w:ascii="Times New Roman" w:hAnsi="Times New Roman" w:cs="Times New Roman"/>
          <w:sz w:val="24"/>
          <w:szCs w:val="24"/>
          <w:lang w:val="en-GB"/>
        </w:rPr>
      </w:pPr>
      <w:r>
        <w:rPr>
          <w:rFonts w:ascii="Times New Roman" w:hAnsi="Times New Roman" w:cs="Times New Roman"/>
          <w:sz w:val="24"/>
          <w:szCs w:val="24"/>
        </w:rPr>
        <w:t xml:space="preserve">§ p value for comparison of mean age at menopause for each of the control subgroups to the CFS+EM subgroup. </w:t>
      </w:r>
    </w:p>
    <w:p w:rsidR="00EE2ADC" w:rsidRDefault="00EE2ADC" w:rsidP="00EE2ADC">
      <w:pPr>
        <w:rPr>
          <w:rFonts w:ascii="Times New Roman" w:hAnsi="Times New Roman" w:cs="Times New Roman"/>
          <w:b/>
          <w:sz w:val="24"/>
          <w:szCs w:val="24"/>
        </w:rPr>
      </w:pPr>
    </w:p>
    <w:p w:rsidR="003E3C8B" w:rsidRDefault="003E3C8B"/>
    <w:sectPr w:rsidR="003E3C8B" w:rsidSect="00EE2ADC">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380839"/>
      <w:docPartObj>
        <w:docPartGallery w:val="Page Numbers (Top of Page)"/>
        <w:docPartUnique/>
      </w:docPartObj>
    </w:sdtPr>
    <w:sdtEndPr>
      <w:rPr>
        <w:noProof/>
      </w:rPr>
    </w:sdtEndPr>
    <w:sdtContent>
      <w:p w:rsidR="00D73CA7" w:rsidRDefault="00EE2AD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73CA7" w:rsidRDefault="00EE2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DC"/>
    <w:rsid w:val="003E3C8B"/>
    <w:rsid w:val="00EE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DDB4C-B95E-42DD-BB37-014ECA6C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DC"/>
  </w:style>
  <w:style w:type="table" w:styleId="TableGrid">
    <w:name w:val="Table Grid"/>
    <w:basedOn w:val="TableNormal"/>
    <w:uiPriority w:val="59"/>
    <w:rsid w:val="00EE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E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1572</Words>
  <Characters>8962</Characters>
  <Application>Microsoft Office Word</Application>
  <DocSecurity>0</DocSecurity>
  <Lines>74</Lines>
  <Paragraphs>21</Paragraphs>
  <ScaleCrop>false</ScaleCrop>
  <Company>PITSOLUTIONS PVT LTD</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2019-04-25T13:55:00Z</dcterms:created>
  <dcterms:modified xsi:type="dcterms:W3CDTF">2019-04-25T13:56:00Z</dcterms:modified>
</cp:coreProperties>
</file>