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46" w:rsidRDefault="00CE7046" w:rsidP="00CE7046">
      <w:pPr>
        <w:pStyle w:val="SupplementaryMaterial"/>
      </w:pPr>
      <w:r w:rsidRPr="001549D3">
        <w:t>Supplementary Material</w:t>
      </w:r>
    </w:p>
    <w:p w:rsidR="00A4571B" w:rsidRPr="00345ADA" w:rsidRDefault="00A4571B" w:rsidP="00A4571B">
      <w:pPr>
        <w:spacing w:line="480" w:lineRule="auto"/>
        <w:rPr>
          <w:b/>
        </w:rPr>
      </w:pPr>
      <w:r w:rsidRPr="00345ADA">
        <w:rPr>
          <w:b/>
        </w:rPr>
        <w:t>The calculation of photothermal conversion efficiency</w:t>
      </w:r>
    </w:p>
    <w:p w:rsidR="00A4571B" w:rsidRPr="00345ADA" w:rsidRDefault="00A4571B" w:rsidP="00A4571B">
      <w:pPr>
        <w:spacing w:line="480" w:lineRule="auto"/>
        <w:ind w:firstLineChars="200" w:firstLine="480"/>
        <w:jc w:val="both"/>
      </w:pPr>
      <w:r w:rsidRPr="00345ADA">
        <w:rPr>
          <w:color w:val="000000"/>
        </w:rPr>
        <w:t>According to the reported method by Roper et al,</w:t>
      </w:r>
      <w:r w:rsidRPr="00345ADA">
        <w:rPr>
          <w:color w:val="000000"/>
          <w:sz w:val="16"/>
          <w:szCs w:val="16"/>
        </w:rPr>
        <w:t xml:space="preserve"> </w:t>
      </w:r>
      <w:r w:rsidRPr="00345ADA">
        <w:rPr>
          <w:color w:val="000000"/>
        </w:rPr>
        <w:t>the total energy balance for the system can be expressed by Eq. 1</w:t>
      </w:r>
      <w:r w:rsidRPr="00345ADA">
        <w:rPr>
          <w:rFonts w:eastAsiaTheme="minorEastAsia"/>
          <w:color w:val="000000"/>
          <w:lang w:eastAsia="zh-CN"/>
        </w:rPr>
        <w:t>:</w:t>
      </w:r>
    </w:p>
    <w:p w:rsidR="00A4571B" w:rsidRPr="00345ADA" w:rsidRDefault="00A4571B" w:rsidP="00A4571B">
      <w:pPr>
        <w:jc w:val="center"/>
        <w:rPr>
          <w:rFonts w:eastAsiaTheme="minorEastAsia"/>
          <w:b/>
          <w:lang w:eastAsia="zh-CN"/>
        </w:rPr>
      </w:pPr>
      <m:oMath>
        <m:r>
          <m:rPr>
            <m:nor/>
          </m:rPr>
          <w:rPr>
            <w:rFonts w:eastAsia="Cambria Math"/>
            <w:b/>
            <w:i/>
            <w:szCs w:val="36"/>
          </w:rPr>
          <m:t>ƞ=</m:t>
        </m:r>
        <m:f>
          <m:fPr>
            <m:ctrlPr>
              <w:rPr>
                <w:rFonts w:ascii="Cambria Math" w:eastAsia="Cambria Math" w:hAnsi="Cambria Math"/>
                <w:b/>
                <w:i/>
                <w:szCs w:val="36"/>
              </w:rPr>
            </m:ctrlPr>
          </m:fPr>
          <m:num>
            <m:r>
              <m:rPr>
                <m:nor/>
              </m:rPr>
              <w:rPr>
                <w:rFonts w:eastAsia="Cambria Math"/>
                <w:b/>
                <w:i/>
                <w:szCs w:val="36"/>
              </w:rPr>
              <m:t>hS</m:t>
            </m:r>
            <m:d>
              <m:dPr>
                <m:ctrlPr>
                  <w:rPr>
                    <w:rFonts w:ascii="Cambria Math" w:eastAsia="Cambria Math" w:hAnsi="Cambria Math"/>
                    <w:b/>
                    <w:i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mbria Math" w:hAnsi="Cambria Math"/>
                        <w:b/>
                        <w:i/>
                        <w:szCs w:val="3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Cambria Math"/>
                        <w:b/>
                        <w:i/>
                        <w:szCs w:val="36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Cambria Math"/>
                        <w:b/>
                        <w:i/>
                        <w:szCs w:val="36"/>
                      </w:rPr>
                      <m:t>Max</m:t>
                    </m:r>
                  </m:sub>
                </m:sSub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-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b/>
                        <w:i/>
                        <w:szCs w:val="3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Cambria Math"/>
                        <w:b/>
                        <w:i/>
                        <w:szCs w:val="36"/>
                      </w:rPr>
                      <m:t>T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Cambria Math"/>
                        <w:b/>
                        <w:i/>
                        <w:szCs w:val="36"/>
                      </w:rPr>
                      <m:t>Surr</m:t>
                    </m:r>
                  </m:sub>
                </m:sSub>
              </m:e>
            </m:d>
            <m:r>
              <m:rPr>
                <m:nor/>
              </m:rPr>
              <w:rPr>
                <w:rFonts w:eastAsia="Cambria Math"/>
                <w:b/>
                <w:i/>
                <w:szCs w:val="36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b/>
                    <w:i/>
                    <w:szCs w:val="36"/>
                  </w:rPr>
                </m:ctrlPr>
              </m:sSubPr>
              <m:e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Q</m:t>
                </m:r>
              </m:e>
              <m:sub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Dis</m:t>
                </m:r>
              </m:sub>
            </m:sSub>
          </m:num>
          <m:den>
            <m:r>
              <m:rPr>
                <m:nor/>
              </m:rPr>
              <w:rPr>
                <w:rFonts w:eastAsia="Cambria Math"/>
                <w:b/>
                <w:i/>
                <w:szCs w:val="36"/>
              </w:rPr>
              <m:t>I(1-</m:t>
            </m:r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szCs w:val="36"/>
                  </w:rPr>
                </m:ctrlPr>
              </m:sSupPr>
              <m:e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10</m:t>
                </m:r>
              </m:e>
              <m:sup>
                <m:sSub>
                  <m:sSubPr>
                    <m:ctrlPr>
                      <w:rPr>
                        <w:rFonts w:ascii="Cambria Math" w:eastAsia="Cambria Math" w:hAnsi="Cambria Math"/>
                        <w:b/>
                        <w:i/>
                        <w:szCs w:val="36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="Cambria Math"/>
                        <w:b/>
                        <w:i/>
                        <w:szCs w:val="36"/>
                      </w:rPr>
                      <m:t>-A</m:t>
                    </m:r>
                  </m:e>
                  <m:sub>
                    <m:r>
                      <m:rPr>
                        <m:nor/>
                      </m:rPr>
                      <w:rPr>
                        <w:rFonts w:eastAsia="Cambria Math"/>
                        <w:b/>
                        <w:i/>
                        <w:szCs w:val="36"/>
                      </w:rPr>
                      <m:t>808</m:t>
                    </m:r>
                  </m:sub>
                </m:sSub>
              </m:sup>
            </m:sSup>
            <m:r>
              <m:rPr>
                <m:nor/>
              </m:rPr>
              <w:rPr>
                <w:rFonts w:eastAsia="Cambria Math"/>
                <w:b/>
                <w:i/>
                <w:szCs w:val="36"/>
              </w:rPr>
              <m:t>)</m:t>
            </m:r>
          </m:den>
        </m:f>
      </m:oMath>
      <w:r w:rsidRPr="00345ADA">
        <w:rPr>
          <w:rFonts w:eastAsiaTheme="minorEastAsia"/>
          <w:b/>
          <w:lang w:eastAsia="zh-CN"/>
        </w:rPr>
        <w:t xml:space="preserve"> </w:t>
      </w:r>
      <w:r w:rsidRPr="00345ADA">
        <w:rPr>
          <w:rFonts w:eastAsiaTheme="minorEastAsia"/>
          <w:b/>
          <w:sz w:val="36"/>
          <w:szCs w:val="32"/>
          <w:lang w:eastAsia="zh-CN"/>
        </w:rPr>
        <w:t xml:space="preserve">       </w:t>
      </w:r>
      <w:r w:rsidRPr="00345ADA">
        <w:rPr>
          <w:rFonts w:eastAsiaTheme="minorEastAsia"/>
          <w:b/>
          <w:lang w:eastAsia="zh-CN"/>
        </w:rPr>
        <w:t>(1)</w:t>
      </w:r>
    </w:p>
    <w:p w:rsidR="00A4571B" w:rsidRPr="00345ADA" w:rsidRDefault="00A4571B" w:rsidP="00A4571B">
      <w:pPr>
        <w:spacing w:line="480" w:lineRule="auto"/>
        <w:jc w:val="both"/>
        <w:rPr>
          <w:color w:val="000000"/>
        </w:rPr>
      </w:pPr>
      <w:r w:rsidRPr="00345ADA">
        <w:rPr>
          <w:color w:val="000000"/>
        </w:rPr>
        <w:t>Take NP</w:t>
      </w:r>
      <w:r w:rsidRPr="00345ADA">
        <w:rPr>
          <w:rFonts w:eastAsiaTheme="minorEastAsia"/>
          <w:color w:val="000000"/>
          <w:vertAlign w:val="subscript"/>
          <w:lang w:eastAsia="zh-CN"/>
        </w:rPr>
        <w:t>TVT</w:t>
      </w:r>
      <w:r w:rsidRPr="00345ADA">
        <w:rPr>
          <w:color w:val="000000"/>
        </w:rPr>
        <w:t xml:space="preserve"> as an example, where </w:t>
      </w:r>
      <w:r w:rsidRPr="00345ADA">
        <w:rPr>
          <w:i/>
          <w:iCs/>
          <w:color w:val="000000"/>
        </w:rPr>
        <w:t>T</w:t>
      </w:r>
      <w:r w:rsidRPr="00345ADA">
        <w:rPr>
          <w:i/>
          <w:iCs/>
          <w:color w:val="000000"/>
          <w:vertAlign w:val="subscript"/>
        </w:rPr>
        <w:t>Max</w:t>
      </w:r>
      <w:r w:rsidRPr="00345ADA">
        <w:rPr>
          <w:i/>
          <w:iCs/>
          <w:color w:val="000000"/>
          <w:sz w:val="16"/>
          <w:szCs w:val="16"/>
        </w:rPr>
        <w:t xml:space="preserve"> </w:t>
      </w:r>
      <w:r w:rsidRPr="00345ADA">
        <w:rPr>
          <w:color w:val="000000"/>
        </w:rPr>
        <w:t xml:space="preserve">(unit: </w:t>
      </w:r>
      <w:r w:rsidRPr="00345ADA">
        <w:rPr>
          <w:rFonts w:eastAsiaTheme="minorEastAsia"/>
          <w:color w:val="000000"/>
          <w:lang w:eastAsia="zh-CN"/>
        </w:rPr>
        <w:t>°</w:t>
      </w:r>
      <w:r w:rsidRPr="00345ADA">
        <w:rPr>
          <w:color w:val="000000"/>
        </w:rPr>
        <w:t xml:space="preserve">C) and </w:t>
      </w:r>
      <w:r w:rsidRPr="00345ADA">
        <w:rPr>
          <w:i/>
          <w:iCs/>
          <w:color w:val="000000"/>
        </w:rPr>
        <w:t>T</w:t>
      </w:r>
      <w:r w:rsidRPr="00345ADA">
        <w:rPr>
          <w:i/>
          <w:iCs/>
          <w:color w:val="000000"/>
          <w:vertAlign w:val="subscript"/>
        </w:rPr>
        <w:t>Surr</w:t>
      </w:r>
      <w:r w:rsidRPr="00345ADA">
        <w:rPr>
          <w:i/>
          <w:iCs/>
          <w:color w:val="000000"/>
          <w:sz w:val="16"/>
          <w:szCs w:val="16"/>
        </w:rPr>
        <w:t xml:space="preserve"> </w:t>
      </w:r>
      <w:r w:rsidRPr="00345ADA">
        <w:rPr>
          <w:color w:val="000000"/>
        </w:rPr>
        <w:t xml:space="preserve">(unit: </w:t>
      </w:r>
      <w:r w:rsidRPr="00345ADA">
        <w:rPr>
          <w:rFonts w:eastAsiaTheme="minorEastAsia"/>
          <w:color w:val="000000"/>
          <w:lang w:eastAsia="zh-CN"/>
        </w:rPr>
        <w:t>°</w:t>
      </w:r>
      <w:r w:rsidRPr="00345ADA">
        <w:rPr>
          <w:color w:val="000000"/>
        </w:rPr>
        <w:t>C) are the balance temperature and ambient temperature of the surroundings, respectively. (</w:t>
      </w:r>
      <w:r w:rsidRPr="00345ADA">
        <w:rPr>
          <w:i/>
          <w:iCs/>
          <w:color w:val="000000"/>
        </w:rPr>
        <w:t>T</w:t>
      </w:r>
      <w:r w:rsidRPr="00345ADA">
        <w:rPr>
          <w:i/>
          <w:iCs/>
          <w:color w:val="000000"/>
          <w:vertAlign w:val="subscript"/>
        </w:rPr>
        <w:t>Max</w:t>
      </w:r>
      <w:r w:rsidRPr="00345ADA">
        <w:rPr>
          <w:i/>
          <w:iCs/>
          <w:color w:val="000000"/>
        </w:rPr>
        <w:t xml:space="preserve"> - T</w:t>
      </w:r>
      <w:r w:rsidRPr="00345ADA">
        <w:rPr>
          <w:i/>
          <w:iCs/>
          <w:color w:val="000000"/>
          <w:vertAlign w:val="subscript"/>
        </w:rPr>
        <w:t>Surr</w:t>
      </w:r>
      <w:r w:rsidRPr="00345ADA">
        <w:rPr>
          <w:color w:val="000000"/>
        </w:rPr>
        <w:t>) was 30.27 °C according to Figure S</w:t>
      </w:r>
      <w:r w:rsidR="00341CAE" w:rsidRPr="00341CAE">
        <w:rPr>
          <w:rFonts w:eastAsiaTheme="minorEastAsia"/>
          <w:color w:val="000000"/>
          <w:lang w:eastAsia="zh-CN"/>
        </w:rPr>
        <w:t>4</w:t>
      </w:r>
      <w:r w:rsidRPr="00345ADA">
        <w:rPr>
          <w:color w:val="000000"/>
        </w:rPr>
        <w:t xml:space="preserve">b. </w:t>
      </w:r>
      <w:r w:rsidRPr="00345ADA">
        <w:rPr>
          <w:i/>
          <w:color w:val="000000"/>
        </w:rPr>
        <w:t>Q</w:t>
      </w:r>
      <w:r w:rsidRPr="00345ADA">
        <w:rPr>
          <w:i/>
          <w:color w:val="000000"/>
          <w:vertAlign w:val="subscript"/>
        </w:rPr>
        <w:t>Dis</w:t>
      </w:r>
      <w:r w:rsidRPr="00345ADA">
        <w:rPr>
          <w:color w:val="000000"/>
        </w:rPr>
        <w:t xml:space="preserve"> is the heat induced by the light absorbance of water solvent without NP</w:t>
      </w:r>
      <w:r w:rsidRPr="00345ADA">
        <w:rPr>
          <w:color w:val="000000"/>
          <w:vertAlign w:val="subscript"/>
        </w:rPr>
        <w:t>TVT</w:t>
      </w:r>
      <w:r w:rsidRPr="00345ADA">
        <w:rPr>
          <w:color w:val="000000"/>
        </w:rPr>
        <w:t xml:space="preserve"> and it was measured to be 1.9 mW. I (unit: mW) is the incident laser power (600 m</w:t>
      </w:r>
      <w:r>
        <w:rPr>
          <w:color w:val="000000"/>
        </w:rPr>
        <w:t>W</w:t>
      </w:r>
      <w:r w:rsidRPr="00345ADA">
        <w:rPr>
          <w:color w:val="000000"/>
        </w:rPr>
        <w:t>). A</w:t>
      </w:r>
      <w:r w:rsidRPr="00345ADA">
        <w:rPr>
          <w:color w:val="000000"/>
          <w:vertAlign w:val="subscript"/>
        </w:rPr>
        <w:t>808</w:t>
      </w:r>
      <w:r w:rsidRPr="00345ADA">
        <w:rPr>
          <w:color w:val="000000"/>
        </w:rPr>
        <w:t xml:space="preserve"> is the absorbance (</w:t>
      </w:r>
      <w:r w:rsidRPr="00A4571B">
        <w:t>1.78</w:t>
      </w:r>
      <w:r w:rsidRPr="00345ADA">
        <w:rPr>
          <w:color w:val="000000"/>
        </w:rPr>
        <w:t>) of NP</w:t>
      </w:r>
      <w:r w:rsidRPr="00345ADA">
        <w:rPr>
          <w:color w:val="000000"/>
          <w:vertAlign w:val="subscript"/>
        </w:rPr>
        <w:t>TVT</w:t>
      </w:r>
      <w:r w:rsidRPr="00345ADA">
        <w:rPr>
          <w:color w:val="000000"/>
        </w:rPr>
        <w:t xml:space="preserve"> at 808 nm. Thus, only the </w:t>
      </w:r>
      <w:r w:rsidRPr="00345ADA">
        <w:rPr>
          <w:i/>
          <w:color w:val="000000"/>
        </w:rPr>
        <w:t>hS</w:t>
      </w:r>
      <w:r w:rsidRPr="00345ADA">
        <w:rPr>
          <w:color w:val="000000"/>
        </w:rPr>
        <w:t xml:space="preserve"> remains unknown for calculating. h is heat transfer coefficient, S is the surface area of the container.</w:t>
      </w:r>
    </w:p>
    <w:p w:rsidR="00A4571B" w:rsidRPr="00345ADA" w:rsidRDefault="00A4571B" w:rsidP="00A4571B">
      <w:pPr>
        <w:spacing w:line="480" w:lineRule="auto"/>
        <w:ind w:firstLineChars="200" w:firstLine="480"/>
        <w:jc w:val="both"/>
        <w:rPr>
          <w:color w:val="000000"/>
        </w:rPr>
      </w:pPr>
      <w:r w:rsidRPr="00345ADA">
        <w:rPr>
          <w:color w:val="000000"/>
        </w:rPr>
        <w:t xml:space="preserve">In order to get the unknown parameter </w:t>
      </w:r>
      <w:r w:rsidRPr="00345ADA">
        <w:rPr>
          <w:i/>
          <w:color w:val="000000"/>
        </w:rPr>
        <w:t>hS</w:t>
      </w:r>
      <w:r w:rsidRPr="00345ADA">
        <w:rPr>
          <w:color w:val="000000"/>
        </w:rPr>
        <w:t xml:space="preserve">, a dimensionless driving force temperature, is introduced by using the maximum system temperature, noted as </w:t>
      </w:r>
      <w:r w:rsidRPr="00345ADA">
        <w:rPr>
          <w:i/>
          <w:color w:val="000000"/>
        </w:rPr>
        <w:t>Tmax</w:t>
      </w:r>
    </w:p>
    <w:p w:rsidR="00A4571B" w:rsidRPr="00345ADA" w:rsidRDefault="00A4571B" w:rsidP="00A4571B">
      <w:pPr>
        <w:spacing w:line="480" w:lineRule="auto"/>
        <w:jc w:val="center"/>
        <w:rPr>
          <w:rFonts w:eastAsiaTheme="minorEastAsia"/>
          <w:b/>
          <w:sz w:val="36"/>
          <w:szCs w:val="36"/>
          <w:lang w:eastAsia="zh-CN"/>
        </w:rPr>
      </w:pPr>
      <m:oMath>
        <m:r>
          <m:rPr>
            <m:nor/>
          </m:rPr>
          <w:rPr>
            <w:rFonts w:eastAsia="Cambria Math"/>
            <w:b/>
            <w:i/>
            <w:szCs w:val="36"/>
          </w:rPr>
          <m:t>Ɵ=</m:t>
        </m:r>
        <m:f>
          <m:fPr>
            <m:ctrlPr>
              <w:rPr>
                <w:rFonts w:ascii="Cambria Math" w:eastAsia="Cambria Math" w:hAnsi="Cambria Math"/>
                <w:b/>
                <w:i/>
                <w:szCs w:val="36"/>
              </w:rPr>
            </m:ctrlPr>
          </m:fPr>
          <m:num>
            <m:r>
              <m:rPr>
                <m:nor/>
              </m:rPr>
              <w:rPr>
                <w:rFonts w:eastAsia="Cambria Math"/>
                <w:b/>
                <w:i/>
                <w:szCs w:val="36"/>
              </w:rPr>
              <m:t>T-</m:t>
            </m:r>
            <m:sSub>
              <m:sSubPr>
                <m:ctrlPr>
                  <w:rPr>
                    <w:rFonts w:ascii="Cambria Math" w:eastAsia="Cambria Math" w:hAnsi="Cambria Math"/>
                    <w:b/>
                    <w:i/>
                    <w:szCs w:val="36"/>
                  </w:rPr>
                </m:ctrlPr>
              </m:sSubPr>
              <m:e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Surr</m:t>
                </m:r>
              </m:sub>
            </m:sSub>
          </m:num>
          <m:den>
            <m:sSub>
              <m:sSubPr>
                <m:ctrlPr>
                  <w:rPr>
                    <w:rFonts w:ascii="Cambria Math" w:eastAsia="Cambria Math" w:hAnsi="Cambria Math"/>
                    <w:b/>
                    <w:i/>
                    <w:szCs w:val="36"/>
                  </w:rPr>
                </m:ctrlPr>
              </m:sSubPr>
              <m:e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Max</m:t>
                </m:r>
              </m:sub>
            </m:sSub>
            <m:r>
              <m:rPr>
                <m:nor/>
              </m:rPr>
              <w:rPr>
                <w:rFonts w:eastAsia="Cambria Math"/>
                <w:b/>
                <w:i/>
                <w:szCs w:val="36"/>
              </w:rPr>
              <m:t>-</m:t>
            </m:r>
            <m:sSub>
              <m:sSubPr>
                <m:ctrlPr>
                  <w:rPr>
                    <w:rFonts w:ascii="Cambria Math" w:eastAsia="Cambria Math" w:hAnsi="Cambria Math"/>
                    <w:b/>
                    <w:i/>
                    <w:szCs w:val="36"/>
                  </w:rPr>
                </m:ctrlPr>
              </m:sSubPr>
              <m:e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T</m:t>
                </m:r>
              </m:e>
              <m:sub>
                <m:r>
                  <m:rPr>
                    <m:nor/>
                  </m:rPr>
                  <w:rPr>
                    <w:rFonts w:eastAsia="Cambria Math"/>
                    <w:b/>
                    <w:i/>
                    <w:szCs w:val="36"/>
                  </w:rPr>
                  <m:t>Surr</m:t>
                </m:r>
              </m:sub>
            </m:sSub>
          </m:den>
        </m:f>
      </m:oMath>
      <w:r w:rsidRPr="00345ADA">
        <w:rPr>
          <w:rFonts w:eastAsiaTheme="minorEastAsia"/>
          <w:b/>
          <w:sz w:val="28"/>
          <w:szCs w:val="36"/>
          <w:lang w:eastAsia="zh-CN"/>
        </w:rPr>
        <w:t xml:space="preserve"> </w:t>
      </w:r>
      <w:r w:rsidRPr="00345ADA">
        <w:rPr>
          <w:rFonts w:eastAsiaTheme="minorEastAsia"/>
          <w:b/>
          <w:lang w:eastAsia="zh-CN"/>
        </w:rPr>
        <w:t xml:space="preserve">          (2)</w:t>
      </w:r>
    </w:p>
    <w:p w:rsidR="00A4571B" w:rsidRPr="00345ADA" w:rsidRDefault="00A4571B" w:rsidP="00A4571B">
      <w:pPr>
        <w:spacing w:line="480" w:lineRule="auto"/>
        <w:ind w:firstLineChars="200" w:firstLine="480"/>
        <w:jc w:val="both"/>
        <w:rPr>
          <w:color w:val="000000"/>
        </w:rPr>
      </w:pPr>
      <w:r w:rsidRPr="00345ADA">
        <w:rPr>
          <w:color w:val="000000"/>
        </w:rPr>
        <w:t xml:space="preserve">At the cooling stage of aqueous dispersion of the NPTVT, the light source was shut off, and the value of </w:t>
      </w:r>
      <m:oMath>
        <m:r>
          <m:rPr>
            <m:nor/>
          </m:rPr>
          <w:rPr>
            <w:color w:val="000000"/>
          </w:rPr>
          <m:t>τ</m:t>
        </m:r>
      </m:oMath>
      <w:r w:rsidRPr="00345ADA">
        <w:rPr>
          <w:color w:val="000000"/>
          <w:vertAlign w:val="subscript"/>
        </w:rPr>
        <w:t>s</w:t>
      </w:r>
      <w:r w:rsidRPr="00345ADA">
        <w:rPr>
          <w:i/>
          <w:iCs/>
          <w:color w:val="000000"/>
          <w:sz w:val="16"/>
          <w:szCs w:val="16"/>
        </w:rPr>
        <w:t xml:space="preserve"> </w:t>
      </w:r>
      <w:r w:rsidRPr="00345ADA">
        <w:rPr>
          <w:color w:val="000000"/>
        </w:rPr>
        <w:t>(155.06 s) is obtained (Figure S</w:t>
      </w:r>
      <w:r w:rsidR="00341CAE">
        <w:rPr>
          <w:color w:val="000000"/>
        </w:rPr>
        <w:t>4</w:t>
      </w:r>
      <w:bookmarkStart w:id="0" w:name="_GoBack"/>
      <w:bookmarkEnd w:id="0"/>
      <w:r w:rsidRPr="00345ADA">
        <w:rPr>
          <w:color w:val="000000"/>
        </w:rPr>
        <w:t>a) according this Eq. 3.</w:t>
      </w:r>
    </w:p>
    <w:p w:rsidR="00A4571B" w:rsidRPr="00345ADA" w:rsidRDefault="00A4571B" w:rsidP="00A4571B">
      <w:pPr>
        <w:spacing w:line="480" w:lineRule="auto"/>
        <w:jc w:val="center"/>
        <w:rPr>
          <w:rFonts w:eastAsiaTheme="minorEastAsia"/>
          <w:b/>
          <w:lang w:eastAsia="zh-CN"/>
        </w:rPr>
      </w:pPr>
      <m:oMath>
        <m:r>
          <m:rPr>
            <m:nor/>
          </m:rPr>
          <w:rPr>
            <w:b/>
            <w:i/>
            <w:szCs w:val="36"/>
          </w:rPr>
          <m:t>T=-</m:t>
        </m:r>
        <m:sSub>
          <m:sSubPr>
            <m:ctrlPr>
              <w:rPr>
                <w:rFonts w:ascii="Cambria Math" w:hAnsi="Cambria Math"/>
                <w:b/>
                <w:i/>
                <w:szCs w:val="36"/>
              </w:rPr>
            </m:ctrlPr>
          </m:sSubPr>
          <m:e>
            <m:r>
              <m:rPr>
                <m:nor/>
              </m:rPr>
              <w:rPr>
                <w:b/>
                <w:i/>
                <w:szCs w:val="36"/>
              </w:rPr>
              <m:t>τ</m:t>
            </m:r>
          </m:e>
          <m:sub>
            <m:r>
              <m:rPr>
                <m:nor/>
              </m:rPr>
              <w:rPr>
                <w:b/>
                <w:i/>
                <w:szCs w:val="36"/>
              </w:rPr>
              <m:t>S</m:t>
            </m:r>
          </m:sub>
        </m:sSub>
        <m:r>
          <m:rPr>
            <m:nor/>
          </m:rPr>
          <w:rPr>
            <w:b/>
            <w:i/>
            <w:szCs w:val="36"/>
          </w:rPr>
          <m:t>lnθ</m:t>
        </m:r>
      </m:oMath>
      <w:r w:rsidRPr="00345ADA">
        <w:rPr>
          <w:rFonts w:eastAsiaTheme="minorEastAsia"/>
          <w:b/>
          <w:i/>
          <w:sz w:val="32"/>
          <w:szCs w:val="36"/>
          <w:lang w:eastAsia="zh-CN"/>
        </w:rPr>
        <w:t xml:space="preserve">  </w:t>
      </w:r>
      <w:r w:rsidRPr="00345ADA">
        <w:rPr>
          <w:rFonts w:eastAsiaTheme="minorEastAsia"/>
          <w:b/>
          <w:i/>
          <w:lang w:eastAsia="zh-CN"/>
        </w:rPr>
        <w:t xml:space="preserve">     </w:t>
      </w:r>
      <w:r w:rsidRPr="00345ADA">
        <w:rPr>
          <w:rFonts w:eastAsiaTheme="minorEastAsia"/>
          <w:lang w:eastAsia="zh-CN"/>
        </w:rPr>
        <w:t xml:space="preserve">     </w:t>
      </w:r>
      <w:r w:rsidRPr="00345ADA">
        <w:rPr>
          <w:rFonts w:eastAsiaTheme="minorEastAsia"/>
          <w:b/>
          <w:lang w:eastAsia="zh-CN"/>
        </w:rPr>
        <w:t>(3)</w:t>
      </w:r>
    </w:p>
    <w:p w:rsidR="00A4571B" w:rsidRPr="00345ADA" w:rsidRDefault="00A4571B" w:rsidP="00A4571B">
      <w:pPr>
        <w:spacing w:line="480" w:lineRule="auto"/>
        <w:rPr>
          <w:color w:val="000000"/>
        </w:rPr>
      </w:pPr>
      <w:r w:rsidRPr="00345ADA">
        <w:rPr>
          <w:color w:val="000000"/>
        </w:rPr>
        <w:t xml:space="preserve">and the value of </w:t>
      </w:r>
      <w:r w:rsidRPr="00345ADA">
        <w:rPr>
          <w:i/>
          <w:iCs/>
          <w:color w:val="000000"/>
        </w:rPr>
        <w:t xml:space="preserve">hS </w:t>
      </w:r>
      <w:r w:rsidRPr="00345ADA">
        <w:rPr>
          <w:color w:val="000000"/>
        </w:rPr>
        <w:t>is derived according to Eq. 4.</w:t>
      </w:r>
    </w:p>
    <w:p w:rsidR="00A4571B" w:rsidRPr="00345ADA" w:rsidRDefault="00417CF1" w:rsidP="00A4571B">
      <w:pPr>
        <w:spacing w:line="480" w:lineRule="auto"/>
        <w:jc w:val="center"/>
        <w:rPr>
          <w:rFonts w:eastAsiaTheme="minorEastAsia"/>
          <w:b/>
          <w:lang w:eastAsia="zh-CN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nor/>
              </m:rPr>
              <w:rPr>
                <w:b/>
                <w:i/>
              </w:rPr>
              <m:t>τ</m:t>
            </m:r>
          </m:e>
          <m:sub>
            <m:r>
              <m:rPr>
                <m:nor/>
              </m:rPr>
              <w:rPr>
                <w:b/>
                <w:i/>
              </w:rPr>
              <m:t>S</m:t>
            </m:r>
          </m:sub>
        </m:sSub>
        <m:r>
          <m:rPr>
            <m:nor/>
          </m:rPr>
          <w:rPr>
            <w:b/>
            <w:i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lang w:eastAsia="zh-CN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b/>
                    <w:i/>
                    <w:lang w:eastAsia="zh-CN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zh-CN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Theme="minorEastAsia"/>
                        <w:b/>
                        <w:i/>
                        <w:lang w:eastAsia="zh-CN"/>
                      </w:rPr>
                      <m:t>m</m:t>
                    </m:r>
                  </m:e>
                  <m:sub>
                    <m:r>
                      <m:rPr>
                        <m:nor/>
                      </m:rPr>
                      <w:rPr>
                        <w:rFonts w:eastAsiaTheme="minorEastAsia"/>
                        <w:b/>
                        <w:i/>
                        <w:lang w:eastAsia="zh-CN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lang w:eastAsia="zh-CN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eastAsiaTheme="minorEastAsia"/>
                        <w:b/>
                        <w:i/>
                        <w:lang w:eastAsia="zh-CN"/>
                      </w:rPr>
                      <m:t>C</m:t>
                    </m:r>
                  </m:e>
                  <m:sub>
                    <m:r>
                      <m:rPr>
                        <m:nor/>
                      </m:rPr>
                      <w:rPr>
                        <w:rFonts w:eastAsiaTheme="minorEastAsia"/>
                        <w:b/>
                        <w:i/>
                        <w:lang w:eastAsia="zh-CN"/>
                      </w:rPr>
                      <m:t>p,i</m:t>
                    </m:r>
                  </m:sub>
                </m:sSub>
              </m:e>
            </m:nary>
          </m:num>
          <m:den>
            <m:r>
              <m:rPr>
                <m:nor/>
              </m:rPr>
              <w:rPr>
                <w:rFonts w:eastAsiaTheme="minorEastAsia"/>
                <w:b/>
                <w:i/>
                <w:lang w:eastAsia="zh-CN"/>
              </w:rPr>
              <m:t>hS</m:t>
            </m:r>
          </m:den>
        </m:f>
      </m:oMath>
      <w:r w:rsidR="00A4571B" w:rsidRPr="00345ADA">
        <w:rPr>
          <w:rFonts w:eastAsiaTheme="minorEastAsia"/>
          <w:b/>
          <w:i/>
          <w:lang w:eastAsia="zh-CN"/>
        </w:rPr>
        <w:t xml:space="preserve">             </w:t>
      </w:r>
      <w:r w:rsidR="00A4571B" w:rsidRPr="00345ADA">
        <w:rPr>
          <w:rFonts w:eastAsiaTheme="minorEastAsia"/>
          <w:b/>
          <w:lang w:eastAsia="zh-CN"/>
        </w:rPr>
        <w:t>(4)</w:t>
      </w:r>
    </w:p>
    <w:p w:rsidR="00A4571B" w:rsidRPr="00A4571B" w:rsidRDefault="00A4571B" w:rsidP="00A4571B">
      <w:pPr>
        <w:spacing w:line="480" w:lineRule="auto"/>
        <w:ind w:firstLineChars="200" w:firstLine="480"/>
        <w:jc w:val="both"/>
        <w:rPr>
          <w:rFonts w:eastAsiaTheme="minorEastAsia"/>
          <w:color w:val="000000"/>
          <w:lang w:eastAsia="zh-CN"/>
        </w:rPr>
      </w:pPr>
      <w:r w:rsidRPr="00345ADA">
        <w:rPr>
          <w:color w:val="000000"/>
        </w:rPr>
        <w:t xml:space="preserve">Where the </w:t>
      </w:r>
      <w:r w:rsidRPr="00345ADA">
        <w:rPr>
          <w:i/>
          <w:iCs/>
          <w:color w:val="000000"/>
        </w:rPr>
        <w:t xml:space="preserve">C </w:t>
      </w:r>
      <w:r w:rsidRPr="00345ADA">
        <w:rPr>
          <w:color w:val="000000"/>
        </w:rPr>
        <w:t>is 4.2 J</w:t>
      </w:r>
      <w:r w:rsidRPr="00345ADA">
        <w:rPr>
          <w:rFonts w:eastAsia="宋体"/>
          <w:b/>
          <w:color w:val="000000"/>
        </w:rPr>
        <w:t>·</w:t>
      </w:r>
      <w:r w:rsidRPr="00345ADA">
        <w:rPr>
          <w:color w:val="000000"/>
        </w:rPr>
        <w:t>g</w:t>
      </w:r>
      <w:r w:rsidRPr="00345ADA">
        <w:rPr>
          <w:color w:val="000000"/>
          <w:vertAlign w:val="superscript"/>
        </w:rPr>
        <w:t>-1</w:t>
      </w:r>
      <w:r w:rsidRPr="00345ADA">
        <w:rPr>
          <w:rFonts w:eastAsia="宋体"/>
          <w:b/>
          <w:color w:val="000000"/>
        </w:rPr>
        <w:t>·</w:t>
      </w:r>
      <w:r w:rsidRPr="00345ADA">
        <w:rPr>
          <w:rFonts w:eastAsia="宋体"/>
          <w:color w:val="000000"/>
          <w:lang w:eastAsia="zh-CN"/>
        </w:rPr>
        <w:t>°</w:t>
      </w:r>
      <w:r w:rsidRPr="00345ADA">
        <w:rPr>
          <w:rFonts w:eastAsia="宋体"/>
          <w:color w:val="000000"/>
        </w:rPr>
        <w:t>C</w:t>
      </w:r>
      <w:r w:rsidRPr="00345ADA">
        <w:rPr>
          <w:rFonts w:eastAsia="宋体"/>
          <w:color w:val="000000"/>
          <w:vertAlign w:val="superscript"/>
        </w:rPr>
        <w:t>-1</w:t>
      </w:r>
      <w:r w:rsidRPr="00345ADA">
        <w:rPr>
          <w:color w:val="000000"/>
        </w:rPr>
        <w:t xml:space="preserve"> and the </w:t>
      </w:r>
      <w:r w:rsidRPr="00345ADA">
        <w:rPr>
          <w:i/>
          <w:iCs/>
          <w:color w:val="000000"/>
        </w:rPr>
        <w:t xml:space="preserve">m </w:t>
      </w:r>
      <w:r w:rsidRPr="00345ADA">
        <w:rPr>
          <w:color w:val="000000"/>
        </w:rPr>
        <w:t xml:space="preserve">is 0.3 g. Therefore, following the Eq. 4, the </w:t>
      </w:r>
      <w:r w:rsidRPr="00345ADA">
        <w:rPr>
          <w:i/>
          <w:iCs/>
          <w:color w:val="000000"/>
        </w:rPr>
        <w:t xml:space="preserve">hS </w:t>
      </w:r>
      <w:r w:rsidRPr="00345ADA">
        <w:rPr>
          <w:color w:val="000000"/>
        </w:rPr>
        <w:t>is calculated to be 8.13 mW/</w:t>
      </w:r>
      <w:r w:rsidRPr="00345ADA">
        <w:rPr>
          <w:rFonts w:eastAsia="宋体"/>
          <w:color w:val="000000"/>
          <w:lang w:eastAsia="zh-CN"/>
        </w:rPr>
        <w:t>°</w:t>
      </w:r>
      <w:r w:rsidRPr="00345ADA">
        <w:rPr>
          <w:color w:val="000000"/>
        </w:rPr>
        <w:t xml:space="preserve">C. Substituting the value of </w:t>
      </w:r>
      <w:r w:rsidRPr="00345ADA">
        <w:rPr>
          <w:i/>
          <w:iCs/>
          <w:color w:val="000000"/>
        </w:rPr>
        <w:t xml:space="preserve">hS </w:t>
      </w:r>
      <w:r w:rsidRPr="00345ADA">
        <w:rPr>
          <w:color w:val="000000"/>
        </w:rPr>
        <w:t xml:space="preserve">into Eq. 1, the 808 </w:t>
      </w:r>
      <w:r w:rsidRPr="00345ADA">
        <w:rPr>
          <w:color w:val="000000"/>
        </w:rPr>
        <w:lastRenderedPageBreak/>
        <w:t>nm laser heat conversion efficiency (ƞ) of NP</w:t>
      </w:r>
      <w:r w:rsidRPr="00345ADA">
        <w:rPr>
          <w:color w:val="000000"/>
          <w:vertAlign w:val="subscript"/>
        </w:rPr>
        <w:t>TVT</w:t>
      </w:r>
      <w:r w:rsidRPr="00345ADA">
        <w:rPr>
          <w:color w:val="000000"/>
        </w:rPr>
        <w:t xml:space="preserve"> can be calculated to be 40.7%. Similarly, other nanoparticles ƞ was calculated such as the above statement.</w:t>
      </w:r>
    </w:p>
    <w:p w:rsidR="00A4571B" w:rsidRPr="00A4571B" w:rsidRDefault="00A4571B" w:rsidP="00A4571B">
      <w:pPr>
        <w:rPr>
          <w:lang w:val="en-US" w:eastAsia="en-US"/>
        </w:rPr>
      </w:pPr>
    </w:p>
    <w:p w:rsidR="00794699" w:rsidRPr="00CE7046" w:rsidRDefault="00415DFB" w:rsidP="00794699">
      <w:pPr>
        <w:rPr>
          <w:b/>
          <w:lang w:val="en-US"/>
        </w:rPr>
      </w:pPr>
      <w:r>
        <w:rPr>
          <w:rFonts w:hint="eastAsia"/>
          <w:b/>
          <w:noProof/>
          <w:lang w:val="en-US"/>
        </w:rPr>
        <w:drawing>
          <wp:inline distT="0" distB="0" distL="0" distR="0">
            <wp:extent cx="5271770" cy="291655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91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99" w:rsidRDefault="00B83128" w:rsidP="00415DFB">
      <w:pPr>
        <w:jc w:val="both"/>
        <w:rPr>
          <w:lang w:val="en-US"/>
        </w:rPr>
      </w:pPr>
      <w:bookmarkStart w:id="1" w:name="_Hlk522369869"/>
      <w:bookmarkEnd w:id="1"/>
      <w:r w:rsidRPr="00345ADA">
        <w:rPr>
          <w:lang w:val="en-US"/>
        </w:rPr>
        <w:t xml:space="preserve">Figure </w:t>
      </w:r>
      <w:r w:rsidR="00415DFB">
        <w:rPr>
          <w:lang w:val="en-US"/>
        </w:rPr>
        <w:t>S1</w:t>
      </w:r>
      <w:r w:rsidRPr="00345ADA">
        <w:rPr>
          <w:lang w:val="en-US"/>
        </w:rPr>
        <w:t xml:space="preserve">. TGA (a), (b), (c) and DSC (d), (e), (f) analysis of these </w:t>
      </w:r>
      <w:r w:rsidR="00C71F3F" w:rsidRPr="00345ADA">
        <w:rPr>
          <w:lang w:val="en-US"/>
        </w:rPr>
        <w:t>conjugated polymers</w:t>
      </w:r>
      <w:r w:rsidRPr="00345ADA">
        <w:rPr>
          <w:lang w:val="en-US"/>
        </w:rPr>
        <w:t>.</w:t>
      </w:r>
    </w:p>
    <w:p w:rsidR="00415DFB" w:rsidRDefault="00415DFB" w:rsidP="00415DFB">
      <w:pPr>
        <w:jc w:val="both"/>
        <w:rPr>
          <w:lang w:val="en-US"/>
        </w:rPr>
      </w:pPr>
    </w:p>
    <w:p w:rsidR="00794699" w:rsidRDefault="00415DFB" w:rsidP="00C71F3F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271770" cy="40735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99" w:rsidRDefault="00794699" w:rsidP="00415DFB">
      <w:pPr>
        <w:jc w:val="both"/>
        <w:rPr>
          <w:color w:val="FF0000"/>
        </w:rPr>
      </w:pPr>
      <w:r w:rsidRPr="00A4571B">
        <w:rPr>
          <w:color w:val="FF0000"/>
          <w:lang w:val="en-US"/>
        </w:rPr>
        <w:lastRenderedPageBreak/>
        <w:t xml:space="preserve">Figure </w:t>
      </w:r>
      <w:r w:rsidR="00415DFB" w:rsidRPr="00A4571B">
        <w:rPr>
          <w:color w:val="FF0000"/>
          <w:lang w:val="en-US"/>
        </w:rPr>
        <w:t>S2</w:t>
      </w:r>
      <w:r w:rsidRPr="00A4571B">
        <w:rPr>
          <w:color w:val="FF0000"/>
          <w:lang w:val="en-US"/>
        </w:rPr>
        <w:t xml:space="preserve">. </w:t>
      </w:r>
      <w:r w:rsidR="001C6BD8" w:rsidRPr="00A4571B">
        <w:rPr>
          <w:color w:val="FF0000"/>
          <w:lang w:val="en-US"/>
        </w:rPr>
        <w:t xml:space="preserve">(a), (b), (c) The concentration independence of polymers. </w:t>
      </w:r>
      <w:r w:rsidR="001C6BD8" w:rsidRPr="00A4571B">
        <w:rPr>
          <w:color w:val="FF0000"/>
        </w:rPr>
        <w:t xml:space="preserve">(d) </w:t>
      </w:r>
      <w:r w:rsidR="00BC473E" w:rsidRPr="00A4571B">
        <w:rPr>
          <w:color w:val="FF0000"/>
        </w:rPr>
        <w:t xml:space="preserve">Linear fitting plots of absorbance </w:t>
      </w:r>
      <w:r w:rsidR="00944D95" w:rsidRPr="00A4571B">
        <w:rPr>
          <w:color w:val="FF0000"/>
        </w:rPr>
        <w:t>and</w:t>
      </w:r>
      <w:r w:rsidR="00BC473E" w:rsidRPr="00A4571B">
        <w:rPr>
          <w:color w:val="FF0000"/>
        </w:rPr>
        <w:t xml:space="preserve"> the conjugated polymers concentration</w:t>
      </w:r>
      <w:r w:rsidR="001C6BD8" w:rsidRPr="00A4571B">
        <w:rPr>
          <w:color w:val="FF0000"/>
        </w:rPr>
        <w:t>.</w:t>
      </w:r>
    </w:p>
    <w:p w:rsidR="00A4571B" w:rsidRPr="00A4571B" w:rsidRDefault="00A4571B" w:rsidP="00415DFB">
      <w:pPr>
        <w:jc w:val="both"/>
        <w:rPr>
          <w:color w:val="FF0000"/>
          <w:lang w:val="en-US"/>
        </w:rPr>
      </w:pPr>
    </w:p>
    <w:p w:rsidR="00B83128" w:rsidRPr="00345ADA" w:rsidRDefault="00415DFB" w:rsidP="00C27EE4">
      <w:pPr>
        <w:jc w:val="center"/>
        <w:rPr>
          <w:lang w:val="en-US"/>
        </w:rPr>
      </w:pPr>
      <w:r>
        <w:rPr>
          <w:noProof/>
          <w:lang w:val="en-US" w:eastAsia="zh-CN"/>
        </w:rPr>
        <w:drawing>
          <wp:inline distT="0" distB="0" distL="0" distR="0">
            <wp:extent cx="5271770" cy="14890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28" w:rsidRPr="00345ADA" w:rsidRDefault="00B83128" w:rsidP="00CE7046">
      <w:pPr>
        <w:jc w:val="both"/>
        <w:rPr>
          <w:lang w:val="en-US"/>
        </w:rPr>
      </w:pPr>
      <w:r w:rsidRPr="00345ADA">
        <w:rPr>
          <w:lang w:val="en-US"/>
        </w:rPr>
        <w:t xml:space="preserve">Figure </w:t>
      </w:r>
      <w:r w:rsidR="00415DFB">
        <w:rPr>
          <w:lang w:val="en-US"/>
        </w:rPr>
        <w:t>S3</w:t>
      </w:r>
      <w:r w:rsidRPr="00345ADA">
        <w:rPr>
          <w:lang w:val="en-US"/>
        </w:rPr>
        <w:t>. Temperature change curves of at different concentrations upon exposure to the NIR laser (808 nm, 2.0 W/cm</w:t>
      </w:r>
      <w:r w:rsidRPr="00345ADA">
        <w:rPr>
          <w:vertAlign w:val="superscript"/>
          <w:lang w:val="en-US"/>
        </w:rPr>
        <w:t>2</w:t>
      </w:r>
      <w:r w:rsidRPr="00345ADA">
        <w:rPr>
          <w:lang w:val="en-US"/>
        </w:rPr>
        <w:t>, 15 min).</w:t>
      </w:r>
    </w:p>
    <w:p w:rsidR="0058034F" w:rsidRPr="00345ADA" w:rsidRDefault="0058034F" w:rsidP="0058034F">
      <w:pPr>
        <w:tabs>
          <w:tab w:val="left" w:pos="1092"/>
        </w:tabs>
      </w:pPr>
    </w:p>
    <w:p w:rsidR="0058034F" w:rsidRPr="00415DFB" w:rsidRDefault="00415DFB" w:rsidP="00C27EE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5271770" cy="22307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28" w:rsidRPr="00AF4A12" w:rsidRDefault="00B83128" w:rsidP="00CE7046">
      <w:pPr>
        <w:jc w:val="both"/>
        <w:rPr>
          <w:lang w:val="en-US"/>
        </w:rPr>
      </w:pPr>
      <w:r w:rsidRPr="00AF4A12">
        <w:rPr>
          <w:lang w:val="en-US"/>
        </w:rPr>
        <w:t xml:space="preserve">Figure </w:t>
      </w:r>
      <w:r w:rsidR="00415DFB" w:rsidRPr="00AF4A12">
        <w:rPr>
          <w:lang w:val="en-US"/>
        </w:rPr>
        <w:t>S4</w:t>
      </w:r>
      <w:r w:rsidRPr="00AF4A12">
        <w:rPr>
          <w:lang w:val="en-US"/>
        </w:rPr>
        <w:t>. (</w:t>
      </w:r>
      <w:r w:rsidR="002077D8" w:rsidRPr="00AF4A12">
        <w:rPr>
          <w:lang w:val="en-US"/>
        </w:rPr>
        <w:t>a</w:t>
      </w:r>
      <w:r w:rsidRPr="00AF4A12">
        <w:rPr>
          <w:lang w:val="en-US"/>
        </w:rPr>
        <w:t>) Time constant for heat transfer from the system is determined to be τ</w:t>
      </w:r>
      <w:r w:rsidRPr="00AF4A12">
        <w:rPr>
          <w:vertAlign w:val="subscript"/>
          <w:lang w:val="en-US"/>
        </w:rPr>
        <w:t>s</w:t>
      </w:r>
      <w:r w:rsidRPr="00AF4A12">
        <w:rPr>
          <w:lang w:val="en-US"/>
        </w:rPr>
        <w:t xml:space="preserve"> by applying the linear time data from the cooling period versus negative natural logarithm of driving force temperature, which is obtained from the cooling stage of panel A. </w:t>
      </w:r>
      <w:r w:rsidR="002077D8" w:rsidRPr="00AF4A12">
        <w:rPr>
          <w:lang w:val="en-US"/>
        </w:rPr>
        <w:t xml:space="preserve">(b) Photothermal effect of the aqueous dispersion of these nanoparticles (40 </w:t>
      </w:r>
      <w:proofErr w:type="spellStart"/>
      <w:r w:rsidR="002077D8" w:rsidRPr="00AF4A12">
        <w:rPr>
          <w:lang w:val="en-US"/>
        </w:rPr>
        <w:t>μg</w:t>
      </w:r>
      <w:proofErr w:type="spellEnd"/>
      <w:r w:rsidR="002077D8" w:rsidRPr="00AF4A12">
        <w:rPr>
          <w:lang w:val="en-US"/>
        </w:rPr>
        <w:t>/mL) irradiated with 808 laser (a power density of 2.0 W/cm</w:t>
      </w:r>
      <w:r w:rsidR="002077D8" w:rsidRPr="00AF4A12">
        <w:rPr>
          <w:vertAlign w:val="superscript"/>
          <w:lang w:val="en-US"/>
        </w:rPr>
        <w:t>2</w:t>
      </w:r>
      <w:r w:rsidR="002077D8" w:rsidRPr="00AF4A12">
        <w:rPr>
          <w:lang w:val="en-US"/>
        </w:rPr>
        <w:t>), in which the irradiation lasted for 15 min, and then the laser was shut off.</w:t>
      </w:r>
    </w:p>
    <w:p w:rsidR="00384FDA" w:rsidRDefault="00384FDA" w:rsidP="00990399">
      <w:pPr>
        <w:rPr>
          <w:rFonts w:eastAsiaTheme="minorEastAsia"/>
          <w:b/>
          <w:lang w:val="en-US" w:eastAsia="zh-CN"/>
        </w:rPr>
      </w:pPr>
    </w:p>
    <w:p w:rsidR="00415DFB" w:rsidRDefault="00415DFB" w:rsidP="00990399">
      <w:pPr>
        <w:rPr>
          <w:rFonts w:eastAsiaTheme="minorEastAsia"/>
          <w:b/>
          <w:lang w:val="en-US" w:eastAsia="zh-CN"/>
        </w:rPr>
      </w:pPr>
      <w:r w:rsidRPr="00415DFB">
        <w:rPr>
          <w:rFonts w:eastAsiaTheme="minorEastAsia"/>
          <w:b/>
          <w:noProof/>
          <w:lang w:eastAsia="zh-CN"/>
        </w:rPr>
        <w:lastRenderedPageBreak/>
        <w:drawing>
          <wp:inline distT="0" distB="0" distL="0" distR="0" wp14:anchorId="44C6D35A" wp14:editId="56139E4F">
            <wp:extent cx="5274310" cy="3872865"/>
            <wp:effectExtent l="0" t="0" r="0" b="0"/>
            <wp:docPr id="14" name="图片 13">
              <a:extLst xmlns:a="http://schemas.openxmlformats.org/drawingml/2006/main">
                <a:ext uri="{FF2B5EF4-FFF2-40B4-BE49-F238E27FC236}">
                  <a16:creationId xmlns:a16="http://schemas.microsoft.com/office/drawing/2014/main" id="{65844E70-FDF1-4015-8E50-28F42173F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>
                      <a:extLst>
                        <a:ext uri="{FF2B5EF4-FFF2-40B4-BE49-F238E27FC236}">
                          <a16:creationId xmlns:a16="http://schemas.microsoft.com/office/drawing/2014/main" id="{65844E70-FDF1-4015-8E50-28F42173F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t="-801" r="2338" b="-1"/>
                    <a:stretch/>
                  </pic:blipFill>
                  <pic:spPr>
                    <a:xfrm>
                      <a:off x="0" y="0"/>
                      <a:ext cx="527431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C80" w:rsidRPr="00345ADA" w:rsidRDefault="00067C80" w:rsidP="00067C80">
      <w:pPr>
        <w:spacing w:line="480" w:lineRule="auto"/>
        <w:jc w:val="center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45ADA">
        <w:rPr>
          <w:rStyle w:val="fontstyle01"/>
          <w:rFonts w:ascii="Times New Roman" w:hAnsi="Times New Roman"/>
          <w:b w:val="0"/>
        </w:rPr>
        <w:t xml:space="preserve">Figure S5. </w:t>
      </w:r>
      <w:r w:rsidRPr="00345ADA">
        <w:rPr>
          <w:rStyle w:val="fontstyle21"/>
          <w:rFonts w:ascii="Times New Roman" w:hAnsi="Times New Roman"/>
          <w:sz w:val="24"/>
          <w:szCs w:val="24"/>
          <w:vertAlign w:val="superscript"/>
        </w:rPr>
        <w:t>1</w:t>
      </w:r>
      <w:r w:rsidRPr="00345ADA">
        <w:rPr>
          <w:rStyle w:val="fontstyle21"/>
          <w:rFonts w:ascii="Times New Roman" w:hAnsi="Times New Roman"/>
          <w:sz w:val="24"/>
          <w:szCs w:val="24"/>
        </w:rPr>
        <w:t xml:space="preserve">H NMR spectrum of </w:t>
      </w:r>
      <w:r w:rsidRPr="00345ADA">
        <w:rPr>
          <w:rStyle w:val="fontstyle01"/>
          <w:rFonts w:ascii="Times New Roman" w:hAnsi="Times New Roman"/>
        </w:rPr>
        <w:t xml:space="preserve">PBABDF-BT </w:t>
      </w:r>
      <w:r w:rsidRPr="00345ADA">
        <w:rPr>
          <w:rStyle w:val="fontstyle21"/>
          <w:rFonts w:ascii="Times New Roman" w:hAnsi="Times New Roman"/>
          <w:sz w:val="24"/>
          <w:szCs w:val="24"/>
        </w:rPr>
        <w:t>in CDCl</w:t>
      </w:r>
      <w:r w:rsidRPr="00345ADA">
        <w:rPr>
          <w:rStyle w:val="fontstyle21"/>
          <w:rFonts w:ascii="Times New Roman" w:hAnsi="Times New Roman"/>
          <w:sz w:val="24"/>
          <w:szCs w:val="24"/>
          <w:vertAlign w:val="subscript"/>
        </w:rPr>
        <w:t>3</w:t>
      </w:r>
      <w:r w:rsidRPr="00345ADA">
        <w:rPr>
          <w:rStyle w:val="fontstyle21"/>
          <w:rFonts w:ascii="Times New Roman" w:hAnsi="Times New Roman"/>
          <w:sz w:val="24"/>
          <w:szCs w:val="24"/>
        </w:rPr>
        <w:t>.</w:t>
      </w:r>
    </w:p>
    <w:p w:rsidR="00067C80" w:rsidRPr="00067C80" w:rsidRDefault="00067C80" w:rsidP="00990399">
      <w:pPr>
        <w:rPr>
          <w:rFonts w:eastAsiaTheme="minorEastAsia"/>
          <w:b/>
          <w:lang w:eastAsia="zh-CN"/>
        </w:rPr>
      </w:pPr>
    </w:p>
    <w:p w:rsidR="00067C80" w:rsidRDefault="00067C80" w:rsidP="00990399">
      <w:pPr>
        <w:rPr>
          <w:rFonts w:eastAsiaTheme="minorEastAsia"/>
          <w:b/>
          <w:lang w:val="en-US" w:eastAsia="zh-CN"/>
        </w:rPr>
      </w:pPr>
      <w:r>
        <w:rPr>
          <w:rFonts w:eastAsiaTheme="minorEastAsia" w:hint="eastAsia"/>
          <w:b/>
          <w:noProof/>
          <w:lang w:val="en-US" w:eastAsia="zh-CN"/>
        </w:rPr>
        <w:drawing>
          <wp:inline distT="0" distB="0" distL="0" distR="0">
            <wp:extent cx="5285740" cy="36785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6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3C" w:rsidRPr="00345ADA" w:rsidRDefault="00896D3C" w:rsidP="00896D3C">
      <w:pPr>
        <w:spacing w:line="480" w:lineRule="auto"/>
        <w:jc w:val="center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45ADA">
        <w:rPr>
          <w:rStyle w:val="fontstyle01"/>
          <w:rFonts w:ascii="Times New Roman" w:hAnsi="Times New Roman"/>
          <w:b w:val="0"/>
        </w:rPr>
        <w:t>Figure S</w:t>
      </w:r>
      <w:r>
        <w:rPr>
          <w:rStyle w:val="fontstyle01"/>
          <w:rFonts w:ascii="Times New Roman" w:hAnsi="Times New Roman"/>
          <w:b w:val="0"/>
        </w:rPr>
        <w:t>6</w:t>
      </w:r>
      <w:r w:rsidRPr="00345ADA">
        <w:rPr>
          <w:rStyle w:val="fontstyle01"/>
          <w:rFonts w:ascii="Times New Roman" w:hAnsi="Times New Roman"/>
          <w:b w:val="0"/>
        </w:rPr>
        <w:t xml:space="preserve">. </w:t>
      </w:r>
      <w:r w:rsidRPr="00345ADA">
        <w:rPr>
          <w:rStyle w:val="fontstyle21"/>
          <w:rFonts w:ascii="Times New Roman" w:hAnsi="Times New Roman"/>
          <w:sz w:val="24"/>
          <w:szCs w:val="24"/>
          <w:vertAlign w:val="superscript"/>
        </w:rPr>
        <w:t>1</w:t>
      </w:r>
      <w:r w:rsidRPr="00345ADA">
        <w:rPr>
          <w:rStyle w:val="fontstyle21"/>
          <w:rFonts w:ascii="Times New Roman" w:hAnsi="Times New Roman"/>
          <w:sz w:val="24"/>
          <w:szCs w:val="24"/>
        </w:rPr>
        <w:t xml:space="preserve">H NMR spectrum of </w:t>
      </w:r>
      <w:r w:rsidRPr="00345ADA">
        <w:rPr>
          <w:rStyle w:val="fontstyle01"/>
          <w:rFonts w:ascii="Times New Roman" w:hAnsi="Times New Roman"/>
        </w:rPr>
        <w:t>PBABDF-B</w:t>
      </w:r>
      <w:r>
        <w:rPr>
          <w:rStyle w:val="fontstyle01"/>
          <w:rFonts w:ascii="Times New Roman" w:hAnsi="Times New Roman"/>
        </w:rPr>
        <w:t>DT</w:t>
      </w:r>
      <w:r w:rsidRPr="00345ADA">
        <w:rPr>
          <w:rStyle w:val="fontstyle01"/>
          <w:rFonts w:ascii="Times New Roman" w:hAnsi="Times New Roman"/>
        </w:rPr>
        <w:t xml:space="preserve">T </w:t>
      </w:r>
      <w:r w:rsidRPr="00345ADA">
        <w:rPr>
          <w:rStyle w:val="fontstyle21"/>
          <w:rFonts w:ascii="Times New Roman" w:hAnsi="Times New Roman"/>
          <w:sz w:val="24"/>
          <w:szCs w:val="24"/>
        </w:rPr>
        <w:t>in CDCl</w:t>
      </w:r>
      <w:r w:rsidRPr="00345ADA">
        <w:rPr>
          <w:rStyle w:val="fontstyle21"/>
          <w:rFonts w:ascii="Times New Roman" w:hAnsi="Times New Roman"/>
          <w:sz w:val="24"/>
          <w:szCs w:val="24"/>
          <w:vertAlign w:val="subscript"/>
        </w:rPr>
        <w:t>3</w:t>
      </w:r>
      <w:r w:rsidRPr="00345ADA">
        <w:rPr>
          <w:rStyle w:val="fontstyle21"/>
          <w:rFonts w:ascii="Times New Roman" w:hAnsi="Times New Roman"/>
          <w:sz w:val="24"/>
          <w:szCs w:val="24"/>
        </w:rPr>
        <w:t>.</w:t>
      </w:r>
    </w:p>
    <w:p w:rsidR="00896D3C" w:rsidRDefault="00896D3C" w:rsidP="00990399">
      <w:pPr>
        <w:rPr>
          <w:rFonts w:eastAsiaTheme="minorEastAsia"/>
          <w:b/>
          <w:lang w:eastAsia="zh-CN"/>
        </w:rPr>
      </w:pPr>
      <w:r>
        <w:rPr>
          <w:rFonts w:eastAsiaTheme="minorEastAsia" w:hint="eastAsia"/>
          <w:b/>
          <w:noProof/>
          <w:lang w:eastAsia="zh-CN"/>
        </w:rPr>
        <w:lastRenderedPageBreak/>
        <w:drawing>
          <wp:inline distT="0" distB="0" distL="0" distR="0">
            <wp:extent cx="5271770" cy="36988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D3C" w:rsidRPr="00345ADA" w:rsidRDefault="00896D3C" w:rsidP="00896D3C">
      <w:pPr>
        <w:spacing w:line="480" w:lineRule="auto"/>
        <w:jc w:val="center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345ADA">
        <w:rPr>
          <w:rStyle w:val="fontstyle01"/>
          <w:rFonts w:ascii="Times New Roman" w:hAnsi="Times New Roman"/>
          <w:b w:val="0"/>
        </w:rPr>
        <w:t>Figure S</w:t>
      </w:r>
      <w:r>
        <w:rPr>
          <w:rStyle w:val="fontstyle01"/>
          <w:rFonts w:ascii="Times New Roman" w:hAnsi="Times New Roman"/>
          <w:b w:val="0"/>
        </w:rPr>
        <w:t>7</w:t>
      </w:r>
      <w:r w:rsidRPr="00345ADA">
        <w:rPr>
          <w:rStyle w:val="fontstyle01"/>
          <w:rFonts w:ascii="Times New Roman" w:hAnsi="Times New Roman"/>
          <w:b w:val="0"/>
        </w:rPr>
        <w:t xml:space="preserve">. </w:t>
      </w:r>
      <w:r w:rsidRPr="00345ADA">
        <w:rPr>
          <w:rStyle w:val="fontstyle21"/>
          <w:rFonts w:ascii="Times New Roman" w:hAnsi="Times New Roman"/>
          <w:sz w:val="24"/>
          <w:szCs w:val="24"/>
          <w:vertAlign w:val="superscript"/>
        </w:rPr>
        <w:t>1</w:t>
      </w:r>
      <w:r w:rsidRPr="00345ADA">
        <w:rPr>
          <w:rStyle w:val="fontstyle21"/>
          <w:rFonts w:ascii="Times New Roman" w:hAnsi="Times New Roman"/>
          <w:sz w:val="24"/>
          <w:szCs w:val="24"/>
        </w:rPr>
        <w:t xml:space="preserve">H NMR spectrum of </w:t>
      </w:r>
      <w:r w:rsidRPr="00345ADA">
        <w:rPr>
          <w:rStyle w:val="fontstyle01"/>
          <w:rFonts w:ascii="Times New Roman" w:hAnsi="Times New Roman"/>
        </w:rPr>
        <w:t>PBABDF-</w:t>
      </w:r>
      <w:r>
        <w:rPr>
          <w:rStyle w:val="fontstyle01"/>
          <w:rFonts w:ascii="Times New Roman" w:hAnsi="Times New Roman"/>
        </w:rPr>
        <w:t>TV</w:t>
      </w:r>
      <w:r w:rsidRPr="00345ADA">
        <w:rPr>
          <w:rStyle w:val="fontstyle01"/>
          <w:rFonts w:ascii="Times New Roman" w:hAnsi="Times New Roman"/>
        </w:rPr>
        <w:t xml:space="preserve">T </w:t>
      </w:r>
      <w:r w:rsidRPr="00345ADA">
        <w:rPr>
          <w:rStyle w:val="fontstyle21"/>
          <w:rFonts w:ascii="Times New Roman" w:hAnsi="Times New Roman"/>
          <w:sz w:val="24"/>
          <w:szCs w:val="24"/>
        </w:rPr>
        <w:t>in CDCl</w:t>
      </w:r>
      <w:r w:rsidRPr="00345ADA">
        <w:rPr>
          <w:rStyle w:val="fontstyle21"/>
          <w:rFonts w:ascii="Times New Roman" w:hAnsi="Times New Roman"/>
          <w:sz w:val="24"/>
          <w:szCs w:val="24"/>
          <w:vertAlign w:val="subscript"/>
        </w:rPr>
        <w:t>3</w:t>
      </w:r>
      <w:r w:rsidRPr="00345ADA">
        <w:rPr>
          <w:rStyle w:val="fontstyle21"/>
          <w:rFonts w:ascii="Times New Roman" w:hAnsi="Times New Roman"/>
          <w:sz w:val="24"/>
          <w:szCs w:val="24"/>
        </w:rPr>
        <w:t>.</w:t>
      </w:r>
    </w:p>
    <w:p w:rsidR="00896D3C" w:rsidRPr="00896D3C" w:rsidRDefault="00896D3C" w:rsidP="00990399">
      <w:pPr>
        <w:rPr>
          <w:rFonts w:eastAsiaTheme="minorEastAsia"/>
          <w:b/>
          <w:lang w:eastAsia="zh-CN"/>
        </w:rPr>
      </w:pPr>
    </w:p>
    <w:sectPr w:rsidR="00896D3C" w:rsidRPr="00896D3C" w:rsidSect="00E63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F1" w:rsidRDefault="00417CF1" w:rsidP="00603932">
      <w:r>
        <w:separator/>
      </w:r>
    </w:p>
  </w:endnote>
  <w:endnote w:type="continuationSeparator" w:id="0">
    <w:p w:rsidR="00417CF1" w:rsidRDefault="00417CF1" w:rsidP="0060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F1" w:rsidRDefault="00417CF1" w:rsidP="00603932">
      <w:r>
        <w:separator/>
      </w:r>
    </w:p>
  </w:footnote>
  <w:footnote w:type="continuationSeparator" w:id="0">
    <w:p w:rsidR="00417CF1" w:rsidRDefault="00417CF1" w:rsidP="0060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yes and pigments&lt;/Style&gt;&lt;LeftDelim&gt;{&lt;/LeftDelim&gt;&lt;RightDelim&gt;}&lt;/RightDelim&gt;&lt;FontName&gt;TimesNew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speze0flrp2eae5vxoxd5f7zv0tfzexw5aa&quot;&gt;My EndNote Library&lt;record-ids&gt;&lt;item&gt;64&lt;/item&gt;&lt;item&gt;71&lt;/item&gt;&lt;item&gt;72&lt;/item&gt;&lt;/record-ids&gt;&lt;/item&gt;&lt;/Libraries&gt;"/>
  </w:docVars>
  <w:rsids>
    <w:rsidRoot w:val="00CB64A6"/>
    <w:rsid w:val="0001057F"/>
    <w:rsid w:val="000322C5"/>
    <w:rsid w:val="00067C80"/>
    <w:rsid w:val="000A00C0"/>
    <w:rsid w:val="000A4D41"/>
    <w:rsid w:val="000D0040"/>
    <w:rsid w:val="000F0000"/>
    <w:rsid w:val="000F397C"/>
    <w:rsid w:val="00100272"/>
    <w:rsid w:val="00114AED"/>
    <w:rsid w:val="00121B08"/>
    <w:rsid w:val="001515D6"/>
    <w:rsid w:val="00193606"/>
    <w:rsid w:val="001C6BD8"/>
    <w:rsid w:val="001D2E17"/>
    <w:rsid w:val="002077D8"/>
    <w:rsid w:val="00212543"/>
    <w:rsid w:val="00214613"/>
    <w:rsid w:val="00232EAD"/>
    <w:rsid w:val="0025274D"/>
    <w:rsid w:val="002801D4"/>
    <w:rsid w:val="002E104D"/>
    <w:rsid w:val="002E10A0"/>
    <w:rsid w:val="00326A0A"/>
    <w:rsid w:val="00327A5F"/>
    <w:rsid w:val="00341CAE"/>
    <w:rsid w:val="00345ADA"/>
    <w:rsid w:val="00352440"/>
    <w:rsid w:val="00372265"/>
    <w:rsid w:val="00380F09"/>
    <w:rsid w:val="00383913"/>
    <w:rsid w:val="00384FDA"/>
    <w:rsid w:val="003A22E6"/>
    <w:rsid w:val="003A5E82"/>
    <w:rsid w:val="003F251E"/>
    <w:rsid w:val="003F5411"/>
    <w:rsid w:val="00415DFB"/>
    <w:rsid w:val="00417CF1"/>
    <w:rsid w:val="004358E7"/>
    <w:rsid w:val="00474B64"/>
    <w:rsid w:val="004A34B0"/>
    <w:rsid w:val="004B0CED"/>
    <w:rsid w:val="004F486A"/>
    <w:rsid w:val="005106BE"/>
    <w:rsid w:val="00543C78"/>
    <w:rsid w:val="005548F4"/>
    <w:rsid w:val="005802AC"/>
    <w:rsid w:val="0058034F"/>
    <w:rsid w:val="005F314C"/>
    <w:rsid w:val="005F4AC3"/>
    <w:rsid w:val="00603932"/>
    <w:rsid w:val="00607797"/>
    <w:rsid w:val="00623388"/>
    <w:rsid w:val="00662ADD"/>
    <w:rsid w:val="00690949"/>
    <w:rsid w:val="006E4EC2"/>
    <w:rsid w:val="00735FF9"/>
    <w:rsid w:val="007411FE"/>
    <w:rsid w:val="007552D0"/>
    <w:rsid w:val="00770ED9"/>
    <w:rsid w:val="00783467"/>
    <w:rsid w:val="007845A6"/>
    <w:rsid w:val="00794699"/>
    <w:rsid w:val="007A0C9F"/>
    <w:rsid w:val="007A5221"/>
    <w:rsid w:val="007B4544"/>
    <w:rsid w:val="007D21B6"/>
    <w:rsid w:val="007D5232"/>
    <w:rsid w:val="007E2D30"/>
    <w:rsid w:val="00802BF6"/>
    <w:rsid w:val="00851154"/>
    <w:rsid w:val="00885D88"/>
    <w:rsid w:val="00896294"/>
    <w:rsid w:val="00896D3C"/>
    <w:rsid w:val="008A2910"/>
    <w:rsid w:val="008C14D5"/>
    <w:rsid w:val="008D49C0"/>
    <w:rsid w:val="008F3994"/>
    <w:rsid w:val="00926FBA"/>
    <w:rsid w:val="00944D95"/>
    <w:rsid w:val="00965C9B"/>
    <w:rsid w:val="00970CF0"/>
    <w:rsid w:val="00977AE8"/>
    <w:rsid w:val="00990399"/>
    <w:rsid w:val="009B00AB"/>
    <w:rsid w:val="009D35FF"/>
    <w:rsid w:val="009F08B7"/>
    <w:rsid w:val="00A0333E"/>
    <w:rsid w:val="00A077DA"/>
    <w:rsid w:val="00A23223"/>
    <w:rsid w:val="00A246E7"/>
    <w:rsid w:val="00A3433E"/>
    <w:rsid w:val="00A37E8C"/>
    <w:rsid w:val="00A40331"/>
    <w:rsid w:val="00A4571B"/>
    <w:rsid w:val="00A626A4"/>
    <w:rsid w:val="00A6697F"/>
    <w:rsid w:val="00AB710D"/>
    <w:rsid w:val="00AD20BA"/>
    <w:rsid w:val="00AF3D0F"/>
    <w:rsid w:val="00AF4A12"/>
    <w:rsid w:val="00AF5EB4"/>
    <w:rsid w:val="00B11A61"/>
    <w:rsid w:val="00B6147B"/>
    <w:rsid w:val="00B77B21"/>
    <w:rsid w:val="00B83128"/>
    <w:rsid w:val="00B952F7"/>
    <w:rsid w:val="00BC473E"/>
    <w:rsid w:val="00C10030"/>
    <w:rsid w:val="00C27EE4"/>
    <w:rsid w:val="00C60F73"/>
    <w:rsid w:val="00C71F3F"/>
    <w:rsid w:val="00C87E9A"/>
    <w:rsid w:val="00CA0908"/>
    <w:rsid w:val="00CA5886"/>
    <w:rsid w:val="00CA5E51"/>
    <w:rsid w:val="00CB64A6"/>
    <w:rsid w:val="00CB67CE"/>
    <w:rsid w:val="00CE541F"/>
    <w:rsid w:val="00CE7046"/>
    <w:rsid w:val="00CE7675"/>
    <w:rsid w:val="00D118FF"/>
    <w:rsid w:val="00D22964"/>
    <w:rsid w:val="00D47D00"/>
    <w:rsid w:val="00D60CEA"/>
    <w:rsid w:val="00D71093"/>
    <w:rsid w:val="00DA22E0"/>
    <w:rsid w:val="00DB2358"/>
    <w:rsid w:val="00DC0D55"/>
    <w:rsid w:val="00DC78DD"/>
    <w:rsid w:val="00E02269"/>
    <w:rsid w:val="00E130AA"/>
    <w:rsid w:val="00E45C9F"/>
    <w:rsid w:val="00E617C1"/>
    <w:rsid w:val="00E63D0D"/>
    <w:rsid w:val="00EA37E8"/>
    <w:rsid w:val="00EA44C6"/>
    <w:rsid w:val="00EC61C4"/>
    <w:rsid w:val="00EF2B3E"/>
    <w:rsid w:val="00F71E08"/>
    <w:rsid w:val="00F739D0"/>
    <w:rsid w:val="00FA1782"/>
    <w:rsid w:val="00FA1FF9"/>
    <w:rsid w:val="00FB6E27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7437E"/>
  <w15:docId w15:val="{2DD9EFFB-DB5F-4B29-BAD0-7BB5326C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8B7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057F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1057F"/>
    <w:rPr>
      <w:rFonts w:ascii="TimesNewRoman" w:hAnsi="TimesNewRoman" w:hint="default"/>
      <w:b w:val="0"/>
      <w:bCs w:val="0"/>
      <w:i w:val="0"/>
      <w:iCs w:val="0"/>
      <w:color w:val="00000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03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3932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  <w:style w:type="paragraph" w:styleId="a5">
    <w:name w:val="footer"/>
    <w:basedOn w:val="a"/>
    <w:link w:val="a6"/>
    <w:uiPriority w:val="99"/>
    <w:unhideWhenUsed/>
    <w:rsid w:val="0060393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3932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  <w:style w:type="character" w:customStyle="1" w:styleId="fontstyle31">
    <w:name w:val="fontstyle31"/>
    <w:basedOn w:val="a0"/>
    <w:rsid w:val="006E4EC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EA37E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548F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548F4"/>
    <w:rPr>
      <w:rFonts w:ascii="Times New Roman" w:eastAsia="MS Mincho" w:hAnsi="Times New Roman" w:cs="Times New Roman"/>
      <w:kern w:val="0"/>
      <w:sz w:val="18"/>
      <w:szCs w:val="18"/>
      <w:lang w:val="de-DE" w:eastAsia="ja-JP"/>
    </w:rPr>
  </w:style>
  <w:style w:type="paragraph" w:customStyle="1" w:styleId="EndNoteBibliographyTitle">
    <w:name w:val="EndNote Bibliography Title"/>
    <w:basedOn w:val="a"/>
    <w:link w:val="EndNoteBibliographyTitle0"/>
    <w:rsid w:val="00CE7675"/>
    <w:pPr>
      <w:jc w:val="center"/>
    </w:pPr>
    <w:rPr>
      <w:rFonts w:ascii="TimesNewRoman" w:hAnsi="TimesNewRoman"/>
      <w:noProof/>
      <w:sz w:val="16"/>
    </w:rPr>
  </w:style>
  <w:style w:type="character" w:customStyle="1" w:styleId="EndNoteBibliographyTitle0">
    <w:name w:val="EndNote Bibliography Title 字符"/>
    <w:basedOn w:val="a0"/>
    <w:link w:val="EndNoteBibliographyTitle"/>
    <w:rsid w:val="00CE7675"/>
    <w:rPr>
      <w:rFonts w:ascii="TimesNewRoman" w:eastAsia="MS Mincho" w:hAnsi="TimesNewRoman" w:cs="Times New Roman"/>
      <w:noProof/>
      <w:kern w:val="0"/>
      <w:sz w:val="16"/>
      <w:szCs w:val="24"/>
      <w:lang w:val="de-DE" w:eastAsia="ja-JP"/>
    </w:rPr>
  </w:style>
  <w:style w:type="paragraph" w:customStyle="1" w:styleId="EndNoteBibliography">
    <w:name w:val="EndNote Bibliography"/>
    <w:basedOn w:val="a"/>
    <w:link w:val="EndNoteBibliography0"/>
    <w:rsid w:val="00CE7675"/>
    <w:pPr>
      <w:jc w:val="center"/>
    </w:pPr>
    <w:rPr>
      <w:rFonts w:ascii="TimesNewRoman" w:hAnsi="TimesNewRoman"/>
      <w:noProof/>
      <w:sz w:val="16"/>
    </w:rPr>
  </w:style>
  <w:style w:type="character" w:customStyle="1" w:styleId="EndNoteBibliography0">
    <w:name w:val="EndNote Bibliography 字符"/>
    <w:basedOn w:val="a0"/>
    <w:link w:val="EndNoteBibliography"/>
    <w:rsid w:val="00CE7675"/>
    <w:rPr>
      <w:rFonts w:ascii="TimesNewRoman" w:eastAsia="MS Mincho" w:hAnsi="TimesNewRoman" w:cs="Times New Roman"/>
      <w:noProof/>
      <w:kern w:val="0"/>
      <w:sz w:val="16"/>
      <w:szCs w:val="24"/>
      <w:lang w:val="de-DE" w:eastAsia="ja-JP"/>
    </w:rPr>
  </w:style>
  <w:style w:type="paragraph" w:customStyle="1" w:styleId="SupplementaryMaterial">
    <w:name w:val="Supplementary Material"/>
    <w:basedOn w:val="aa"/>
    <w:next w:val="aa"/>
    <w:qFormat/>
    <w:rsid w:val="00CE7046"/>
    <w:pPr>
      <w:suppressLineNumbers/>
      <w:spacing w:after="120"/>
      <w:outlineLvl w:val="9"/>
    </w:pPr>
    <w:rPr>
      <w:rFonts w:ascii="Times New Roman" w:eastAsiaTheme="minorEastAsia" w:hAnsi="Times New Roman" w:cs="Times New Roman"/>
      <w:bCs w:val="0"/>
      <w:i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CE70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CE7046"/>
    <w:rPr>
      <w:rFonts w:asciiTheme="majorHAnsi" w:eastAsiaTheme="majorEastAsia" w:hAnsiTheme="majorHAnsi" w:cstheme="majorBidi"/>
      <w:b/>
      <w:bCs/>
      <w:kern w:val="0"/>
      <w:sz w:val="32"/>
      <w:szCs w:val="32"/>
      <w:lang w:val="de-DE" w:eastAsia="ja-JP"/>
    </w:rPr>
  </w:style>
  <w:style w:type="character" w:styleId="ac">
    <w:name w:val="Hyperlink"/>
    <w:basedOn w:val="a0"/>
    <w:uiPriority w:val="99"/>
    <w:unhideWhenUsed/>
    <w:rsid w:val="001D2E17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802BF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02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tiff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masuxiang</dc:creator>
  <cp:keywords/>
  <dc:description/>
  <cp:lastModifiedBy>masuxiang</cp:lastModifiedBy>
  <cp:revision>76</cp:revision>
  <dcterms:created xsi:type="dcterms:W3CDTF">2018-07-23T07:31:00Z</dcterms:created>
  <dcterms:modified xsi:type="dcterms:W3CDTF">2019-04-20T13:49:00Z</dcterms:modified>
</cp:coreProperties>
</file>