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169AF99B" w:rsidR="00654E8F" w:rsidRDefault="00654E8F" w:rsidP="0001436A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5266707F" w14:textId="77777777" w:rsidR="00AA1532" w:rsidRPr="00AA1532" w:rsidRDefault="00AA1532" w:rsidP="00AA1532">
      <w:pPr>
        <w:pStyle w:val="Title"/>
      </w:pPr>
    </w:p>
    <w:p w14:paraId="3BD5A427" w14:textId="36F00EC1" w:rsidR="00EA3D3C" w:rsidRPr="00994A3D" w:rsidRDefault="00AA1532" w:rsidP="0001436A">
      <w:pPr>
        <w:pStyle w:val="Heading1"/>
      </w:pPr>
      <w:r>
        <w:t xml:space="preserve">Early Caregiving Experiences – Methods </w:t>
      </w:r>
    </w:p>
    <w:p w14:paraId="7BA69791" w14:textId="437BD45D" w:rsidR="00AA1532" w:rsidRDefault="00AA1532" w:rsidP="00AA1532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Participants completed the Conflict Tactics Scale – Parent Child (CTS, Straus et al., 1998), which assesses experienced maltreatment during the participants’ childhood. We used</w:t>
      </w:r>
      <w:r w:rsidRPr="00DF2859">
        <w:rPr>
          <w:rFonts w:cs="Times New Roman"/>
          <w:szCs w:val="24"/>
        </w:rPr>
        <w:t xml:space="preserve"> items from the subscales Psychological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aggression, Minor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physical assault, Severe physical assault</w:t>
      </w:r>
      <w:r>
        <w:rPr>
          <w:rFonts w:cs="Times New Roman"/>
          <w:szCs w:val="24"/>
        </w:rPr>
        <w:t>, and Neglect</w:t>
      </w:r>
      <w:r w:rsidRPr="00DF2859">
        <w:rPr>
          <w:rFonts w:cs="Times New Roman"/>
          <w:szCs w:val="24"/>
        </w:rPr>
        <w:t>, resulting in a total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of 18 items. Items were answered on a 7-point scale (0 =‘never’,1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‘once’,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‘twice’,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‘3–5 times’,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‘6–10 times’,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‘11–20times’,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 xml:space="preserve">‘more than 20 times’). </w:t>
      </w:r>
      <w:r>
        <w:rPr>
          <w:rFonts w:cs="Times New Roman"/>
          <w:szCs w:val="24"/>
        </w:rPr>
        <w:t>Averaging s</w:t>
      </w:r>
      <w:r w:rsidRPr="00DF2859">
        <w:rPr>
          <w:rFonts w:cs="Times New Roman"/>
          <w:szCs w:val="24"/>
        </w:rPr>
        <w:t>cores on the minor and severe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 xml:space="preserve">physical assault scales </w:t>
      </w:r>
      <w:r>
        <w:rPr>
          <w:rFonts w:cs="Times New Roman"/>
          <w:szCs w:val="24"/>
        </w:rPr>
        <w:t>resulted in a</w:t>
      </w:r>
      <w:r w:rsidRPr="00DF2859">
        <w:rPr>
          <w:rFonts w:cs="Times New Roman"/>
          <w:szCs w:val="24"/>
        </w:rPr>
        <w:t xml:space="preserve"> Physical assault</w:t>
      </w:r>
      <w:r>
        <w:rPr>
          <w:rFonts w:cs="Times New Roman"/>
          <w:szCs w:val="24"/>
        </w:rPr>
        <w:t xml:space="preserve"> score, which combined with the scores on </w:t>
      </w:r>
      <w:r w:rsidRPr="00DF2859">
        <w:rPr>
          <w:rFonts w:cs="Times New Roman"/>
          <w:szCs w:val="24"/>
        </w:rPr>
        <w:t xml:space="preserve">Psychological aggression </w:t>
      </w:r>
      <w:r>
        <w:rPr>
          <w:rFonts w:cs="Times New Roman"/>
          <w:szCs w:val="24"/>
        </w:rPr>
        <w:t>formed an Abuse score</w:t>
      </w:r>
      <w:r w:rsidRPr="00DF2859">
        <w:rPr>
          <w:rFonts w:cs="Times New Roman"/>
          <w:szCs w:val="24"/>
        </w:rPr>
        <w:t>. An overall CTS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score was computed by averaging the Abuse and Neglect scales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(M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0.53,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SD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0.34), which was used for further analysis. One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outlier (Z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 xml:space="preserve">= 4.09) was </w:t>
      </w:r>
      <w:proofErr w:type="spellStart"/>
      <w:r w:rsidRPr="00DF2859">
        <w:rPr>
          <w:rFonts w:cs="Times New Roman"/>
          <w:szCs w:val="24"/>
        </w:rPr>
        <w:t>winsorized</w:t>
      </w:r>
      <w:proofErr w:type="spellEnd"/>
      <w:r w:rsidRPr="00DF2859">
        <w:rPr>
          <w:rFonts w:cs="Times New Roman"/>
          <w:szCs w:val="24"/>
        </w:rPr>
        <w:t xml:space="preserve"> to match the second highest score.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The CTS total score was positively correlated with the Abuse scale,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r</w:t>
      </w:r>
      <w:r w:rsidRPr="00DF2859">
        <w:rPr>
          <w:rFonts w:cs="Times New Roman"/>
          <w:szCs w:val="24"/>
        </w:rPr>
        <w:t>= 0.92,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&lt; .001, and with the Neglect scale,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r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0.53,</w:t>
      </w:r>
      <w:r w:rsidRPr="00BC34D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.006.</w:t>
      </w:r>
      <w:r>
        <w:rPr>
          <w:rFonts w:cs="Times New Roman"/>
          <w:szCs w:val="24"/>
        </w:rPr>
        <w:t xml:space="preserve"> Additionally, participants completed seven items from the Withdrawal of Relations subscale of the Children’s Report of Parental Behavior Inventory (CRPBI, </w:t>
      </w:r>
      <w:proofErr w:type="spellStart"/>
      <w:r w:rsidRPr="00DF2859">
        <w:rPr>
          <w:rFonts w:cs="Times New Roman"/>
          <w:szCs w:val="24"/>
        </w:rPr>
        <w:t>Beyers</w:t>
      </w:r>
      <w:proofErr w:type="spellEnd"/>
      <w:r w:rsidRPr="00DF2859">
        <w:rPr>
          <w:rFonts w:cs="Times New Roman"/>
          <w:szCs w:val="24"/>
        </w:rPr>
        <w:t xml:space="preserve"> and </w:t>
      </w:r>
      <w:proofErr w:type="spellStart"/>
      <w:r w:rsidRPr="00DF2859">
        <w:rPr>
          <w:rFonts w:cs="Times New Roman"/>
          <w:szCs w:val="24"/>
        </w:rPr>
        <w:t>Goossens</w:t>
      </w:r>
      <w:proofErr w:type="spellEnd"/>
      <w:r w:rsidRPr="00DF2859">
        <w:rPr>
          <w:rFonts w:cs="Times New Roman"/>
          <w:szCs w:val="24"/>
        </w:rPr>
        <w:t xml:space="preserve">, 2003; </w:t>
      </w:r>
      <w:proofErr w:type="spellStart"/>
      <w:r w:rsidRPr="00DF2859">
        <w:rPr>
          <w:rFonts w:cs="Times New Roman"/>
          <w:szCs w:val="24"/>
        </w:rPr>
        <w:t>Schludermann</w:t>
      </w:r>
      <w:proofErr w:type="spellEnd"/>
      <w:r w:rsidRPr="00DF2859">
        <w:rPr>
          <w:rFonts w:cs="Times New Roman"/>
          <w:szCs w:val="24"/>
        </w:rPr>
        <w:t xml:space="preserve"> and </w:t>
      </w:r>
      <w:proofErr w:type="spellStart"/>
      <w:r w:rsidRPr="00DF2859">
        <w:rPr>
          <w:rFonts w:cs="Times New Roman"/>
          <w:szCs w:val="24"/>
        </w:rPr>
        <w:t>Schludermann</w:t>
      </w:r>
      <w:proofErr w:type="spellEnd"/>
      <w:r w:rsidRPr="00DF2859">
        <w:rPr>
          <w:rFonts w:cs="Times New Roman"/>
          <w:szCs w:val="24"/>
        </w:rPr>
        <w:t>, 1983</w:t>
      </w:r>
      <w:r>
        <w:rPr>
          <w:rFonts w:cs="Times New Roman"/>
          <w:szCs w:val="24"/>
        </w:rPr>
        <w:t xml:space="preserve">) </w:t>
      </w:r>
      <w:r w:rsidRPr="00BC34D1">
        <w:rPr>
          <w:rFonts w:cs="Times New Roman"/>
          <w:szCs w:val="24"/>
        </w:rPr>
        <w:t>of which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szCs w:val="24"/>
        </w:rPr>
        <w:t>two items were slightly adapted for a smoother translation</w:t>
      </w:r>
      <w:r>
        <w:rPr>
          <w:rFonts w:cs="Times New Roman"/>
          <w:szCs w:val="24"/>
        </w:rPr>
        <w:t>. T</w:t>
      </w:r>
      <w:r w:rsidRPr="00DF2859">
        <w:rPr>
          <w:rFonts w:cs="Times New Roman"/>
          <w:szCs w:val="24"/>
        </w:rPr>
        <w:t>o obtain a more comprehensive measurement of parental love-withdrawal, the questionnaire was complemented with four items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from the Parental Discipline Questionnaire (PDQ,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Patrick and Gibbs,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2007</w:t>
      </w:r>
      <w:r>
        <w:rPr>
          <w:rFonts w:cs="Times New Roman"/>
          <w:szCs w:val="24"/>
        </w:rPr>
        <w:t>, see H</w:t>
      </w:r>
      <w:r w:rsidRPr="00DF2859">
        <w:rPr>
          <w:rFonts w:cs="Times New Roman"/>
          <w:szCs w:val="24"/>
        </w:rPr>
        <w:t>uffmeijer et al., 2011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for the resulting scale</w:t>
      </w:r>
      <w:r>
        <w:rPr>
          <w:rFonts w:cs="Times New Roman"/>
          <w:szCs w:val="24"/>
        </w:rPr>
        <w:t>)</w:t>
      </w:r>
      <w:r w:rsidRPr="00DF2859">
        <w:rPr>
          <w:rFonts w:cs="Times New Roman"/>
          <w:szCs w:val="24"/>
        </w:rPr>
        <w:t>. Participants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rated how well each of the statements described their mother's or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father's behavior on a 5-point scale ranging from 1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(not at all) to 5 (very well). A parental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love-withdrawal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 xml:space="preserve">score was computed by averaging the </w:t>
      </w:r>
      <w:r>
        <w:rPr>
          <w:rFonts w:cs="Times New Roman"/>
          <w:szCs w:val="24"/>
        </w:rPr>
        <w:t xml:space="preserve">11 </w:t>
      </w:r>
      <w:r w:rsidRPr="00DF2859">
        <w:rPr>
          <w:rFonts w:cs="Times New Roman"/>
          <w:szCs w:val="24"/>
        </w:rPr>
        <w:t>maternal and</w:t>
      </w:r>
      <w:r>
        <w:rPr>
          <w:rFonts w:cs="Times New Roman"/>
          <w:szCs w:val="24"/>
        </w:rPr>
        <w:t xml:space="preserve"> 11 </w:t>
      </w:r>
      <w:r w:rsidRPr="00DF2859">
        <w:rPr>
          <w:rFonts w:cs="Times New Roman"/>
          <w:szCs w:val="24"/>
        </w:rPr>
        <w:t>paternal score</w:t>
      </w:r>
      <w:r>
        <w:rPr>
          <w:rFonts w:cs="Times New Roman"/>
          <w:szCs w:val="24"/>
        </w:rPr>
        <w:t>s</w:t>
      </w:r>
      <w:r w:rsidRPr="00DF2859">
        <w:rPr>
          <w:rFonts w:cs="Times New Roman"/>
          <w:szCs w:val="24"/>
        </w:rPr>
        <w:t xml:space="preserve"> (M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1.72,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SD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0.47). The maternal and paternal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 xml:space="preserve">scores </w:t>
      </w:r>
      <w:r>
        <w:rPr>
          <w:rFonts w:cs="Times New Roman"/>
          <w:szCs w:val="24"/>
        </w:rPr>
        <w:t xml:space="preserve">correlated with the total score </w:t>
      </w:r>
      <w:r>
        <w:rPr>
          <w:rFonts w:cs="Times New Roman"/>
          <w:i/>
          <w:szCs w:val="24"/>
        </w:rPr>
        <w:t>r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0.74,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.001, and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r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= 0.67,</w:t>
      </w:r>
      <w:r>
        <w:rPr>
          <w:rFonts w:cs="Times New Roman"/>
          <w:szCs w:val="24"/>
        </w:rPr>
        <w:t xml:space="preserve"> </w:t>
      </w:r>
      <w:r w:rsidRPr="00BC34D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</w:t>
      </w:r>
      <w:r w:rsidRPr="00DF2859">
        <w:rPr>
          <w:rFonts w:cs="Times New Roman"/>
          <w:szCs w:val="24"/>
        </w:rPr>
        <w:t>&lt; .001, respectively</w:t>
      </w:r>
      <w:r>
        <w:rPr>
          <w:rFonts w:cs="Times New Roman"/>
          <w:szCs w:val="24"/>
        </w:rPr>
        <w:t xml:space="preserve">.  See Thijssen et al., 2018 for use of the same questionnaires. </w:t>
      </w:r>
    </w:p>
    <w:p w14:paraId="0E0730D8" w14:textId="54B1C914" w:rsidR="00994A3D" w:rsidRPr="00994A3D" w:rsidRDefault="00994A3D" w:rsidP="00994A3D">
      <w:pPr>
        <w:jc w:val="both"/>
        <w:rPr>
          <w:rFonts w:cs="Times New Roman"/>
          <w:szCs w:val="24"/>
        </w:rPr>
      </w:pPr>
    </w:p>
    <w:p w14:paraId="1B36CB96" w14:textId="068073C6" w:rsidR="00622B5F" w:rsidRPr="00994A3D" w:rsidRDefault="00622B5F" w:rsidP="00622B5F">
      <w:pPr>
        <w:pStyle w:val="Heading1"/>
      </w:pPr>
      <w:r>
        <w:t xml:space="preserve">Early Caregiving Experiences – Results </w:t>
      </w:r>
    </w:p>
    <w:p w14:paraId="6A15DD4D" w14:textId="211FF1EC" w:rsidR="00994A3D" w:rsidRPr="002B4A57" w:rsidRDefault="00622B5F" w:rsidP="002B4A57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Correlations between mean handgrip force ratio’s and</w:t>
      </w:r>
      <w:r w:rsidR="00AA1532">
        <w:rPr>
          <w:rFonts w:cs="Times New Roman"/>
          <w:szCs w:val="24"/>
        </w:rPr>
        <w:t xml:space="preserve"> both CTS and parental love-withdrawal </w:t>
      </w:r>
      <w:r>
        <w:rPr>
          <w:rFonts w:cs="Times New Roman"/>
          <w:szCs w:val="24"/>
        </w:rPr>
        <w:t>were found to be low</w:t>
      </w:r>
      <w:r w:rsidR="00AA1532">
        <w:rPr>
          <w:rFonts w:cs="Times New Roman"/>
          <w:szCs w:val="24"/>
        </w:rPr>
        <w:t xml:space="preserve"> (</w:t>
      </w:r>
      <w:r w:rsidR="00AA1532" w:rsidRPr="00310F68">
        <w:rPr>
          <w:rFonts w:cs="Times New Roman"/>
          <w:i/>
          <w:szCs w:val="24"/>
        </w:rPr>
        <w:t>r</w:t>
      </w:r>
      <w:r w:rsidR="00AA1532">
        <w:rPr>
          <w:rFonts w:cs="Times New Roman"/>
          <w:szCs w:val="24"/>
        </w:rPr>
        <w:t xml:space="preserve"> ranging from .01 to .28</w:t>
      </w:r>
      <w:r>
        <w:rPr>
          <w:rFonts w:cs="Times New Roman"/>
          <w:szCs w:val="24"/>
        </w:rPr>
        <w:t>), see Supplementary Table 1.</w:t>
      </w:r>
    </w:p>
    <w:p w14:paraId="5EAA383F" w14:textId="77777777" w:rsidR="00622B5F" w:rsidRDefault="00994A3D" w:rsidP="0001436A">
      <w:pPr>
        <w:pStyle w:val="Heading2"/>
      </w:pPr>
      <w:r w:rsidRPr="0001436A">
        <w:t>Supplementary</w:t>
      </w:r>
      <w:r w:rsidRPr="001549D3">
        <w:t xml:space="preserve"> </w:t>
      </w:r>
      <w:r w:rsidR="00AA1532">
        <w:t>Table</w:t>
      </w:r>
    </w:p>
    <w:p w14:paraId="63D7C2B0" w14:textId="7F8D9870" w:rsidR="00994A3D" w:rsidRPr="00622B5F" w:rsidRDefault="00622B5F" w:rsidP="00622B5F">
      <w:pPr>
        <w:pStyle w:val="Heading2"/>
        <w:numPr>
          <w:ilvl w:val="0"/>
          <w:numId w:val="0"/>
        </w:numPr>
        <w:rPr>
          <w:b w:val="0"/>
        </w:rPr>
      </w:pPr>
      <w:r>
        <w:rPr>
          <w:b w:val="0"/>
        </w:rPr>
        <w:t>Supplementary T</w:t>
      </w:r>
      <w:r w:rsidRPr="00622B5F">
        <w:rPr>
          <w:b w:val="0"/>
        </w:rPr>
        <w:t>able 1. Correlation matrix</w:t>
      </w:r>
      <w:r>
        <w:rPr>
          <w:b w:val="0"/>
        </w:rPr>
        <w:t xml:space="preserve"> for mean handgrip force ratio’s and early caregiving experiences. </w:t>
      </w:r>
      <w:r w:rsidR="00AA1532" w:rsidRPr="00622B5F">
        <w:rPr>
          <w:b w:val="0"/>
        </w:rPr>
        <w:br/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tbl>
      <w:tblPr>
        <w:tblStyle w:val="TableGrid"/>
        <w:tblpPr w:leftFromText="141" w:rightFromText="141" w:horzAnchor="margin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18119B" w:rsidRPr="0018119B" w14:paraId="1CA5C110" w14:textId="50CDE930" w:rsidTr="00622B5F">
        <w:tc>
          <w:tcPr>
            <w:tcW w:w="2211" w:type="dxa"/>
            <w:tcBorders>
              <w:top w:val="single" w:sz="18" w:space="0" w:color="auto"/>
              <w:bottom w:val="single" w:sz="4" w:space="0" w:color="auto"/>
            </w:tcBorders>
          </w:tcPr>
          <w:p w14:paraId="7B79E7F0" w14:textId="77777777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4" w:space="0" w:color="auto"/>
            </w:tcBorders>
          </w:tcPr>
          <w:p w14:paraId="0EC3D9B4" w14:textId="2010959B" w:rsidR="00E54C42" w:rsidRPr="0018119B" w:rsidRDefault="00E54C42" w:rsidP="00DA109B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 xml:space="preserve">CRBI Love Withdrawal 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4" w:space="0" w:color="auto"/>
            </w:tcBorders>
          </w:tcPr>
          <w:p w14:paraId="0A837715" w14:textId="374828B6" w:rsidR="00E54C42" w:rsidRPr="0018119B" w:rsidRDefault="0018119B" w:rsidP="00DA109B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CTS</w:t>
            </w:r>
            <w:r>
              <w:rPr>
                <w:rFonts w:cs="Times New Roman"/>
                <w:szCs w:val="24"/>
              </w:rPr>
              <w:t xml:space="preserve"> Abuse and Neglect </w:t>
            </w:r>
          </w:p>
        </w:tc>
      </w:tr>
      <w:tr w:rsidR="0018119B" w:rsidRPr="0018119B" w14:paraId="4C2712A8" w14:textId="3A5052D8" w:rsidTr="00622B5F">
        <w:tc>
          <w:tcPr>
            <w:tcW w:w="2211" w:type="dxa"/>
            <w:tcBorders>
              <w:top w:val="single" w:sz="4" w:space="0" w:color="auto"/>
            </w:tcBorders>
          </w:tcPr>
          <w:p w14:paraId="1DEC49C6" w14:textId="1614A38E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Placebo</w:t>
            </w:r>
            <w:r w:rsidR="00E54C42" w:rsidRPr="0018119B">
              <w:rPr>
                <w:rFonts w:cs="Times New Roman"/>
                <w:szCs w:val="24"/>
              </w:rPr>
              <w:t xml:space="preserve"> – baseline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0CD6E4EF" w14:textId="602AEAD0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.072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2B195A8D" w14:textId="7FD52D30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.088</w:t>
            </w:r>
          </w:p>
        </w:tc>
      </w:tr>
      <w:tr w:rsidR="0018119B" w:rsidRPr="0018119B" w14:paraId="36787EFD" w14:textId="71AD422F" w:rsidTr="00622B5F">
        <w:tc>
          <w:tcPr>
            <w:tcW w:w="2211" w:type="dxa"/>
          </w:tcPr>
          <w:p w14:paraId="12038A94" w14:textId="56126F69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AVP – baseline</w:t>
            </w:r>
          </w:p>
        </w:tc>
        <w:tc>
          <w:tcPr>
            <w:tcW w:w="2211" w:type="dxa"/>
          </w:tcPr>
          <w:p w14:paraId="2CE8178C" w14:textId="5275A414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.176</w:t>
            </w:r>
          </w:p>
        </w:tc>
        <w:tc>
          <w:tcPr>
            <w:tcW w:w="2211" w:type="dxa"/>
          </w:tcPr>
          <w:p w14:paraId="5EDC3025" w14:textId="5E2A4B50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.040</w:t>
            </w:r>
          </w:p>
        </w:tc>
      </w:tr>
      <w:tr w:rsidR="0018119B" w:rsidRPr="0018119B" w14:paraId="6D258F22" w14:textId="5065ED56" w:rsidTr="00622B5F">
        <w:tc>
          <w:tcPr>
            <w:tcW w:w="2211" w:type="dxa"/>
          </w:tcPr>
          <w:p w14:paraId="47AC894D" w14:textId="7BA5FFA1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Placebo</w:t>
            </w:r>
            <w:r w:rsidR="00E54C42" w:rsidRPr="0018119B">
              <w:rPr>
                <w:rFonts w:cs="Times New Roman"/>
                <w:szCs w:val="24"/>
              </w:rPr>
              <w:t xml:space="preserve"> – own infant, control sound</w:t>
            </w:r>
          </w:p>
        </w:tc>
        <w:tc>
          <w:tcPr>
            <w:tcW w:w="2211" w:type="dxa"/>
          </w:tcPr>
          <w:p w14:paraId="411C1D33" w14:textId="53A93FCC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.004</w:t>
            </w:r>
          </w:p>
        </w:tc>
        <w:tc>
          <w:tcPr>
            <w:tcW w:w="2211" w:type="dxa"/>
          </w:tcPr>
          <w:p w14:paraId="6E98F947" w14:textId="29A8B72A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-.107</w:t>
            </w:r>
          </w:p>
        </w:tc>
      </w:tr>
      <w:tr w:rsidR="0018119B" w:rsidRPr="0018119B" w14:paraId="19B2AFF0" w14:textId="7ABF3B0B" w:rsidTr="00622B5F">
        <w:tc>
          <w:tcPr>
            <w:tcW w:w="2211" w:type="dxa"/>
          </w:tcPr>
          <w:p w14:paraId="54F0F11A" w14:textId="390AE982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AVP – own infant, control sound</w:t>
            </w:r>
          </w:p>
        </w:tc>
        <w:tc>
          <w:tcPr>
            <w:tcW w:w="2211" w:type="dxa"/>
          </w:tcPr>
          <w:p w14:paraId="3A5E660F" w14:textId="266FD77F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.119</w:t>
            </w:r>
          </w:p>
        </w:tc>
        <w:tc>
          <w:tcPr>
            <w:tcW w:w="2211" w:type="dxa"/>
          </w:tcPr>
          <w:p w14:paraId="527E31B4" w14:textId="2992C1F7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.017</w:t>
            </w:r>
          </w:p>
        </w:tc>
      </w:tr>
      <w:tr w:rsidR="0018119B" w:rsidRPr="0018119B" w14:paraId="11FD3AAB" w14:textId="30CD4B1E" w:rsidTr="00622B5F">
        <w:tc>
          <w:tcPr>
            <w:tcW w:w="2211" w:type="dxa"/>
          </w:tcPr>
          <w:p w14:paraId="771459C2" w14:textId="0A6A2DA4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Placebo</w:t>
            </w:r>
            <w:r w:rsidR="00E54C42" w:rsidRPr="0018119B">
              <w:rPr>
                <w:rFonts w:cs="Times New Roman"/>
                <w:szCs w:val="24"/>
              </w:rPr>
              <w:t xml:space="preserve"> – own infant, cry sound</w:t>
            </w:r>
          </w:p>
        </w:tc>
        <w:tc>
          <w:tcPr>
            <w:tcW w:w="2211" w:type="dxa"/>
          </w:tcPr>
          <w:p w14:paraId="62C463EE" w14:textId="139EFDE9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-.043</w:t>
            </w:r>
          </w:p>
        </w:tc>
        <w:tc>
          <w:tcPr>
            <w:tcW w:w="2211" w:type="dxa"/>
          </w:tcPr>
          <w:p w14:paraId="233A966D" w14:textId="11FAD810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-.127</w:t>
            </w:r>
          </w:p>
        </w:tc>
      </w:tr>
      <w:tr w:rsidR="0018119B" w:rsidRPr="0018119B" w14:paraId="60D86AFB" w14:textId="5A7F5A8C" w:rsidTr="00622B5F">
        <w:tc>
          <w:tcPr>
            <w:tcW w:w="2211" w:type="dxa"/>
          </w:tcPr>
          <w:p w14:paraId="3AC0655F" w14:textId="2D88B08D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AVP – own infant, cry sound</w:t>
            </w:r>
          </w:p>
        </w:tc>
        <w:tc>
          <w:tcPr>
            <w:tcW w:w="2211" w:type="dxa"/>
          </w:tcPr>
          <w:p w14:paraId="01FDD0A5" w14:textId="33374DB9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.075</w:t>
            </w:r>
          </w:p>
        </w:tc>
        <w:tc>
          <w:tcPr>
            <w:tcW w:w="2211" w:type="dxa"/>
          </w:tcPr>
          <w:p w14:paraId="013A0956" w14:textId="4F0C6D22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-.009</w:t>
            </w:r>
          </w:p>
        </w:tc>
      </w:tr>
      <w:tr w:rsidR="0018119B" w:rsidRPr="0018119B" w14:paraId="794F4B74" w14:textId="356D71CB" w:rsidTr="00622B5F">
        <w:tc>
          <w:tcPr>
            <w:tcW w:w="2211" w:type="dxa"/>
          </w:tcPr>
          <w:p w14:paraId="698D03CF" w14:textId="20092DB2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Placebo</w:t>
            </w:r>
            <w:r w:rsidR="00E54C42" w:rsidRPr="0018119B">
              <w:rPr>
                <w:rFonts w:cs="Times New Roman"/>
                <w:szCs w:val="24"/>
              </w:rPr>
              <w:t xml:space="preserve"> –</w:t>
            </w:r>
            <w:r w:rsidR="00E54C42" w:rsidRPr="0018119B">
              <w:rPr>
                <w:rFonts w:cs="Times New Roman"/>
                <w:szCs w:val="24"/>
              </w:rPr>
              <w:br/>
              <w:t>unknown infant, control sound</w:t>
            </w:r>
          </w:p>
        </w:tc>
        <w:tc>
          <w:tcPr>
            <w:tcW w:w="2211" w:type="dxa"/>
          </w:tcPr>
          <w:p w14:paraId="61D81A3A" w14:textId="1644BE2D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.184</w:t>
            </w:r>
          </w:p>
        </w:tc>
        <w:tc>
          <w:tcPr>
            <w:tcW w:w="2211" w:type="dxa"/>
          </w:tcPr>
          <w:p w14:paraId="3A7310D7" w14:textId="0DF5A7FF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.058</w:t>
            </w:r>
          </w:p>
        </w:tc>
      </w:tr>
      <w:tr w:rsidR="0018119B" w:rsidRPr="0018119B" w14:paraId="417914D9" w14:textId="75CFE683" w:rsidTr="00622B5F">
        <w:tc>
          <w:tcPr>
            <w:tcW w:w="2211" w:type="dxa"/>
          </w:tcPr>
          <w:p w14:paraId="5CF7DB24" w14:textId="12899A49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AVP –</w:t>
            </w:r>
            <w:r w:rsidRPr="0018119B">
              <w:rPr>
                <w:rFonts w:cs="Times New Roman"/>
                <w:szCs w:val="24"/>
              </w:rPr>
              <w:br/>
              <w:t>unknown infant, control sound</w:t>
            </w:r>
          </w:p>
        </w:tc>
        <w:tc>
          <w:tcPr>
            <w:tcW w:w="2211" w:type="dxa"/>
          </w:tcPr>
          <w:p w14:paraId="2B9EC993" w14:textId="0CDEC80F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.278</w:t>
            </w:r>
          </w:p>
        </w:tc>
        <w:tc>
          <w:tcPr>
            <w:tcW w:w="2211" w:type="dxa"/>
          </w:tcPr>
          <w:p w14:paraId="05A7C98C" w14:textId="4A1140DE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-.127</w:t>
            </w:r>
          </w:p>
        </w:tc>
      </w:tr>
      <w:tr w:rsidR="0018119B" w:rsidRPr="0018119B" w14:paraId="6BE44404" w14:textId="64E6F136" w:rsidTr="00622B5F">
        <w:tc>
          <w:tcPr>
            <w:tcW w:w="2211" w:type="dxa"/>
          </w:tcPr>
          <w:p w14:paraId="5D21A6DE" w14:textId="5326989D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Placebo</w:t>
            </w:r>
            <w:r w:rsidR="00E54C42" w:rsidRPr="0018119B">
              <w:rPr>
                <w:rFonts w:cs="Times New Roman"/>
                <w:szCs w:val="24"/>
              </w:rPr>
              <w:t xml:space="preserve"> –</w:t>
            </w:r>
            <w:r w:rsidR="00E54C42" w:rsidRPr="0018119B">
              <w:rPr>
                <w:rFonts w:cs="Times New Roman"/>
                <w:szCs w:val="24"/>
              </w:rPr>
              <w:br/>
              <w:t>unknown infant, cry sound</w:t>
            </w:r>
          </w:p>
        </w:tc>
        <w:tc>
          <w:tcPr>
            <w:tcW w:w="2211" w:type="dxa"/>
          </w:tcPr>
          <w:p w14:paraId="6F0B6AE9" w14:textId="717C3B96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-.152</w:t>
            </w:r>
          </w:p>
        </w:tc>
        <w:tc>
          <w:tcPr>
            <w:tcW w:w="2211" w:type="dxa"/>
          </w:tcPr>
          <w:p w14:paraId="24116BCD" w14:textId="17A3F598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-.050</w:t>
            </w:r>
          </w:p>
        </w:tc>
      </w:tr>
      <w:tr w:rsidR="0018119B" w:rsidRPr="0018119B" w14:paraId="3AF9CB99" w14:textId="1ADC0556" w:rsidTr="00622B5F">
        <w:tc>
          <w:tcPr>
            <w:tcW w:w="2211" w:type="dxa"/>
            <w:tcBorders>
              <w:bottom w:val="single" w:sz="18" w:space="0" w:color="auto"/>
            </w:tcBorders>
          </w:tcPr>
          <w:p w14:paraId="3C9832DD" w14:textId="62C56A03" w:rsidR="00E54C42" w:rsidRPr="0018119B" w:rsidRDefault="00E54C42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AVP –</w:t>
            </w:r>
            <w:r w:rsidRPr="0018119B">
              <w:rPr>
                <w:rFonts w:cs="Times New Roman"/>
                <w:szCs w:val="24"/>
              </w:rPr>
              <w:br/>
              <w:t>unknown infant, cry sound</w:t>
            </w:r>
          </w:p>
        </w:tc>
        <w:tc>
          <w:tcPr>
            <w:tcW w:w="2211" w:type="dxa"/>
            <w:tcBorders>
              <w:bottom w:val="single" w:sz="18" w:space="0" w:color="auto"/>
            </w:tcBorders>
          </w:tcPr>
          <w:p w14:paraId="35E40A5F" w14:textId="2A5107C4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.179</w:t>
            </w:r>
          </w:p>
        </w:tc>
        <w:tc>
          <w:tcPr>
            <w:tcW w:w="2211" w:type="dxa"/>
            <w:tcBorders>
              <w:bottom w:val="single" w:sz="18" w:space="0" w:color="auto"/>
            </w:tcBorders>
          </w:tcPr>
          <w:p w14:paraId="086EC04C" w14:textId="45261775" w:rsidR="00E54C42" w:rsidRPr="0018119B" w:rsidRDefault="0018119B" w:rsidP="00622B5F">
            <w:pPr>
              <w:keepNext/>
              <w:rPr>
                <w:rFonts w:cs="Times New Roman"/>
                <w:szCs w:val="24"/>
              </w:rPr>
            </w:pPr>
            <w:r w:rsidRPr="0018119B">
              <w:rPr>
                <w:rFonts w:cs="Times New Roman"/>
                <w:szCs w:val="24"/>
              </w:rPr>
              <w:t>.029</w:t>
            </w:r>
          </w:p>
        </w:tc>
      </w:tr>
    </w:tbl>
    <w:p w14:paraId="3950FC57" w14:textId="48C1D6B7" w:rsidR="00AA1532" w:rsidRPr="001549D3" w:rsidRDefault="00AA1532" w:rsidP="00AA1532">
      <w:pPr>
        <w:keepNext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486ED9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679B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486ED9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679B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1A3DA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22B5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1A3DA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22B5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79BD"/>
    <w:rsid w:val="00077D53"/>
    <w:rsid w:val="00105FD9"/>
    <w:rsid w:val="00117666"/>
    <w:rsid w:val="001549D3"/>
    <w:rsid w:val="00160065"/>
    <w:rsid w:val="00177D84"/>
    <w:rsid w:val="0018119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22B5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1532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A109B"/>
    <w:rsid w:val="00DB59C3"/>
    <w:rsid w:val="00DC259A"/>
    <w:rsid w:val="00DE23E8"/>
    <w:rsid w:val="00E52377"/>
    <w:rsid w:val="00E537AD"/>
    <w:rsid w:val="00E54C42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D91305-9C17-4ADE-ACB6-0C9AF63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Dijk, K. van</cp:lastModifiedBy>
  <cp:revision>2</cp:revision>
  <cp:lastPrinted>2013-10-03T12:51:00Z</cp:lastPrinted>
  <dcterms:created xsi:type="dcterms:W3CDTF">2019-04-18T10:56:00Z</dcterms:created>
  <dcterms:modified xsi:type="dcterms:W3CDTF">2019-04-18T10:56:00Z</dcterms:modified>
</cp:coreProperties>
</file>