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1C196A6C" w:rsidR="00994A3D" w:rsidRPr="00994A3D" w:rsidRDefault="00654E8F" w:rsidP="0001436A">
      <w:pPr>
        <w:pStyle w:val="Titre1"/>
      </w:pPr>
      <w:r w:rsidRPr="00994A3D">
        <w:t xml:space="preserve">Supplementary Figures </w:t>
      </w:r>
    </w:p>
    <w:p w14:paraId="63D7C2B0" w14:textId="5B227BAE" w:rsidR="00994A3D" w:rsidRDefault="00994A3D" w:rsidP="0001436A">
      <w:pPr>
        <w:pStyle w:val="Titre2"/>
      </w:pPr>
      <w:r w:rsidRPr="0001436A">
        <w:t>Supplementary</w:t>
      </w:r>
      <w:r w:rsidR="00807FCB">
        <w:t xml:space="preserve"> Figure 1</w:t>
      </w:r>
    </w:p>
    <w:p w14:paraId="5B2E5DF5" w14:textId="102ADC47" w:rsidR="00A77196" w:rsidRDefault="00A77196" w:rsidP="002B2C0E">
      <w:pPr>
        <w:jc w:val="center"/>
      </w:pPr>
      <w:r>
        <w:rPr>
          <w:noProof/>
          <w:lang w:val="fr-FR" w:eastAsia="fr-FR"/>
        </w:rPr>
        <w:drawing>
          <wp:inline distT="0" distB="0" distL="0" distR="0" wp14:anchorId="575144EB" wp14:editId="3ED59D19">
            <wp:extent cx="5857875" cy="24472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1B and C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5" b="61090"/>
                    <a:stretch/>
                  </pic:blipFill>
                  <pic:spPr bwMode="auto">
                    <a:xfrm>
                      <a:off x="0" y="0"/>
                      <a:ext cx="5882002" cy="2457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B280A" w14:textId="2341F17C" w:rsidR="00A77196" w:rsidRPr="002B4A57" w:rsidRDefault="00A77196" w:rsidP="002B2C0E">
      <w:pPr>
        <w:keepNext/>
        <w:jc w:val="both"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87F0B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E87F0B">
        <w:rPr>
          <w:rFonts w:cs="Times New Roman"/>
          <w:b/>
          <w:szCs w:val="24"/>
        </w:rPr>
        <w:t>:</w:t>
      </w:r>
      <w:r w:rsidRPr="001549D3">
        <w:rPr>
          <w:rFonts w:cs="Times New Roman"/>
          <w:szCs w:val="24"/>
        </w:rPr>
        <w:t xml:space="preserve"> </w:t>
      </w:r>
      <w:proofErr w:type="spellStart"/>
      <w:r w:rsidR="002B2C0E">
        <w:rPr>
          <w:b/>
          <w:szCs w:val="24"/>
        </w:rPr>
        <w:t>PtGFT</w:t>
      </w:r>
      <w:proofErr w:type="spellEnd"/>
      <w:r w:rsidR="002B2C0E" w:rsidRPr="00536C2C">
        <w:rPr>
          <w:b/>
          <w:szCs w:val="24"/>
        </w:rPr>
        <w:t xml:space="preserve"> is </w:t>
      </w:r>
      <w:r w:rsidR="002B2C0E">
        <w:rPr>
          <w:b/>
          <w:szCs w:val="24"/>
        </w:rPr>
        <w:t>predicted to be a</w:t>
      </w:r>
      <w:r w:rsidR="002B2C0E" w:rsidRPr="00536C2C">
        <w:rPr>
          <w:b/>
          <w:szCs w:val="24"/>
        </w:rPr>
        <w:t xml:space="preserve"> </w:t>
      </w:r>
      <w:r w:rsidR="002B2C0E">
        <w:rPr>
          <w:b/>
          <w:szCs w:val="24"/>
        </w:rPr>
        <w:t>transmembrane protein</w:t>
      </w:r>
      <w:r w:rsidR="002B2C0E" w:rsidRPr="00536C2C">
        <w:rPr>
          <w:b/>
          <w:szCs w:val="24"/>
        </w:rPr>
        <w:t xml:space="preserve"> </w:t>
      </w:r>
      <w:r w:rsidR="002B2C0E">
        <w:rPr>
          <w:b/>
          <w:szCs w:val="24"/>
        </w:rPr>
        <w:t>in agreement with the expected topology described for the nucleotide sugar transporters.</w:t>
      </w:r>
      <w:r w:rsidR="002B2C0E" w:rsidRPr="00D97230">
        <w:rPr>
          <w:szCs w:val="24"/>
        </w:rPr>
        <w:t xml:space="preserve"> </w:t>
      </w:r>
      <w:r w:rsidR="002B2C0E" w:rsidRPr="00DA4487">
        <w:rPr>
          <w:szCs w:val="24"/>
        </w:rPr>
        <w:t>Prediction of the transmembrane helices with the TMHMM Server v 2.0 (</w:t>
      </w:r>
      <w:hyperlink r:id="rId9" w:history="1">
        <w:r w:rsidR="002B2C0E" w:rsidRPr="001349E6">
          <w:rPr>
            <w:rStyle w:val="Lienhypertexte"/>
            <w:szCs w:val="24"/>
          </w:rPr>
          <w:t>http://www.cbs.dtu.dk/services</w:t>
        </w:r>
      </w:hyperlink>
      <w:r w:rsidR="002B2C0E" w:rsidRPr="00DA4487">
        <w:rPr>
          <w:szCs w:val="24"/>
        </w:rPr>
        <w:t xml:space="preserve">) </w:t>
      </w:r>
      <w:r w:rsidR="002B2C0E">
        <w:rPr>
          <w:szCs w:val="24"/>
        </w:rPr>
        <w:t xml:space="preserve">(right panel) </w:t>
      </w:r>
      <w:r w:rsidR="002B2C0E" w:rsidRPr="00DA4487">
        <w:rPr>
          <w:szCs w:val="24"/>
        </w:rPr>
        <w:t xml:space="preserve">and </w:t>
      </w:r>
      <w:proofErr w:type="spellStart"/>
      <w:r w:rsidR="002B2C0E" w:rsidRPr="00DA4487">
        <w:rPr>
          <w:szCs w:val="24"/>
        </w:rPr>
        <w:t>Phobius</w:t>
      </w:r>
      <w:proofErr w:type="spellEnd"/>
      <w:r w:rsidR="002B2C0E" w:rsidRPr="00DA4487">
        <w:rPr>
          <w:szCs w:val="24"/>
        </w:rPr>
        <w:t xml:space="preserve"> Server (</w:t>
      </w:r>
      <w:hyperlink r:id="rId10" w:history="1">
        <w:r w:rsidR="002B2C0E" w:rsidRPr="001349E6">
          <w:rPr>
            <w:rStyle w:val="Lienhypertexte"/>
            <w:szCs w:val="24"/>
          </w:rPr>
          <w:t>http://phobius.sbc.su.se/</w:t>
        </w:r>
      </w:hyperlink>
      <w:r w:rsidR="002B2C0E" w:rsidRPr="00DA4487">
        <w:rPr>
          <w:szCs w:val="24"/>
        </w:rPr>
        <w:t>)</w:t>
      </w:r>
      <w:r w:rsidR="002B2C0E">
        <w:rPr>
          <w:szCs w:val="24"/>
        </w:rPr>
        <w:t xml:space="preserve"> </w:t>
      </w:r>
      <w:r w:rsidR="002B2C0E" w:rsidRPr="00262726">
        <w:rPr>
          <w:szCs w:val="24"/>
        </w:rPr>
        <w:t>(left panel)</w:t>
      </w:r>
    </w:p>
    <w:p w14:paraId="6554926E" w14:textId="4042835F" w:rsidR="00807FCB" w:rsidRDefault="00807FCB" w:rsidP="00807FCB">
      <w:pPr>
        <w:pStyle w:val="Titre2"/>
      </w:pPr>
      <w:r w:rsidRPr="0001436A">
        <w:t>Supplementary</w:t>
      </w:r>
      <w:r>
        <w:t xml:space="preserve"> Figure 2</w:t>
      </w:r>
    </w:p>
    <w:p w14:paraId="6754D378" w14:textId="61A6EDEF" w:rsidR="00994A3D" w:rsidRPr="001549D3" w:rsidRDefault="002B2C0E" w:rsidP="002B2C0E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fr-FR" w:eastAsia="fr-FR"/>
        </w:rPr>
        <w:drawing>
          <wp:inline distT="0" distB="0" distL="0" distR="0" wp14:anchorId="5C02D5DF" wp14:editId="5AA62623">
            <wp:extent cx="3667724" cy="2037715"/>
            <wp:effectExtent l="0" t="0" r="952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1B and C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t="45860" b="24403"/>
                    <a:stretch/>
                  </pic:blipFill>
                  <pic:spPr bwMode="auto">
                    <a:xfrm>
                      <a:off x="0" y="0"/>
                      <a:ext cx="3669181" cy="203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C282" w14:textId="77777777" w:rsidR="00807FCB" w:rsidRDefault="00807FCB" w:rsidP="00807FCB">
      <w:pPr>
        <w:pStyle w:val="Commentaire"/>
        <w:spacing w:after="0"/>
        <w:jc w:val="both"/>
        <w:rPr>
          <w:rFonts w:cs="Times New Roman"/>
          <w:b/>
          <w:sz w:val="24"/>
          <w:szCs w:val="24"/>
        </w:rPr>
      </w:pPr>
    </w:p>
    <w:p w14:paraId="39B5427F" w14:textId="0C3C58E3" w:rsidR="00807FCB" w:rsidRPr="00807FCB" w:rsidRDefault="00994A3D" w:rsidP="00807FCB">
      <w:pPr>
        <w:pStyle w:val="Commentaire"/>
        <w:spacing w:after="0"/>
        <w:jc w:val="both"/>
        <w:rPr>
          <w:sz w:val="24"/>
          <w:szCs w:val="24"/>
        </w:rPr>
      </w:pPr>
      <w:r w:rsidRPr="00807FCB">
        <w:rPr>
          <w:rFonts w:cs="Times New Roman"/>
          <w:b/>
          <w:sz w:val="24"/>
          <w:szCs w:val="24"/>
        </w:rPr>
        <w:t xml:space="preserve">Supplementary Figure </w:t>
      </w:r>
      <w:r w:rsidR="002B2C0E" w:rsidRPr="00807FCB">
        <w:rPr>
          <w:rFonts w:cs="Times New Roman"/>
          <w:b/>
          <w:sz w:val="24"/>
          <w:szCs w:val="24"/>
        </w:rPr>
        <w:t>2</w:t>
      </w:r>
      <w:r w:rsidR="00E87F0B">
        <w:rPr>
          <w:rFonts w:cs="Times New Roman"/>
          <w:b/>
          <w:sz w:val="24"/>
          <w:szCs w:val="24"/>
        </w:rPr>
        <w:t>:</w:t>
      </w:r>
      <w:r w:rsidRPr="00807FCB">
        <w:rPr>
          <w:rFonts w:cs="Times New Roman"/>
          <w:sz w:val="24"/>
          <w:szCs w:val="24"/>
        </w:rPr>
        <w:t xml:space="preserve"> </w:t>
      </w:r>
      <w:proofErr w:type="spellStart"/>
      <w:r w:rsidR="002B2C0E" w:rsidRPr="00807FCB">
        <w:rPr>
          <w:b/>
          <w:sz w:val="24"/>
          <w:szCs w:val="24"/>
        </w:rPr>
        <w:t>PtGFT</w:t>
      </w:r>
      <w:proofErr w:type="spellEnd"/>
      <w:r w:rsidR="002B2C0E" w:rsidRPr="00807FCB">
        <w:rPr>
          <w:b/>
          <w:sz w:val="24"/>
          <w:szCs w:val="24"/>
        </w:rPr>
        <w:t xml:space="preserve"> is expressed in the diatom</w:t>
      </w:r>
      <w:r w:rsidR="00807FCB" w:rsidRPr="00807FCB">
        <w:rPr>
          <w:b/>
          <w:sz w:val="24"/>
          <w:szCs w:val="24"/>
        </w:rPr>
        <w:t xml:space="preserve"> cells. </w:t>
      </w:r>
      <w:r w:rsidR="00807FCB" w:rsidRPr="00807FCB">
        <w:rPr>
          <w:sz w:val="24"/>
          <w:szCs w:val="24"/>
        </w:rPr>
        <w:t xml:space="preserve">Analysis of the </w:t>
      </w:r>
      <w:proofErr w:type="spellStart"/>
      <w:r w:rsidR="00BC6C82">
        <w:rPr>
          <w:sz w:val="24"/>
          <w:szCs w:val="24"/>
        </w:rPr>
        <w:t>PtGFT</w:t>
      </w:r>
      <w:proofErr w:type="spellEnd"/>
      <w:r w:rsidR="00BC6C82">
        <w:rPr>
          <w:sz w:val="24"/>
          <w:szCs w:val="24"/>
        </w:rPr>
        <w:t xml:space="preserve"> </w:t>
      </w:r>
      <w:r w:rsidR="00807FCB" w:rsidRPr="00807FCB">
        <w:rPr>
          <w:sz w:val="24"/>
          <w:szCs w:val="24"/>
        </w:rPr>
        <w:t xml:space="preserve">gene expression by PCR amplification using a specific primer pair as described in the material and methods section. Lane 1: Ladder in </w:t>
      </w:r>
      <w:proofErr w:type="spellStart"/>
      <w:r w:rsidR="00807FCB" w:rsidRPr="00807FCB">
        <w:rPr>
          <w:sz w:val="24"/>
          <w:szCs w:val="24"/>
        </w:rPr>
        <w:t>bp</w:t>
      </w:r>
      <w:proofErr w:type="spellEnd"/>
      <w:r w:rsidR="00807FCB" w:rsidRPr="00807FCB">
        <w:rPr>
          <w:sz w:val="24"/>
          <w:szCs w:val="24"/>
        </w:rPr>
        <w:t xml:space="preserve"> (</w:t>
      </w:r>
      <w:proofErr w:type="spellStart"/>
      <w:r w:rsidR="00807FCB" w:rsidRPr="00807FCB">
        <w:rPr>
          <w:sz w:val="24"/>
          <w:szCs w:val="24"/>
        </w:rPr>
        <w:t>GeneRuler</w:t>
      </w:r>
      <w:proofErr w:type="spellEnd"/>
      <w:r w:rsidR="00807FCB" w:rsidRPr="00807FCB">
        <w:rPr>
          <w:sz w:val="24"/>
          <w:szCs w:val="24"/>
        </w:rPr>
        <w:t xml:space="preserve"> 50 </w:t>
      </w:r>
      <w:proofErr w:type="spellStart"/>
      <w:r w:rsidR="00807FCB" w:rsidRPr="00807FCB">
        <w:rPr>
          <w:sz w:val="24"/>
          <w:szCs w:val="24"/>
        </w:rPr>
        <w:t>bp</w:t>
      </w:r>
      <w:proofErr w:type="spellEnd"/>
      <w:r w:rsidR="00807FCB" w:rsidRPr="00807FCB">
        <w:rPr>
          <w:sz w:val="24"/>
          <w:szCs w:val="24"/>
        </w:rPr>
        <w:t xml:space="preserve"> DNA Ladder, </w:t>
      </w:r>
      <w:proofErr w:type="spellStart"/>
      <w:r w:rsidR="00807FCB" w:rsidRPr="00807FCB">
        <w:rPr>
          <w:sz w:val="24"/>
          <w:szCs w:val="24"/>
        </w:rPr>
        <w:t>Thermo</w:t>
      </w:r>
      <w:proofErr w:type="spellEnd"/>
      <w:r w:rsidR="00807FCB" w:rsidRPr="00807FCB">
        <w:rPr>
          <w:sz w:val="24"/>
          <w:szCs w:val="24"/>
        </w:rPr>
        <w:t xml:space="preserve"> Fisher Scientific); Lane 2: cDNA; lane 3: </w:t>
      </w:r>
      <w:proofErr w:type="spellStart"/>
      <w:r w:rsidR="00807FCB" w:rsidRPr="00807FCB">
        <w:rPr>
          <w:sz w:val="24"/>
          <w:szCs w:val="24"/>
        </w:rPr>
        <w:t>gDNA</w:t>
      </w:r>
      <w:proofErr w:type="spellEnd"/>
      <w:r w:rsidR="00807FCB" w:rsidRPr="00807FCB">
        <w:rPr>
          <w:sz w:val="24"/>
          <w:szCs w:val="24"/>
        </w:rPr>
        <w:t xml:space="preserve">; lane 4: water used as a negative control. </w:t>
      </w:r>
    </w:p>
    <w:p w14:paraId="397DCC73" w14:textId="0969FF3F" w:rsidR="000628AE" w:rsidRDefault="004911E2" w:rsidP="0029410D">
      <w:pPr>
        <w:pStyle w:val="Commentaire"/>
        <w:spacing w:after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val="fr-FR" w:eastAsia="fr-FR"/>
        </w:rPr>
        <w:lastRenderedPageBreak/>
        <w:drawing>
          <wp:inline distT="0" distB="0" distL="0" distR="0" wp14:anchorId="4271B6F4" wp14:editId="0A926FB8">
            <wp:extent cx="4312920" cy="272985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mb anti V5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086" cy="27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AA06B" w14:textId="77777777" w:rsidR="0029410D" w:rsidRDefault="0029410D" w:rsidP="00B61F4F">
      <w:pPr>
        <w:pStyle w:val="Commentaire"/>
        <w:spacing w:after="0"/>
        <w:jc w:val="both"/>
        <w:rPr>
          <w:rFonts w:cs="Times New Roman"/>
          <w:b/>
          <w:sz w:val="24"/>
          <w:szCs w:val="24"/>
        </w:rPr>
      </w:pPr>
    </w:p>
    <w:p w14:paraId="6131049A" w14:textId="5570E760" w:rsidR="00B61F4F" w:rsidRPr="00714724" w:rsidRDefault="00B61F4F" w:rsidP="00B61F4F">
      <w:pPr>
        <w:pStyle w:val="Commentaire"/>
        <w:spacing w:after="0"/>
        <w:jc w:val="both"/>
        <w:rPr>
          <w:rFonts w:cs="Times New Roman"/>
          <w:sz w:val="24"/>
          <w:szCs w:val="24"/>
        </w:rPr>
      </w:pPr>
      <w:r w:rsidRPr="00891CF4">
        <w:rPr>
          <w:rFonts w:cs="Times New Roman"/>
          <w:b/>
          <w:sz w:val="24"/>
          <w:szCs w:val="24"/>
        </w:rPr>
        <w:t>Supplementary Figure 3:</w:t>
      </w:r>
      <w:r w:rsidRPr="00891CF4">
        <w:rPr>
          <w:rFonts w:cs="Times New Roman"/>
          <w:sz w:val="24"/>
          <w:szCs w:val="24"/>
        </w:rPr>
        <w:t xml:space="preserve"> </w:t>
      </w:r>
      <w:r w:rsidR="00891CF4" w:rsidRPr="00891CF4">
        <w:rPr>
          <w:rFonts w:cs="Times New Roman"/>
          <w:b/>
          <w:sz w:val="24"/>
          <w:szCs w:val="24"/>
        </w:rPr>
        <w:t>The V5-tagged FuT54599</w:t>
      </w:r>
      <w:bookmarkStart w:id="0" w:name="_GoBack"/>
      <w:bookmarkEnd w:id="0"/>
      <w:r w:rsidR="00891CF4" w:rsidRPr="00891CF4">
        <w:rPr>
          <w:rFonts w:cs="Times New Roman"/>
          <w:b/>
          <w:sz w:val="24"/>
          <w:szCs w:val="24"/>
        </w:rPr>
        <w:t xml:space="preserve"> is overexpressed </w:t>
      </w:r>
      <w:r w:rsidR="006110F8">
        <w:rPr>
          <w:rFonts w:cs="Times New Roman"/>
          <w:b/>
          <w:sz w:val="24"/>
          <w:szCs w:val="24"/>
        </w:rPr>
        <w:t>24h after induction</w:t>
      </w:r>
      <w:r w:rsidR="006110F8" w:rsidRPr="00891CF4">
        <w:rPr>
          <w:rFonts w:cs="Times New Roman"/>
          <w:b/>
          <w:sz w:val="24"/>
          <w:szCs w:val="24"/>
        </w:rPr>
        <w:t xml:space="preserve"> </w:t>
      </w:r>
      <w:r w:rsidR="00891CF4" w:rsidRPr="00891CF4">
        <w:rPr>
          <w:rFonts w:cs="Times New Roman"/>
          <w:b/>
          <w:sz w:val="24"/>
          <w:szCs w:val="24"/>
        </w:rPr>
        <w:t xml:space="preserve">in the membrane fraction of </w:t>
      </w:r>
      <w:proofErr w:type="spellStart"/>
      <w:r w:rsidR="00891CF4" w:rsidRPr="00891CF4">
        <w:rPr>
          <w:rFonts w:cs="Times New Roman"/>
          <w:b/>
          <w:i/>
          <w:sz w:val="24"/>
          <w:szCs w:val="24"/>
        </w:rPr>
        <w:t>Phaeodactylum</w:t>
      </w:r>
      <w:proofErr w:type="spellEnd"/>
      <w:r w:rsidR="00891CF4" w:rsidRPr="00891CF4">
        <w:rPr>
          <w:rFonts w:cs="Times New Roman"/>
          <w:b/>
          <w:i/>
          <w:sz w:val="24"/>
          <w:szCs w:val="24"/>
        </w:rPr>
        <w:t xml:space="preserve"> </w:t>
      </w:r>
      <w:proofErr w:type="spellStart"/>
      <w:r w:rsidR="00891CF4" w:rsidRPr="00891CF4">
        <w:rPr>
          <w:rFonts w:cs="Times New Roman"/>
          <w:b/>
          <w:i/>
          <w:sz w:val="24"/>
          <w:szCs w:val="24"/>
        </w:rPr>
        <w:t>tricornutum</w:t>
      </w:r>
      <w:proofErr w:type="spellEnd"/>
      <w:r w:rsidR="00891CF4" w:rsidRPr="00891CF4">
        <w:rPr>
          <w:rFonts w:cs="Times New Roman"/>
          <w:b/>
          <w:sz w:val="24"/>
          <w:szCs w:val="24"/>
        </w:rPr>
        <w:t xml:space="preserve">. </w:t>
      </w:r>
      <w:r w:rsidR="00891CF4" w:rsidRPr="00891CF4">
        <w:rPr>
          <w:rFonts w:cs="Times New Roman"/>
          <w:sz w:val="24"/>
          <w:szCs w:val="24"/>
        </w:rPr>
        <w:t xml:space="preserve">Western Blot analysis of the membrane fraction proteins from the WT (lane 1) and </w:t>
      </w:r>
      <w:r w:rsidR="00891CF4" w:rsidRPr="00891CF4">
        <w:rPr>
          <w:rFonts w:cs="Times New Roman"/>
          <w:i/>
          <w:sz w:val="24"/>
          <w:szCs w:val="24"/>
        </w:rPr>
        <w:t xml:space="preserve">P. </w:t>
      </w:r>
      <w:proofErr w:type="spellStart"/>
      <w:r w:rsidR="00891CF4" w:rsidRPr="00891CF4">
        <w:rPr>
          <w:rFonts w:cs="Times New Roman"/>
          <w:i/>
          <w:sz w:val="24"/>
          <w:szCs w:val="24"/>
        </w:rPr>
        <w:t>tricornutum</w:t>
      </w:r>
      <w:proofErr w:type="spellEnd"/>
      <w:r w:rsidR="00891CF4" w:rsidRPr="00891CF4">
        <w:rPr>
          <w:rFonts w:cs="Times New Roman"/>
          <w:sz w:val="24"/>
          <w:szCs w:val="24"/>
        </w:rPr>
        <w:t xml:space="preserve"> cells expressing the V5-tagged FuT54599 using a specific V5-tag</w:t>
      </w:r>
      <w:r w:rsidR="00891CF4" w:rsidRPr="00891CF4">
        <w:rPr>
          <w:rFonts w:cs="Times New Roman"/>
          <w:color w:val="1C1D1E"/>
          <w:sz w:val="24"/>
          <w:szCs w:val="24"/>
        </w:rPr>
        <w:t xml:space="preserve"> antibody</w:t>
      </w:r>
      <w:r w:rsidR="00891CF4">
        <w:rPr>
          <w:rFonts w:cs="Times New Roman"/>
          <w:color w:val="1C1D1E"/>
          <w:sz w:val="24"/>
          <w:szCs w:val="24"/>
        </w:rPr>
        <w:t xml:space="preserve"> (lane 2 to 4)</w:t>
      </w:r>
      <w:r w:rsidR="00891CF4" w:rsidRPr="00891CF4">
        <w:rPr>
          <w:rFonts w:cs="Times New Roman"/>
          <w:color w:val="1C1D1E"/>
          <w:sz w:val="24"/>
          <w:szCs w:val="24"/>
        </w:rPr>
        <w:t xml:space="preserve">. Proteins from the membrane fraction have been extracted from </w:t>
      </w:r>
      <w:r w:rsidR="00891CF4">
        <w:rPr>
          <w:rFonts w:cs="Times New Roman"/>
          <w:color w:val="1C1D1E"/>
          <w:sz w:val="24"/>
          <w:szCs w:val="24"/>
        </w:rPr>
        <w:t xml:space="preserve">the </w:t>
      </w:r>
      <w:r w:rsidR="00891CF4" w:rsidRPr="00891CF4">
        <w:rPr>
          <w:rFonts w:cs="Times New Roman"/>
          <w:i/>
          <w:sz w:val="24"/>
          <w:szCs w:val="24"/>
        </w:rPr>
        <w:t xml:space="preserve">P. </w:t>
      </w:r>
      <w:proofErr w:type="spellStart"/>
      <w:r w:rsidR="00891CF4" w:rsidRPr="00891CF4">
        <w:rPr>
          <w:rFonts w:cs="Times New Roman"/>
          <w:i/>
          <w:sz w:val="24"/>
          <w:szCs w:val="24"/>
        </w:rPr>
        <w:t>tricornutum</w:t>
      </w:r>
      <w:proofErr w:type="spellEnd"/>
      <w:r w:rsidR="00891CF4" w:rsidRPr="00891CF4">
        <w:rPr>
          <w:rFonts w:cs="Times New Roman"/>
          <w:sz w:val="24"/>
          <w:szCs w:val="24"/>
        </w:rPr>
        <w:t xml:space="preserve"> cells expressing the V5-tagged FuT54599 24h after induction (lane 2); 48h after induction (lane 3); </w:t>
      </w:r>
      <w:r w:rsidR="006110F8">
        <w:rPr>
          <w:rFonts w:cs="Times New Roman"/>
          <w:sz w:val="24"/>
          <w:szCs w:val="24"/>
        </w:rPr>
        <w:t>72</w:t>
      </w:r>
      <w:r w:rsidR="00891CF4" w:rsidRPr="00891CF4">
        <w:rPr>
          <w:rFonts w:cs="Times New Roman"/>
          <w:sz w:val="24"/>
          <w:szCs w:val="24"/>
        </w:rPr>
        <w:t xml:space="preserve">h after induction (lane 4) and a V5-tagged protein expressed in </w:t>
      </w:r>
      <w:r w:rsidR="00891CF4" w:rsidRPr="00891CF4">
        <w:rPr>
          <w:rFonts w:cs="Times New Roman"/>
          <w:i/>
          <w:sz w:val="24"/>
          <w:szCs w:val="24"/>
        </w:rPr>
        <w:t>E. Coli</w:t>
      </w:r>
      <w:r w:rsidR="00891CF4" w:rsidRPr="00891CF4">
        <w:rPr>
          <w:rFonts w:cs="Times New Roman"/>
          <w:sz w:val="24"/>
          <w:szCs w:val="24"/>
        </w:rPr>
        <w:t xml:space="preserve"> (</w:t>
      </w:r>
      <w:proofErr w:type="spellStart"/>
      <w:r w:rsidR="00891CF4" w:rsidRPr="00891CF4">
        <w:rPr>
          <w:sz w:val="24"/>
          <w:szCs w:val="24"/>
        </w:rPr>
        <w:t>Abcam</w:t>
      </w:r>
      <w:proofErr w:type="spellEnd"/>
      <w:r w:rsidR="00891CF4" w:rsidRPr="00891CF4">
        <w:rPr>
          <w:sz w:val="24"/>
          <w:szCs w:val="24"/>
        </w:rPr>
        <w:t>)</w:t>
      </w:r>
      <w:r w:rsidR="00714724">
        <w:rPr>
          <w:rFonts w:cs="Times New Roman"/>
          <w:sz w:val="24"/>
          <w:szCs w:val="24"/>
        </w:rPr>
        <w:t xml:space="preserve"> called Tag </w:t>
      </w:r>
      <w:r w:rsidR="00891CF4" w:rsidRPr="00891CF4">
        <w:rPr>
          <w:rFonts w:cs="Times New Roman"/>
          <w:sz w:val="24"/>
          <w:szCs w:val="24"/>
        </w:rPr>
        <w:t>used a positive control (lane 6). In parallel, molecular weight markers (</w:t>
      </w:r>
      <w:proofErr w:type="spellStart"/>
      <w:r w:rsidR="00891CF4" w:rsidRPr="00891CF4">
        <w:rPr>
          <w:rFonts w:cs="Times New Roman"/>
          <w:sz w:val="24"/>
          <w:szCs w:val="24"/>
        </w:rPr>
        <w:t>PageRuler</w:t>
      </w:r>
      <w:proofErr w:type="spellEnd"/>
      <w:r w:rsidR="00891CF4" w:rsidRPr="00891CF4">
        <w:rPr>
          <w:rFonts w:cs="Times New Roman"/>
          <w:sz w:val="24"/>
          <w:szCs w:val="24"/>
        </w:rPr>
        <w:t xml:space="preserve"> </w:t>
      </w:r>
      <w:proofErr w:type="gramStart"/>
      <w:r w:rsidR="00891CF4" w:rsidRPr="00891CF4">
        <w:rPr>
          <w:rFonts w:cs="Times New Roman"/>
          <w:sz w:val="24"/>
          <w:szCs w:val="24"/>
        </w:rPr>
        <w:t>Plus</w:t>
      </w:r>
      <w:proofErr w:type="gramEnd"/>
      <w:r w:rsidR="00891CF4" w:rsidRPr="00891CF4">
        <w:rPr>
          <w:rFonts w:cs="Times New Roman"/>
          <w:sz w:val="24"/>
          <w:szCs w:val="24"/>
        </w:rPr>
        <w:t xml:space="preserve"> </w:t>
      </w:r>
      <w:proofErr w:type="spellStart"/>
      <w:r w:rsidR="00891CF4" w:rsidRPr="00891CF4">
        <w:rPr>
          <w:rFonts w:cs="Times New Roman"/>
          <w:sz w:val="24"/>
          <w:szCs w:val="24"/>
        </w:rPr>
        <w:t>Prestained</w:t>
      </w:r>
      <w:proofErr w:type="spellEnd"/>
      <w:r w:rsidR="00891CF4" w:rsidRPr="00891CF4">
        <w:rPr>
          <w:rFonts w:cs="Times New Roman"/>
          <w:sz w:val="24"/>
          <w:szCs w:val="24"/>
        </w:rPr>
        <w:t xml:space="preserve"> Protein Ladder, </w:t>
      </w:r>
      <w:proofErr w:type="spellStart"/>
      <w:r w:rsidR="00891CF4" w:rsidRPr="00891CF4">
        <w:rPr>
          <w:rFonts w:cs="Times New Roman"/>
          <w:sz w:val="24"/>
          <w:szCs w:val="24"/>
        </w:rPr>
        <w:t>Thermofisher</w:t>
      </w:r>
      <w:proofErr w:type="spellEnd"/>
      <w:r w:rsidR="00891CF4" w:rsidRPr="00891CF4">
        <w:rPr>
          <w:rFonts w:cs="Times New Roman"/>
          <w:sz w:val="24"/>
          <w:szCs w:val="24"/>
        </w:rPr>
        <w:t xml:space="preserve">) are reported and expressed in </w:t>
      </w:r>
      <w:proofErr w:type="spellStart"/>
      <w:r w:rsidR="00891CF4" w:rsidRPr="00891CF4">
        <w:rPr>
          <w:rFonts w:cs="Times New Roman"/>
          <w:sz w:val="24"/>
          <w:szCs w:val="24"/>
        </w:rPr>
        <w:t>kDa</w:t>
      </w:r>
      <w:proofErr w:type="spellEnd"/>
      <w:r w:rsidR="00891CF4" w:rsidRPr="00891CF4">
        <w:rPr>
          <w:rFonts w:cs="Times New Roman"/>
          <w:sz w:val="24"/>
          <w:szCs w:val="24"/>
        </w:rPr>
        <w:t>.</w:t>
      </w:r>
      <w:r w:rsidR="00CB7885">
        <w:rPr>
          <w:rFonts w:cs="Times New Roman"/>
          <w:sz w:val="24"/>
          <w:szCs w:val="24"/>
        </w:rPr>
        <w:t xml:space="preserve"> </w:t>
      </w:r>
      <w:r w:rsidR="00891CF4" w:rsidRPr="00891CF4">
        <w:rPr>
          <w:rFonts w:cs="Times New Roman"/>
          <w:sz w:val="24"/>
          <w:szCs w:val="24"/>
        </w:rPr>
        <w:t xml:space="preserve">Panel A: </w:t>
      </w:r>
      <w:proofErr w:type="spellStart"/>
      <w:r w:rsidR="00891CF4" w:rsidRPr="00891CF4">
        <w:rPr>
          <w:rFonts w:cs="Times New Roman"/>
          <w:sz w:val="24"/>
          <w:szCs w:val="24"/>
        </w:rPr>
        <w:t>Ponceau</w:t>
      </w:r>
      <w:proofErr w:type="spellEnd"/>
      <w:r w:rsidR="00891CF4" w:rsidRPr="00891CF4">
        <w:rPr>
          <w:rFonts w:cs="Times New Roman"/>
          <w:sz w:val="24"/>
          <w:szCs w:val="24"/>
        </w:rPr>
        <w:t xml:space="preserve"> red staining of the membrane. Panel B: Revelation of the membrane using the specific </w:t>
      </w:r>
      <w:r w:rsidR="00891CF4" w:rsidRPr="00891CF4">
        <w:rPr>
          <w:sz w:val="24"/>
          <w:szCs w:val="24"/>
        </w:rPr>
        <w:t>rabbit anti-V5 antibody (Invitrogen) as described in the material and method section</w:t>
      </w:r>
      <w:r w:rsidR="00891CF4" w:rsidRPr="00891CF4">
        <w:rPr>
          <w:rFonts w:cs="Times New Roman"/>
          <w:color w:val="1C1D1E"/>
          <w:sz w:val="24"/>
          <w:szCs w:val="24"/>
        </w:rPr>
        <w:t>.</w:t>
      </w:r>
    </w:p>
    <w:p w14:paraId="308A674B" w14:textId="77777777" w:rsidR="00B61F4F" w:rsidRDefault="00B61F4F" w:rsidP="00B61F4F">
      <w:pPr>
        <w:pStyle w:val="Commentaire"/>
        <w:spacing w:after="0"/>
        <w:jc w:val="both"/>
        <w:rPr>
          <w:b/>
          <w:sz w:val="24"/>
          <w:szCs w:val="24"/>
        </w:rPr>
      </w:pPr>
    </w:p>
    <w:p w14:paraId="3BFA9504" w14:textId="30D30A81" w:rsidR="00131FA4" w:rsidRDefault="00131FA4" w:rsidP="00B61F4F">
      <w:pPr>
        <w:pStyle w:val="Commentaire"/>
        <w:spacing w:after="0"/>
        <w:jc w:val="both"/>
        <w:rPr>
          <w:b/>
          <w:sz w:val="24"/>
          <w:szCs w:val="24"/>
        </w:rPr>
      </w:pPr>
    </w:p>
    <w:p w14:paraId="17337D5E" w14:textId="7E19F26E" w:rsidR="00131FA4" w:rsidRPr="00891CF4" w:rsidRDefault="0029410D" w:rsidP="0029410D">
      <w:pPr>
        <w:pStyle w:val="Commentaire"/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fr-FR" w:eastAsia="fr-FR"/>
        </w:rPr>
        <w:drawing>
          <wp:inline distT="0" distB="0" distL="0" distR="0" wp14:anchorId="44766E08" wp14:editId="0D78AD08">
            <wp:extent cx="4733544" cy="182575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condaires seuls  25 02 tif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544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04B2F" w14:textId="77777777" w:rsidR="0029410D" w:rsidRDefault="0029410D" w:rsidP="00131FA4">
      <w:pPr>
        <w:pStyle w:val="Commentaire"/>
        <w:spacing w:after="0"/>
        <w:jc w:val="both"/>
        <w:rPr>
          <w:b/>
          <w:sz w:val="24"/>
          <w:szCs w:val="24"/>
        </w:rPr>
      </w:pPr>
    </w:p>
    <w:p w14:paraId="2EFAF2F2" w14:textId="640D8B92" w:rsidR="00131FA4" w:rsidRPr="00131FA4" w:rsidRDefault="00B61F4F" w:rsidP="00131FA4">
      <w:pPr>
        <w:pStyle w:val="Commentaire"/>
        <w:spacing w:after="0"/>
        <w:jc w:val="both"/>
        <w:rPr>
          <w:b/>
          <w:i/>
          <w:sz w:val="24"/>
          <w:szCs w:val="24"/>
        </w:rPr>
      </w:pPr>
      <w:r w:rsidRPr="00131FA4">
        <w:rPr>
          <w:b/>
          <w:sz w:val="24"/>
          <w:szCs w:val="24"/>
        </w:rPr>
        <w:t xml:space="preserve">Supplementary Figure 4: </w:t>
      </w:r>
      <w:r w:rsidR="00131FA4" w:rsidRPr="00131FA4">
        <w:rPr>
          <w:b/>
          <w:sz w:val="24"/>
          <w:szCs w:val="24"/>
        </w:rPr>
        <w:t xml:space="preserve">Negative controls for the </w:t>
      </w:r>
      <w:proofErr w:type="spellStart"/>
      <w:r w:rsidR="00131FA4" w:rsidRPr="00131FA4">
        <w:rPr>
          <w:b/>
          <w:color w:val="1C1D1E"/>
          <w:sz w:val="24"/>
          <w:szCs w:val="24"/>
        </w:rPr>
        <w:t>immunocytochemical</w:t>
      </w:r>
      <w:proofErr w:type="spellEnd"/>
      <w:r w:rsidR="00131FA4" w:rsidRPr="00131FA4">
        <w:rPr>
          <w:b/>
          <w:color w:val="1C1D1E"/>
          <w:sz w:val="24"/>
          <w:szCs w:val="24"/>
        </w:rPr>
        <w:t xml:space="preserve"> localization of V5-tagged </w:t>
      </w:r>
      <w:r w:rsidR="00131FA4" w:rsidRPr="00131FA4">
        <w:rPr>
          <w:b/>
          <w:sz w:val="24"/>
          <w:szCs w:val="24"/>
        </w:rPr>
        <w:t>FuT54599 and V5-</w:t>
      </w:r>
      <w:r w:rsidR="009128C8">
        <w:rPr>
          <w:b/>
          <w:sz w:val="24"/>
          <w:szCs w:val="24"/>
        </w:rPr>
        <w:t>t</w:t>
      </w:r>
      <w:r w:rsidR="00131FA4" w:rsidRPr="00131FA4">
        <w:rPr>
          <w:b/>
          <w:sz w:val="24"/>
          <w:szCs w:val="24"/>
        </w:rPr>
        <w:t xml:space="preserve">agged </w:t>
      </w:r>
      <w:proofErr w:type="spellStart"/>
      <w:r w:rsidR="00131FA4" w:rsidRPr="00131FA4">
        <w:rPr>
          <w:b/>
          <w:sz w:val="24"/>
          <w:szCs w:val="24"/>
        </w:rPr>
        <w:t>GnT</w:t>
      </w:r>
      <w:proofErr w:type="spellEnd"/>
      <w:r w:rsidR="00131FA4" w:rsidRPr="00131FA4">
        <w:rPr>
          <w:b/>
          <w:sz w:val="24"/>
          <w:szCs w:val="24"/>
        </w:rPr>
        <w:t xml:space="preserve"> I in the Golgi apparatus of </w:t>
      </w:r>
      <w:r w:rsidR="00131FA4" w:rsidRPr="00131FA4">
        <w:rPr>
          <w:b/>
          <w:i/>
          <w:sz w:val="24"/>
          <w:szCs w:val="24"/>
        </w:rPr>
        <w:t xml:space="preserve">P. </w:t>
      </w:r>
      <w:proofErr w:type="spellStart"/>
      <w:r w:rsidR="00131FA4" w:rsidRPr="00131FA4">
        <w:rPr>
          <w:b/>
          <w:i/>
          <w:sz w:val="24"/>
          <w:szCs w:val="24"/>
        </w:rPr>
        <w:t>tricornutum</w:t>
      </w:r>
      <w:proofErr w:type="spellEnd"/>
      <w:r w:rsidR="00131FA4" w:rsidRPr="00131FA4">
        <w:rPr>
          <w:b/>
          <w:i/>
          <w:sz w:val="24"/>
          <w:szCs w:val="24"/>
        </w:rPr>
        <w:t xml:space="preserve"> </w:t>
      </w:r>
      <w:r w:rsidR="00131FA4" w:rsidRPr="00131FA4">
        <w:rPr>
          <w:b/>
          <w:sz w:val="24"/>
          <w:szCs w:val="24"/>
        </w:rPr>
        <w:t>illustrating the specificity of the labelling with the anti-V5-tag antibody</w:t>
      </w:r>
      <w:r w:rsidR="00131FA4" w:rsidRPr="00131FA4">
        <w:rPr>
          <w:b/>
          <w:i/>
          <w:sz w:val="24"/>
          <w:szCs w:val="24"/>
        </w:rPr>
        <w:t>.</w:t>
      </w:r>
    </w:p>
    <w:p w14:paraId="7E0C9986" w14:textId="7E8F004F" w:rsidR="00131FA4" w:rsidRDefault="00131FA4" w:rsidP="00131FA4">
      <w:pPr>
        <w:autoSpaceDE w:val="0"/>
        <w:autoSpaceDN w:val="0"/>
        <w:adjustRightInd w:val="0"/>
        <w:spacing w:after="0"/>
        <w:jc w:val="both"/>
        <w:rPr>
          <w:szCs w:val="24"/>
        </w:rPr>
      </w:pPr>
      <w:r>
        <w:rPr>
          <w:color w:val="1C1D1E"/>
          <w:szCs w:val="24"/>
        </w:rPr>
        <w:lastRenderedPageBreak/>
        <w:t xml:space="preserve">Transmission Electron micrographs of HPF/FS </w:t>
      </w:r>
      <w:r w:rsidRPr="002E77EA">
        <w:rPr>
          <w:i/>
          <w:color w:val="1C1D1E"/>
          <w:szCs w:val="24"/>
        </w:rPr>
        <w:t xml:space="preserve">P. </w:t>
      </w:r>
      <w:proofErr w:type="spellStart"/>
      <w:r w:rsidRPr="002E77EA">
        <w:rPr>
          <w:i/>
          <w:color w:val="1C1D1E"/>
          <w:szCs w:val="24"/>
        </w:rPr>
        <w:t>tricornutum</w:t>
      </w:r>
      <w:proofErr w:type="spellEnd"/>
      <w:r>
        <w:rPr>
          <w:color w:val="1C1D1E"/>
          <w:szCs w:val="24"/>
        </w:rPr>
        <w:t xml:space="preserve"> cells expressing the V5-tagged </w:t>
      </w:r>
      <w:proofErr w:type="spellStart"/>
      <w:r w:rsidR="00515676">
        <w:rPr>
          <w:color w:val="1C1D1E"/>
          <w:szCs w:val="24"/>
        </w:rPr>
        <w:t>GnT</w:t>
      </w:r>
      <w:proofErr w:type="spellEnd"/>
      <w:r w:rsidR="00515676">
        <w:rPr>
          <w:color w:val="1C1D1E"/>
          <w:szCs w:val="24"/>
        </w:rPr>
        <w:t xml:space="preserve"> I </w:t>
      </w:r>
      <w:r>
        <w:rPr>
          <w:color w:val="1C1D1E"/>
          <w:szCs w:val="24"/>
        </w:rPr>
        <w:t xml:space="preserve">(A) and V5-tagged </w:t>
      </w:r>
      <w:r w:rsidR="00515676">
        <w:rPr>
          <w:color w:val="1C1D1E"/>
          <w:szCs w:val="24"/>
        </w:rPr>
        <w:t>FuT54599</w:t>
      </w:r>
      <w:r>
        <w:rPr>
          <w:color w:val="1C1D1E"/>
          <w:szCs w:val="24"/>
        </w:rPr>
        <w:t xml:space="preserve"> (B) which were embedded in LRW resin. Views showing a Golgi apparatus of </w:t>
      </w:r>
      <w:r w:rsidRPr="00154A1B">
        <w:rPr>
          <w:i/>
          <w:color w:val="1C1D1E"/>
          <w:szCs w:val="24"/>
        </w:rPr>
        <w:t xml:space="preserve">P. </w:t>
      </w:r>
      <w:proofErr w:type="spellStart"/>
      <w:r w:rsidRPr="00154A1B">
        <w:rPr>
          <w:i/>
          <w:color w:val="1C1D1E"/>
          <w:szCs w:val="24"/>
        </w:rPr>
        <w:t>tricornutum</w:t>
      </w:r>
      <w:proofErr w:type="spellEnd"/>
      <w:r>
        <w:rPr>
          <w:color w:val="1C1D1E"/>
          <w:szCs w:val="24"/>
        </w:rPr>
        <w:t xml:space="preserve"> oriented as previously described for algae cells in </w:t>
      </w:r>
      <w:r w:rsidR="009128C8">
        <w:rPr>
          <w:color w:val="1C1D1E"/>
          <w:szCs w:val="24"/>
        </w:rPr>
        <w:t>(</w:t>
      </w:r>
      <w:r>
        <w:rPr>
          <w:color w:val="1C1D1E"/>
          <w:szCs w:val="24"/>
        </w:rPr>
        <w:t xml:space="preserve">Donohoe et al., 2007; Donohoe et al., 2013) </w:t>
      </w:r>
      <w:r w:rsidRPr="007449B4">
        <w:rPr>
          <w:szCs w:val="24"/>
        </w:rPr>
        <w:t xml:space="preserve">after </w:t>
      </w:r>
      <w:proofErr w:type="spellStart"/>
      <w:r>
        <w:rPr>
          <w:color w:val="1C1D1E"/>
          <w:szCs w:val="24"/>
        </w:rPr>
        <w:t>immunolabelling</w:t>
      </w:r>
      <w:proofErr w:type="spellEnd"/>
      <w:r>
        <w:rPr>
          <w:color w:val="1C1D1E"/>
          <w:szCs w:val="24"/>
        </w:rPr>
        <w:t xml:space="preserve"> with the</w:t>
      </w:r>
      <w:r w:rsidRPr="007449B4">
        <w:rPr>
          <w:color w:val="1C1D1E"/>
          <w:szCs w:val="24"/>
        </w:rPr>
        <w:t xml:space="preserve"> secondary antibody coupled to </w:t>
      </w:r>
      <w:r>
        <w:rPr>
          <w:color w:val="1C1D1E"/>
          <w:szCs w:val="24"/>
        </w:rPr>
        <w:t xml:space="preserve">10 nm </w:t>
      </w:r>
      <w:r w:rsidRPr="007449B4">
        <w:rPr>
          <w:color w:val="1C1D1E"/>
          <w:szCs w:val="24"/>
        </w:rPr>
        <w:t xml:space="preserve">gold </w:t>
      </w:r>
      <w:r>
        <w:rPr>
          <w:color w:val="1C1D1E"/>
          <w:szCs w:val="24"/>
        </w:rPr>
        <w:t xml:space="preserve">beads (dilution 1/20) and then </w:t>
      </w:r>
      <w:r w:rsidRPr="00154A1B">
        <w:rPr>
          <w:szCs w:val="24"/>
        </w:rPr>
        <w:t>contrasted with uran</w:t>
      </w:r>
      <w:r>
        <w:rPr>
          <w:szCs w:val="24"/>
        </w:rPr>
        <w:t>yl acetate and lead citrate</w:t>
      </w:r>
      <w:r w:rsidRPr="007449B4">
        <w:rPr>
          <w:color w:val="1C1D1E"/>
          <w:szCs w:val="24"/>
        </w:rPr>
        <w:t xml:space="preserve">. </w:t>
      </w:r>
      <w:r w:rsidR="009128C8">
        <w:rPr>
          <w:szCs w:val="24"/>
        </w:rPr>
        <w:t>N: nucleus; G: Golgi apparatus with the Cis and Medial/trans cisternae</w:t>
      </w:r>
      <w:r w:rsidRPr="007449B4">
        <w:rPr>
          <w:szCs w:val="24"/>
        </w:rPr>
        <w:t xml:space="preserve">; </w:t>
      </w:r>
      <w:r>
        <w:rPr>
          <w:szCs w:val="24"/>
        </w:rPr>
        <w:t xml:space="preserve">p: </w:t>
      </w:r>
      <w:proofErr w:type="spellStart"/>
      <w:r>
        <w:rPr>
          <w:szCs w:val="24"/>
        </w:rPr>
        <w:t>pyrenoid</w:t>
      </w:r>
      <w:proofErr w:type="spellEnd"/>
      <w:r>
        <w:rPr>
          <w:szCs w:val="24"/>
        </w:rPr>
        <w:t xml:space="preserve">; </w:t>
      </w:r>
      <w:r w:rsidRPr="007449B4">
        <w:rPr>
          <w:szCs w:val="24"/>
        </w:rPr>
        <w:t>C: chloropl</w:t>
      </w:r>
      <w:r w:rsidR="009128C8">
        <w:rPr>
          <w:szCs w:val="24"/>
        </w:rPr>
        <w:t>ast</w:t>
      </w:r>
      <w:r w:rsidRPr="007449B4">
        <w:rPr>
          <w:szCs w:val="24"/>
        </w:rPr>
        <w:t>. Scale bar: 0</w:t>
      </w:r>
      <w:r>
        <w:rPr>
          <w:szCs w:val="24"/>
        </w:rPr>
        <w:t>.</w:t>
      </w:r>
      <w:r w:rsidRPr="007449B4">
        <w:rPr>
          <w:szCs w:val="24"/>
        </w:rPr>
        <w:t>5</w:t>
      </w:r>
      <w:r>
        <w:rPr>
          <w:szCs w:val="24"/>
        </w:rPr>
        <w:t xml:space="preserve"> </w:t>
      </w:r>
      <w:r w:rsidRPr="007449B4">
        <w:rPr>
          <w:szCs w:val="24"/>
        </w:rPr>
        <w:t>µm</w:t>
      </w:r>
      <w:r>
        <w:rPr>
          <w:szCs w:val="24"/>
        </w:rPr>
        <w:t xml:space="preserve"> and 1 </w:t>
      </w:r>
      <w:r w:rsidRPr="007449B4">
        <w:rPr>
          <w:szCs w:val="24"/>
        </w:rPr>
        <w:t>µm</w:t>
      </w:r>
      <w:r>
        <w:rPr>
          <w:szCs w:val="24"/>
        </w:rPr>
        <w:t xml:space="preserve"> respectively.</w:t>
      </w:r>
    </w:p>
    <w:p w14:paraId="16135BED" w14:textId="77777777" w:rsidR="00131FA4" w:rsidRDefault="00131FA4" w:rsidP="00131FA4">
      <w:pPr>
        <w:pStyle w:val="Commentaire"/>
        <w:spacing w:after="0"/>
        <w:jc w:val="both"/>
        <w:rPr>
          <w:b/>
          <w:i/>
          <w:szCs w:val="24"/>
        </w:rPr>
      </w:pPr>
    </w:p>
    <w:p w14:paraId="7FBA4D77" w14:textId="77777777" w:rsidR="00131FA4" w:rsidRDefault="00131FA4" w:rsidP="00131FA4">
      <w:pPr>
        <w:pStyle w:val="Commentaire"/>
        <w:spacing w:after="0"/>
        <w:jc w:val="both"/>
        <w:rPr>
          <w:b/>
          <w:i/>
          <w:szCs w:val="24"/>
        </w:rPr>
      </w:pPr>
    </w:p>
    <w:p w14:paraId="293ABB2E" w14:textId="77777777" w:rsidR="00131FA4" w:rsidRDefault="00131FA4" w:rsidP="00131FA4">
      <w:pPr>
        <w:pStyle w:val="Commentaire"/>
        <w:spacing w:after="0"/>
        <w:jc w:val="both"/>
        <w:rPr>
          <w:b/>
          <w:i/>
          <w:szCs w:val="24"/>
        </w:rPr>
      </w:pPr>
    </w:p>
    <w:p w14:paraId="7B65BC41" w14:textId="6C46EB5A" w:rsidR="00DE23E8" w:rsidRPr="001549D3" w:rsidRDefault="002B2C0E" w:rsidP="00131FA4">
      <w:pPr>
        <w:pStyle w:val="Commentaire"/>
        <w:spacing w:after="0"/>
        <w:jc w:val="both"/>
      </w:pPr>
      <w:r w:rsidRPr="001549D3">
        <w:rPr>
          <w:b/>
          <w:noProof/>
          <w:lang w:val="fr-FR" w:eastAsia="fr-FR"/>
        </w:rPr>
        <w:drawing>
          <wp:inline distT="0" distB="0" distL="0" distR="0" wp14:anchorId="5ECAFFF3" wp14:editId="5A0939CA">
            <wp:extent cx="3392431" cy="1219750"/>
            <wp:effectExtent l="0" t="0" r="0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39" cy="14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3F73A" w14:textId="77777777" w:rsidR="00063345" w:rsidRDefault="00063345" w:rsidP="00117666">
      <w:pPr>
        <w:spacing w:after="0"/>
      </w:pPr>
      <w:r>
        <w:separator/>
      </w:r>
    </w:p>
  </w:endnote>
  <w:endnote w:type="continuationSeparator" w:id="0">
    <w:p w14:paraId="57567C72" w14:textId="77777777" w:rsidR="00063345" w:rsidRDefault="0006334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029D4EF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7328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029D4EF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7328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C6C3E4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B788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4C6C3E4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B7885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D969A0" w14:textId="77777777" w:rsidR="00063345" w:rsidRDefault="00063345" w:rsidP="00117666">
      <w:pPr>
        <w:spacing w:after="0"/>
      </w:pPr>
      <w:r>
        <w:separator/>
      </w:r>
    </w:p>
  </w:footnote>
  <w:footnote w:type="continuationSeparator" w:id="0">
    <w:p w14:paraId="340F3C17" w14:textId="77777777" w:rsidR="00063345" w:rsidRDefault="0006334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21AD4"/>
    <w:rsid w:val="00034304"/>
    <w:rsid w:val="00035434"/>
    <w:rsid w:val="00052A14"/>
    <w:rsid w:val="000628AE"/>
    <w:rsid w:val="00063345"/>
    <w:rsid w:val="00077D53"/>
    <w:rsid w:val="000C7C55"/>
    <w:rsid w:val="00105FD9"/>
    <w:rsid w:val="00117666"/>
    <w:rsid w:val="00131FA4"/>
    <w:rsid w:val="001549D3"/>
    <w:rsid w:val="00160065"/>
    <w:rsid w:val="00177D84"/>
    <w:rsid w:val="00247F2A"/>
    <w:rsid w:val="00267D18"/>
    <w:rsid w:val="00271302"/>
    <w:rsid w:val="00274347"/>
    <w:rsid w:val="002868E2"/>
    <w:rsid w:val="002869C3"/>
    <w:rsid w:val="002936E4"/>
    <w:rsid w:val="0029410D"/>
    <w:rsid w:val="002B2C0E"/>
    <w:rsid w:val="002B4A57"/>
    <w:rsid w:val="002C74CA"/>
    <w:rsid w:val="003123F4"/>
    <w:rsid w:val="00327E01"/>
    <w:rsid w:val="003544FB"/>
    <w:rsid w:val="003A40EF"/>
    <w:rsid w:val="003D2F2D"/>
    <w:rsid w:val="00401590"/>
    <w:rsid w:val="00447801"/>
    <w:rsid w:val="00452E9C"/>
    <w:rsid w:val="004735C8"/>
    <w:rsid w:val="004911E2"/>
    <w:rsid w:val="004947A6"/>
    <w:rsid w:val="004961FF"/>
    <w:rsid w:val="00515676"/>
    <w:rsid w:val="00517A89"/>
    <w:rsid w:val="005250F2"/>
    <w:rsid w:val="00593EEA"/>
    <w:rsid w:val="005A5EEE"/>
    <w:rsid w:val="006110F8"/>
    <w:rsid w:val="006375C7"/>
    <w:rsid w:val="00654E8F"/>
    <w:rsid w:val="00660D05"/>
    <w:rsid w:val="006820B1"/>
    <w:rsid w:val="00690C69"/>
    <w:rsid w:val="006B5BF9"/>
    <w:rsid w:val="006B7D14"/>
    <w:rsid w:val="00701727"/>
    <w:rsid w:val="0070566C"/>
    <w:rsid w:val="00714724"/>
    <w:rsid w:val="00714C50"/>
    <w:rsid w:val="00725A7D"/>
    <w:rsid w:val="007501BE"/>
    <w:rsid w:val="00790BB3"/>
    <w:rsid w:val="007B4B85"/>
    <w:rsid w:val="007C206C"/>
    <w:rsid w:val="00807FCB"/>
    <w:rsid w:val="00817DD6"/>
    <w:rsid w:val="0082107F"/>
    <w:rsid w:val="0083759F"/>
    <w:rsid w:val="0085543D"/>
    <w:rsid w:val="00885156"/>
    <w:rsid w:val="00891CF4"/>
    <w:rsid w:val="009128C8"/>
    <w:rsid w:val="009151AA"/>
    <w:rsid w:val="0093429D"/>
    <w:rsid w:val="00943573"/>
    <w:rsid w:val="00943786"/>
    <w:rsid w:val="00964134"/>
    <w:rsid w:val="00970F7D"/>
    <w:rsid w:val="00994A3D"/>
    <w:rsid w:val="009B2300"/>
    <w:rsid w:val="009C2B12"/>
    <w:rsid w:val="00A07E34"/>
    <w:rsid w:val="00A174D9"/>
    <w:rsid w:val="00A7328B"/>
    <w:rsid w:val="00A77196"/>
    <w:rsid w:val="00AA4D24"/>
    <w:rsid w:val="00AB6715"/>
    <w:rsid w:val="00B1671E"/>
    <w:rsid w:val="00B25EB8"/>
    <w:rsid w:val="00B37F4D"/>
    <w:rsid w:val="00B50536"/>
    <w:rsid w:val="00B61F4F"/>
    <w:rsid w:val="00BB16F7"/>
    <w:rsid w:val="00BC6C82"/>
    <w:rsid w:val="00C52A7B"/>
    <w:rsid w:val="00C56BAF"/>
    <w:rsid w:val="00C679AA"/>
    <w:rsid w:val="00C75972"/>
    <w:rsid w:val="00CB7885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87F0B"/>
    <w:rsid w:val="00EA3D3C"/>
    <w:rsid w:val="00EC090A"/>
    <w:rsid w:val="00ED20B5"/>
    <w:rsid w:val="00F03FB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phobius.sbc.su.s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bs.dtu.dk/services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8824C4C-1A5F-4383-B03E-E19B01F56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66</TotalTime>
  <Pages>3</Pages>
  <Words>415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MURIEL BARDOR (Personnel)</cp:lastModifiedBy>
  <cp:revision>4</cp:revision>
  <cp:lastPrinted>2018-11-28T15:32:00Z</cp:lastPrinted>
  <dcterms:created xsi:type="dcterms:W3CDTF">2019-04-11T19:56:00Z</dcterms:created>
  <dcterms:modified xsi:type="dcterms:W3CDTF">2019-04-11T21:10:00Z</dcterms:modified>
</cp:coreProperties>
</file>