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244B89" w:rsidRDefault="00654E8F" w:rsidP="0001436A">
      <w:pPr>
        <w:pStyle w:val="SupplementaryMaterial"/>
        <w:rPr>
          <w:b w:val="0"/>
        </w:rPr>
      </w:pPr>
      <w:r w:rsidRPr="00244B89">
        <w:t>Supplementary Material</w:t>
      </w:r>
    </w:p>
    <w:p w14:paraId="09571C44" w14:textId="4AC3DB7A" w:rsidR="00082F06" w:rsidRPr="00244B89" w:rsidRDefault="00082F06" w:rsidP="00082F06">
      <w:pPr>
        <w:pStyle w:val="AuthorList"/>
        <w:jc w:val="center"/>
        <w:rPr>
          <w:sz w:val="32"/>
          <w:szCs w:val="32"/>
        </w:rPr>
      </w:pPr>
      <w:r w:rsidRPr="00244B89">
        <w:rPr>
          <w:sz w:val="32"/>
          <w:szCs w:val="32"/>
        </w:rPr>
        <w:t xml:space="preserve">Synergistic cytotoxicity of methyl 4-hydroxycinnamate and carnosic acid to acute myeloid leukemia cells </w:t>
      </w:r>
      <w:r w:rsidRPr="00244B89">
        <w:rPr>
          <w:i/>
          <w:iCs/>
          <w:sz w:val="32"/>
          <w:szCs w:val="32"/>
        </w:rPr>
        <w:t>via</w:t>
      </w:r>
      <w:r w:rsidRPr="00244B89">
        <w:rPr>
          <w:sz w:val="32"/>
          <w:szCs w:val="32"/>
        </w:rPr>
        <w:t xml:space="preserve"> calcium-dependent apoptosis induction</w:t>
      </w:r>
    </w:p>
    <w:p w14:paraId="3EEF4C44" w14:textId="77777777" w:rsidR="00082F06" w:rsidRPr="00244B89" w:rsidRDefault="00082F06" w:rsidP="00082F06">
      <w:pPr>
        <w:pStyle w:val="AuthorList"/>
      </w:pPr>
      <w:r w:rsidRPr="00244B89">
        <w:t>Aviram Trachtenberg</w:t>
      </w:r>
      <w:r w:rsidRPr="00244B89">
        <w:rPr>
          <w:vertAlign w:val="superscript"/>
        </w:rPr>
        <w:t>1*</w:t>
      </w:r>
      <w:r w:rsidRPr="00244B89">
        <w:t>, Suchismita Muduli</w:t>
      </w:r>
      <w:r w:rsidRPr="00244B89">
        <w:rPr>
          <w:vertAlign w:val="superscript"/>
        </w:rPr>
        <w:t>1</w:t>
      </w:r>
      <w:r w:rsidRPr="00244B89">
        <w:t>, Katarzyna Sidoryk</w:t>
      </w:r>
      <w:r w:rsidRPr="00244B89">
        <w:rPr>
          <w:vertAlign w:val="superscript"/>
        </w:rPr>
        <w:t>2</w:t>
      </w:r>
      <w:r w:rsidRPr="00244B89">
        <w:t>, Marcin Cybulski</w:t>
      </w:r>
      <w:r w:rsidRPr="00244B89">
        <w:rPr>
          <w:vertAlign w:val="superscript"/>
        </w:rPr>
        <w:t>2</w:t>
      </w:r>
      <w:r w:rsidRPr="00244B89">
        <w:t>, Michael Danilenko</w:t>
      </w:r>
      <w:r w:rsidRPr="00244B89">
        <w:rPr>
          <w:vertAlign w:val="superscript"/>
        </w:rPr>
        <w:t>1</w:t>
      </w:r>
      <w:r w:rsidRPr="00244B89">
        <w:t xml:space="preserve"> </w:t>
      </w:r>
    </w:p>
    <w:p w14:paraId="7C1DD0C1" w14:textId="77777777" w:rsidR="00937A60" w:rsidRPr="00244B89" w:rsidRDefault="00937A60" w:rsidP="00937A60">
      <w:pPr>
        <w:spacing w:before="240" w:after="0" w:line="276" w:lineRule="auto"/>
        <w:rPr>
          <w:rFonts w:cs="Times New Roman"/>
          <w:b/>
          <w:szCs w:val="24"/>
        </w:rPr>
      </w:pPr>
      <w:r w:rsidRPr="00244B89">
        <w:rPr>
          <w:rFonts w:cs="Times New Roman"/>
          <w:szCs w:val="24"/>
          <w:vertAlign w:val="superscript"/>
        </w:rPr>
        <w:t>1</w:t>
      </w:r>
      <w:r w:rsidRPr="00244B89">
        <w:rPr>
          <w:rFonts w:cs="Times New Roman"/>
          <w:szCs w:val="24"/>
        </w:rPr>
        <w:t xml:space="preserve">Ben-Gurion University of the Negev, Department of Clinical Biochemistry and Pharmacology, Beer Sheva 84105, </w:t>
      </w:r>
      <w:r w:rsidRPr="00244B89">
        <w:rPr>
          <w:rFonts w:cs="Times New Roman"/>
          <w:bCs/>
          <w:szCs w:val="24"/>
        </w:rPr>
        <w:t>Israel</w:t>
      </w:r>
    </w:p>
    <w:p w14:paraId="1EDE7AF8" w14:textId="77777777" w:rsidR="00937A60" w:rsidRPr="00244B89" w:rsidRDefault="00937A60" w:rsidP="00937A60">
      <w:pPr>
        <w:pStyle w:val="Default"/>
        <w:spacing w:line="276" w:lineRule="auto"/>
        <w:rPr>
          <w:b/>
          <w:color w:val="auto"/>
        </w:rPr>
      </w:pPr>
      <w:r w:rsidRPr="00244B89">
        <w:rPr>
          <w:color w:val="auto"/>
          <w:vertAlign w:val="superscript"/>
        </w:rPr>
        <w:t>2</w:t>
      </w:r>
      <w:r w:rsidRPr="00244B89">
        <w:rPr>
          <w:bCs/>
          <w:color w:val="auto"/>
        </w:rPr>
        <w:t>Chemistry Department, Pharmaceutical Research Institute, Warsaw</w:t>
      </w:r>
      <w:r w:rsidRPr="00244B89">
        <w:rPr>
          <w:color w:val="auto"/>
        </w:rPr>
        <w:t xml:space="preserve"> 01-793</w:t>
      </w:r>
      <w:r w:rsidRPr="00244B89">
        <w:rPr>
          <w:bCs/>
          <w:color w:val="auto"/>
        </w:rPr>
        <w:t>, Poland</w:t>
      </w:r>
      <w:r w:rsidRPr="00244B89">
        <w:rPr>
          <w:b/>
          <w:i/>
          <w:iCs/>
          <w:color w:val="auto"/>
        </w:rPr>
        <w:t xml:space="preserve"> </w:t>
      </w:r>
    </w:p>
    <w:p w14:paraId="53008E2C" w14:textId="015D6262" w:rsidR="00B4272A" w:rsidRPr="00244B89" w:rsidRDefault="00EC03B8" w:rsidP="00EC03B8">
      <w:pPr>
        <w:spacing w:before="240" w:after="0"/>
        <w:rPr>
          <w:rFonts w:cs="Times New Roman"/>
          <w:szCs w:val="24"/>
        </w:rPr>
      </w:pPr>
      <w:r w:rsidRPr="00244B89">
        <w:rPr>
          <w:rFonts w:cs="Times New Roman"/>
          <w:b/>
          <w:szCs w:val="24"/>
        </w:rPr>
        <w:t xml:space="preserve">* Correspondence: </w:t>
      </w:r>
      <w:r w:rsidRPr="00244B89">
        <w:rPr>
          <w:rFonts w:cs="Times New Roman"/>
          <w:szCs w:val="24"/>
        </w:rPr>
        <w:t>Aviram Trachtenberg, Department of Clinical Biochemistry and Pharmacology, Faculty of Health Sciences, Ben-Gurion University of the Negev, P.O. Box 653, 84105 Beer Sheva, Israel. E-mail: aviramtr@post.bgu.ac.il</w:t>
      </w:r>
    </w:p>
    <w:p w14:paraId="67ACB83B" w14:textId="77777777" w:rsidR="00EC397C" w:rsidRPr="00244B89" w:rsidRDefault="00EC397C" w:rsidP="009677E3">
      <w:pPr>
        <w:pStyle w:val="Heading2"/>
        <w:numPr>
          <w:ilvl w:val="0"/>
          <w:numId w:val="0"/>
        </w:numPr>
      </w:pPr>
    </w:p>
    <w:p w14:paraId="1BF589B0" w14:textId="3CD2361E" w:rsidR="009677E3" w:rsidRPr="00244B89" w:rsidRDefault="009677E3" w:rsidP="009677E3">
      <w:pPr>
        <w:pStyle w:val="Heading2"/>
        <w:numPr>
          <w:ilvl w:val="0"/>
          <w:numId w:val="0"/>
        </w:numPr>
        <w:rPr>
          <w:sz w:val="28"/>
          <w:szCs w:val="28"/>
          <w:lang w:bidi="he-IL"/>
        </w:rPr>
      </w:pPr>
      <w:r w:rsidRPr="00244B89">
        <w:rPr>
          <w:sz w:val="28"/>
          <w:szCs w:val="28"/>
        </w:rPr>
        <w:t xml:space="preserve">Supplemental </w:t>
      </w:r>
      <w:r w:rsidR="001B2C09" w:rsidRPr="00244B89">
        <w:rPr>
          <w:sz w:val="28"/>
          <w:szCs w:val="28"/>
        </w:rPr>
        <w:t xml:space="preserve">Materials and </w:t>
      </w:r>
      <w:r w:rsidRPr="00244B89">
        <w:rPr>
          <w:sz w:val="28"/>
          <w:szCs w:val="28"/>
        </w:rPr>
        <w:t>Methods</w:t>
      </w:r>
    </w:p>
    <w:p w14:paraId="0542403A" w14:textId="0E34AE12" w:rsidR="00E5090D" w:rsidRPr="00244B89" w:rsidRDefault="00E5090D" w:rsidP="00E5090D">
      <w:pPr>
        <w:rPr>
          <w:b/>
          <w:bCs/>
          <w:highlight w:val="yellow"/>
          <w:lang w:bidi="he-IL"/>
        </w:rPr>
      </w:pPr>
      <w:r w:rsidRPr="00244B89">
        <w:rPr>
          <w:b/>
          <w:bCs/>
          <w:lang w:bidi="he-IL"/>
        </w:rPr>
        <w:t>Cell culture</w:t>
      </w:r>
    </w:p>
    <w:p w14:paraId="1B410C61" w14:textId="22A76430" w:rsidR="00B17125" w:rsidRPr="00244B89" w:rsidRDefault="007C0B73" w:rsidP="007C0B73">
      <w:pPr>
        <w:rPr>
          <w:rFonts w:cs="Times New Roman"/>
          <w:bCs/>
          <w:szCs w:val="24"/>
        </w:rPr>
      </w:pPr>
      <w:r w:rsidRPr="00244B89">
        <w:rPr>
          <w:lang w:bidi="he-IL"/>
        </w:rPr>
        <w:t>Human U</w:t>
      </w:r>
      <w:r w:rsidR="001B2C09" w:rsidRPr="00244B89">
        <w:rPr>
          <w:lang w:bidi="he-IL"/>
        </w:rPr>
        <w:t xml:space="preserve">937 </w:t>
      </w:r>
      <w:proofErr w:type="spellStart"/>
      <w:r w:rsidRPr="00244B89">
        <w:rPr>
          <w:lang w:bidi="he-IL"/>
        </w:rPr>
        <w:t>myelomonocytic</w:t>
      </w:r>
      <w:proofErr w:type="spellEnd"/>
      <w:r w:rsidRPr="00244B89">
        <w:rPr>
          <w:lang w:bidi="he-IL"/>
        </w:rPr>
        <w:t xml:space="preserve"> leukemia cells </w:t>
      </w:r>
      <w:r w:rsidR="001B2C09" w:rsidRPr="00244B89">
        <w:rPr>
          <w:lang w:bidi="he-IL"/>
        </w:rPr>
        <w:t>(CRL-1593.2)</w:t>
      </w:r>
      <w:r w:rsidR="001B2C09" w:rsidRPr="00244B89">
        <w:rPr>
          <w:rFonts w:cs="Times New Roman"/>
          <w:bCs/>
          <w:szCs w:val="24"/>
        </w:rPr>
        <w:t xml:space="preserve"> </w:t>
      </w:r>
      <w:r w:rsidR="00E5090D" w:rsidRPr="00244B89">
        <w:rPr>
          <w:rFonts w:cs="Times New Roman"/>
          <w:bCs/>
          <w:szCs w:val="24"/>
        </w:rPr>
        <w:t>were purchased from American Type Cul</w:t>
      </w:r>
      <w:r w:rsidRPr="00244B89">
        <w:rPr>
          <w:rFonts w:cs="Times New Roman"/>
          <w:bCs/>
          <w:szCs w:val="24"/>
        </w:rPr>
        <w:t>ture Collection (Rockville, MD)</w:t>
      </w:r>
      <w:r w:rsidR="00B17125" w:rsidRPr="00244B89">
        <w:rPr>
          <w:rFonts w:cs="Times New Roman"/>
          <w:bCs/>
          <w:szCs w:val="24"/>
        </w:rPr>
        <w:t>.</w:t>
      </w:r>
      <w:r w:rsidR="00B17125" w:rsidRPr="00244B89">
        <w:rPr>
          <w:sz w:val="20"/>
          <w:szCs w:val="20"/>
        </w:rPr>
        <w:t xml:space="preserve"> </w:t>
      </w:r>
      <w:r w:rsidR="00B17125" w:rsidRPr="00244B89">
        <w:rPr>
          <w:rFonts w:cs="Times New Roman"/>
          <w:bCs/>
          <w:szCs w:val="24"/>
        </w:rPr>
        <w:t>Samples of peripheral blood were collected with informed consent from healthy adult donors upon the approval by the institutional Helsinki committee (</w:t>
      </w:r>
      <w:proofErr w:type="spellStart"/>
      <w:r w:rsidR="00B17125" w:rsidRPr="00244B89">
        <w:rPr>
          <w:rFonts w:cs="Times New Roman"/>
          <w:bCs/>
          <w:szCs w:val="24"/>
        </w:rPr>
        <w:t>Soroka</w:t>
      </w:r>
      <w:proofErr w:type="spellEnd"/>
      <w:r w:rsidR="00B17125" w:rsidRPr="00244B89">
        <w:rPr>
          <w:rFonts w:cs="Times New Roman"/>
          <w:bCs/>
          <w:szCs w:val="24"/>
        </w:rPr>
        <w:t xml:space="preserve"> University Medical Center, Beer Sheva, Israel). </w:t>
      </w:r>
      <w:r w:rsidRPr="00244B89">
        <w:rPr>
          <w:rFonts w:cs="Times New Roman"/>
          <w:bCs/>
          <w:szCs w:val="24"/>
        </w:rPr>
        <w:t>Peripheral blood m</w:t>
      </w:r>
      <w:r w:rsidR="00B17125" w:rsidRPr="00244B89">
        <w:rPr>
          <w:rFonts w:cs="Times New Roman"/>
          <w:bCs/>
          <w:szCs w:val="24"/>
        </w:rPr>
        <w:t xml:space="preserve">ononuclear blood cells </w:t>
      </w:r>
      <w:r w:rsidRPr="00244B89">
        <w:rPr>
          <w:rFonts w:cs="Times New Roman"/>
          <w:bCs/>
          <w:szCs w:val="24"/>
        </w:rPr>
        <w:t>(PBMC</w:t>
      </w:r>
      <w:r w:rsidR="005F62D8" w:rsidRPr="00244B89">
        <w:rPr>
          <w:rFonts w:cs="Times New Roman"/>
          <w:bCs/>
          <w:szCs w:val="24"/>
        </w:rPr>
        <w:t>s</w:t>
      </w:r>
      <w:r w:rsidRPr="00244B89">
        <w:rPr>
          <w:rFonts w:cs="Times New Roman"/>
          <w:bCs/>
          <w:szCs w:val="24"/>
        </w:rPr>
        <w:t xml:space="preserve">) </w:t>
      </w:r>
      <w:r w:rsidR="00B17125" w:rsidRPr="00244B89">
        <w:rPr>
          <w:rFonts w:cs="Times New Roman"/>
          <w:bCs/>
          <w:szCs w:val="24"/>
        </w:rPr>
        <w:t>were isolated as described previously</w:t>
      </w:r>
      <w:r w:rsidR="005C26CD" w:rsidRPr="00244B89">
        <w:t xml:space="preserve"> </w:t>
      </w:r>
      <w:r w:rsidR="005C26CD" w:rsidRPr="00244B89">
        <w:rPr>
          <w:rFonts w:cs="Times New Roman"/>
          <w:bCs/>
          <w:szCs w:val="24"/>
        </w:rPr>
        <w:fldChar w:fldCharType="begin"/>
      </w:r>
      <w:r w:rsidR="005C26CD" w:rsidRPr="00244B89">
        <w:rPr>
          <w:rFonts w:cs="Times New Roman"/>
          <w:bCs/>
          <w:szCs w:val="24"/>
        </w:rPr>
        <w:instrText xml:space="preserve"> ADDIN EN.CITE &lt;EndNote&gt;&lt;Cite&gt;&lt;Author&gt;Pesakhov&lt;/Author&gt;&lt;Year&gt;2016&lt;/Year&gt;&lt;RecNum&gt;3736&lt;/RecNum&gt;&lt;DisplayText&gt;(Pesakhov et al., 2016)&lt;/DisplayText&gt;&lt;record&gt;&lt;rec-number&gt;3736&lt;/rec-number&gt;&lt;foreign-keys&gt;&lt;key app="EN" db-id="fpw9rrvxfevwe7ea50hxxwap22azprx92wzp"&gt;3736&lt;/key&gt;&lt;/foreign-keys&gt;&lt;ref-type name="Journal Article"&gt;17&lt;/ref-type&gt;&lt;contributors&gt;&lt;authors&gt;&lt;author&gt;Pesakhov, S.&lt;/author&gt;&lt;author&gt;Nachliely, M.&lt;/author&gt;&lt;author&gt;Barvish, Z.&lt;/author&gt;&lt;author&gt;Aqaqe, N.&lt;/author&gt;&lt;author&gt;Schwartzman, B.&lt;/author&gt;&lt;author&gt;Voronov, E.&lt;/author&gt;&lt;author&gt;Sharoni, Y,&lt;/author&gt;&lt;author&gt;Studzinski, G. P.&lt;/author&gt;&lt;author&gt;Fishman, D.&lt;/author&gt;&lt;author&gt;Danilenko, M. &lt;/author&gt;&lt;/authors&gt;&lt;/contributors&gt;&lt;titles&gt;&lt;title&gt;&lt;style face="normal" font="default" size="100%"&gt;Cancer-selective cytotoxic Ca&lt;/style&gt;&lt;style face="superscript" font="default" size="100%"&gt;2+&lt;/style&gt;&lt;style face="normal" font="default" size="100%"&gt; overload in acute myeloid leukemia cells and attenuation of disease progression in mice by synergistically acting polyphenols curcumin and carnosic acid&lt;/style&gt;&lt;/title&gt;&lt;secondary-title&gt;Oncotarget&lt;/secondary-title&gt;&lt;/titles&gt;&lt;periodical&gt;&lt;full-title&gt;Oncotarget&lt;/full-title&gt;&lt;abbr-1&gt;Oncotarget&lt;/abbr-1&gt;&lt;/periodical&gt;&lt;pages&gt;31847-61&lt;/pages&gt;&lt;volume&gt;7&lt;/volume&gt;&lt;dates&gt;&lt;year&gt;2016&lt;/year&gt;&lt;/dates&gt;&lt;urls&gt;&lt;/urls&gt;&lt;/record&gt;&lt;/Cite&gt;&lt;/EndNote&gt;</w:instrText>
      </w:r>
      <w:r w:rsidR="005C26CD" w:rsidRPr="00244B89">
        <w:rPr>
          <w:rFonts w:cs="Times New Roman"/>
          <w:bCs/>
          <w:szCs w:val="24"/>
        </w:rPr>
        <w:fldChar w:fldCharType="separate"/>
      </w:r>
      <w:r w:rsidR="005C26CD" w:rsidRPr="00244B89">
        <w:rPr>
          <w:rFonts w:cs="Times New Roman"/>
          <w:bCs/>
          <w:noProof/>
          <w:szCs w:val="24"/>
        </w:rPr>
        <w:t>(</w:t>
      </w:r>
      <w:hyperlink w:anchor="_ENREF_1" w:tooltip="Pesakhov, 2016 #3736" w:history="1">
        <w:r w:rsidR="005C26CD" w:rsidRPr="00244B89">
          <w:rPr>
            <w:rFonts w:cs="Times New Roman"/>
            <w:bCs/>
            <w:noProof/>
            <w:szCs w:val="24"/>
          </w:rPr>
          <w:t>Pesakhov et al., 2016</w:t>
        </w:r>
      </w:hyperlink>
      <w:r w:rsidR="005C26CD" w:rsidRPr="00244B89">
        <w:rPr>
          <w:rFonts w:cs="Times New Roman"/>
          <w:bCs/>
          <w:noProof/>
          <w:szCs w:val="24"/>
        </w:rPr>
        <w:t>)</w:t>
      </w:r>
      <w:r w:rsidR="005C26CD" w:rsidRPr="00244B89">
        <w:rPr>
          <w:rFonts w:cs="Times New Roman"/>
          <w:bCs/>
          <w:szCs w:val="24"/>
        </w:rPr>
        <w:fldChar w:fldCharType="end"/>
      </w:r>
      <w:r w:rsidR="00B17125" w:rsidRPr="00244B89">
        <w:rPr>
          <w:rFonts w:cs="Times New Roman"/>
          <w:bCs/>
          <w:szCs w:val="24"/>
        </w:rPr>
        <w:t xml:space="preserve"> using Histopaque-1077 gradient centrifugation.</w:t>
      </w:r>
      <w:r w:rsidRPr="00244B89">
        <w:rPr>
          <w:rFonts w:cs="Times New Roman"/>
          <w:bCs/>
          <w:szCs w:val="24"/>
        </w:rPr>
        <w:t xml:space="preserve"> </w:t>
      </w:r>
    </w:p>
    <w:p w14:paraId="160698B9" w14:textId="725DC54A" w:rsidR="00E5090D" w:rsidRPr="00244B89" w:rsidRDefault="006D2D08" w:rsidP="006D2D08">
      <w:pPr>
        <w:rPr>
          <w:b/>
          <w:bCs/>
          <w:rtl/>
          <w:lang w:bidi="he-IL"/>
        </w:rPr>
      </w:pPr>
      <w:r w:rsidRPr="00244B89">
        <w:rPr>
          <w:b/>
          <w:bCs/>
          <w:lang w:bidi="he-IL"/>
        </w:rPr>
        <w:t>Combination index analysis</w:t>
      </w:r>
    </w:p>
    <w:p w14:paraId="7693FE20" w14:textId="49E3C7B1" w:rsidR="00EC03B8" w:rsidRPr="00244B89" w:rsidRDefault="009677E3" w:rsidP="00BF0E40">
      <w:pPr>
        <w:pStyle w:val="Heading2"/>
        <w:numPr>
          <w:ilvl w:val="0"/>
          <w:numId w:val="0"/>
        </w:numPr>
        <w:rPr>
          <w:b w:val="0"/>
          <w:bCs/>
        </w:rPr>
      </w:pPr>
      <w:r w:rsidRPr="00244B89">
        <w:rPr>
          <w:b w:val="0"/>
          <w:bCs/>
        </w:rPr>
        <w:t xml:space="preserve">The interaction </w:t>
      </w:r>
      <w:r w:rsidR="007C0B73" w:rsidRPr="00244B89">
        <w:rPr>
          <w:b w:val="0"/>
          <w:bCs/>
        </w:rPr>
        <w:t>between</w:t>
      </w:r>
      <w:r w:rsidRPr="00244B89">
        <w:rPr>
          <w:b w:val="0"/>
          <w:bCs/>
        </w:rPr>
        <w:t xml:space="preserve"> </w:t>
      </w:r>
      <w:r w:rsidR="00054550" w:rsidRPr="00244B89">
        <w:rPr>
          <w:b w:val="0"/>
          <w:bCs/>
        </w:rPr>
        <w:t>MHC</w:t>
      </w:r>
      <w:r w:rsidRPr="00244B89">
        <w:rPr>
          <w:b w:val="0"/>
          <w:bCs/>
        </w:rPr>
        <w:t xml:space="preserve"> </w:t>
      </w:r>
      <w:r w:rsidR="007C0B73" w:rsidRPr="00244B89">
        <w:rPr>
          <w:b w:val="0"/>
          <w:bCs/>
        </w:rPr>
        <w:t>and</w:t>
      </w:r>
      <w:r w:rsidRPr="00244B89">
        <w:rPr>
          <w:b w:val="0"/>
          <w:bCs/>
        </w:rPr>
        <w:t xml:space="preserve"> CA </w:t>
      </w:r>
      <w:r w:rsidR="007C0B73" w:rsidRPr="00244B89">
        <w:rPr>
          <w:b w:val="0"/>
          <w:bCs/>
        </w:rPr>
        <w:t xml:space="preserve">in inducing cytotoxicity </w:t>
      </w:r>
      <w:r w:rsidRPr="00244B89">
        <w:rPr>
          <w:b w:val="0"/>
          <w:bCs/>
        </w:rPr>
        <w:t xml:space="preserve">was assessed by the combination index (CI) analysis using </w:t>
      </w:r>
      <w:proofErr w:type="spellStart"/>
      <w:r w:rsidRPr="00244B89">
        <w:rPr>
          <w:b w:val="0"/>
          <w:bCs/>
        </w:rPr>
        <w:t>C</w:t>
      </w:r>
      <w:r w:rsidR="00054550" w:rsidRPr="00244B89">
        <w:rPr>
          <w:b w:val="0"/>
          <w:bCs/>
        </w:rPr>
        <w:t>ompuS</w:t>
      </w:r>
      <w:r w:rsidRPr="00244B89">
        <w:rPr>
          <w:b w:val="0"/>
          <w:bCs/>
        </w:rPr>
        <w:t>yn</w:t>
      </w:r>
      <w:proofErr w:type="spellEnd"/>
      <w:r w:rsidRPr="00244B89">
        <w:rPr>
          <w:b w:val="0"/>
          <w:bCs/>
        </w:rPr>
        <w:t xml:space="preserve"> </w:t>
      </w:r>
      <w:r w:rsidR="00054550" w:rsidRPr="00244B89">
        <w:rPr>
          <w:b w:val="0"/>
          <w:bCs/>
        </w:rPr>
        <w:t xml:space="preserve">1.0 </w:t>
      </w:r>
      <w:r w:rsidRPr="00244B89">
        <w:rPr>
          <w:b w:val="0"/>
          <w:bCs/>
        </w:rPr>
        <w:t>software (</w:t>
      </w:r>
      <w:proofErr w:type="spellStart"/>
      <w:r w:rsidR="00054550" w:rsidRPr="00244B89">
        <w:rPr>
          <w:b w:val="0"/>
          <w:bCs/>
        </w:rPr>
        <w:t>ComboSyn</w:t>
      </w:r>
      <w:proofErr w:type="spellEnd"/>
      <w:r w:rsidR="00054550" w:rsidRPr="00244B89">
        <w:rPr>
          <w:b w:val="0"/>
          <w:bCs/>
        </w:rPr>
        <w:t xml:space="preserve">, Inc.). </w:t>
      </w:r>
      <w:r w:rsidRPr="00244B89">
        <w:rPr>
          <w:b w:val="0"/>
          <w:bCs/>
        </w:rPr>
        <w:t>The CI values were</w:t>
      </w:r>
      <w:r w:rsidR="00054550" w:rsidRPr="00244B89">
        <w:rPr>
          <w:b w:val="0"/>
          <w:bCs/>
        </w:rPr>
        <w:t xml:space="preserve"> </w:t>
      </w:r>
      <w:r w:rsidRPr="00244B89">
        <w:rPr>
          <w:b w:val="0"/>
          <w:bCs/>
        </w:rPr>
        <w:t xml:space="preserve">calculated </w:t>
      </w:r>
      <w:r w:rsidR="00054550" w:rsidRPr="00244B89">
        <w:rPr>
          <w:b w:val="0"/>
          <w:bCs/>
        </w:rPr>
        <w:t>based on</w:t>
      </w:r>
      <w:r w:rsidRPr="00244B89">
        <w:rPr>
          <w:b w:val="0"/>
          <w:bCs/>
        </w:rPr>
        <w:t xml:space="preserve"> the </w:t>
      </w:r>
      <w:r w:rsidR="007C0B73" w:rsidRPr="00244B89">
        <w:rPr>
          <w:b w:val="0"/>
          <w:bCs/>
        </w:rPr>
        <w:t>extent</w:t>
      </w:r>
      <w:r w:rsidRPr="00244B89">
        <w:rPr>
          <w:b w:val="0"/>
          <w:bCs/>
        </w:rPr>
        <w:t xml:space="preserve"> of </w:t>
      </w:r>
      <w:r w:rsidR="007C0B73" w:rsidRPr="00244B89">
        <w:rPr>
          <w:b w:val="0"/>
          <w:bCs/>
        </w:rPr>
        <w:t>reduction in viable cell numbers</w:t>
      </w:r>
      <w:r w:rsidRPr="00244B89">
        <w:rPr>
          <w:b w:val="0"/>
          <w:bCs/>
        </w:rPr>
        <w:t xml:space="preserve"> (fraction affected) by each agent</w:t>
      </w:r>
      <w:r w:rsidR="00054550" w:rsidRPr="00244B89">
        <w:rPr>
          <w:b w:val="0"/>
          <w:bCs/>
        </w:rPr>
        <w:t xml:space="preserve"> </w:t>
      </w:r>
      <w:r w:rsidRPr="00244B89">
        <w:rPr>
          <w:b w:val="0"/>
          <w:bCs/>
        </w:rPr>
        <w:t xml:space="preserve">individually and </w:t>
      </w:r>
      <w:r w:rsidR="007C0B73" w:rsidRPr="00244B89">
        <w:rPr>
          <w:b w:val="0"/>
          <w:bCs/>
        </w:rPr>
        <w:t xml:space="preserve">by the </w:t>
      </w:r>
      <w:r w:rsidRPr="00244B89">
        <w:rPr>
          <w:b w:val="0"/>
          <w:bCs/>
        </w:rPr>
        <w:t xml:space="preserve">combination at non-constant ratios. CI values of &lt;1, 1, and &gt;1 </w:t>
      </w:r>
      <w:r w:rsidR="00BF0E40">
        <w:rPr>
          <w:b w:val="0"/>
          <w:bCs/>
        </w:rPr>
        <w:t>represent</w:t>
      </w:r>
      <w:r w:rsidR="00BF0E40" w:rsidRPr="00244B89">
        <w:rPr>
          <w:b w:val="0"/>
          <w:bCs/>
        </w:rPr>
        <w:t xml:space="preserve"> </w:t>
      </w:r>
      <w:r w:rsidRPr="00244B89">
        <w:rPr>
          <w:b w:val="0"/>
          <w:bCs/>
        </w:rPr>
        <w:t>synergism, additivity and antagonism, respectively.</w:t>
      </w:r>
    </w:p>
    <w:p w14:paraId="2FCC92F7" w14:textId="3F5921BD" w:rsidR="007062D3" w:rsidRPr="00244B89" w:rsidRDefault="002D3546" w:rsidP="002D3546">
      <w:pPr>
        <w:rPr>
          <w:b/>
          <w:bCs/>
          <w:highlight w:val="yellow"/>
          <w:lang w:bidi="he-IL"/>
        </w:rPr>
      </w:pPr>
      <w:r w:rsidRPr="00244B89">
        <w:rPr>
          <w:b/>
          <w:bCs/>
          <w:lang w:bidi="he-IL"/>
        </w:rPr>
        <w:t xml:space="preserve">Assessment of U937 and PBMC cell viability </w:t>
      </w:r>
      <w:r w:rsidR="007C0B73" w:rsidRPr="00244B89">
        <w:rPr>
          <w:b/>
          <w:bCs/>
          <w:lang w:bidi="he-IL"/>
        </w:rPr>
        <w:t xml:space="preserve">by the </w:t>
      </w:r>
      <w:proofErr w:type="spellStart"/>
      <w:r w:rsidR="007C0B73" w:rsidRPr="00244B89">
        <w:rPr>
          <w:b/>
          <w:bCs/>
          <w:lang w:bidi="he-IL"/>
        </w:rPr>
        <w:t>IncuCyte</w:t>
      </w:r>
      <w:proofErr w:type="spellEnd"/>
      <w:r w:rsidR="007C0B73" w:rsidRPr="00244B89">
        <w:rPr>
          <w:b/>
          <w:bCs/>
          <w:lang w:bidi="he-IL"/>
        </w:rPr>
        <w:t xml:space="preserve"> cell-by-cell</w:t>
      </w:r>
      <w:r w:rsidR="007062D3" w:rsidRPr="00244B89">
        <w:rPr>
          <w:b/>
          <w:bCs/>
          <w:lang w:bidi="he-IL"/>
        </w:rPr>
        <w:t xml:space="preserve"> analysis</w:t>
      </w:r>
      <w:r w:rsidR="007C0B73" w:rsidRPr="00244B89">
        <w:rPr>
          <w:b/>
          <w:bCs/>
          <w:lang w:bidi="he-IL"/>
        </w:rPr>
        <w:t xml:space="preserve"> </w:t>
      </w:r>
    </w:p>
    <w:p w14:paraId="205F2574" w14:textId="3DD827C1" w:rsidR="005F62D8" w:rsidRPr="00244B89" w:rsidRDefault="002D3546" w:rsidP="002D3546">
      <w:pPr>
        <w:rPr>
          <w:lang w:bidi="he-IL"/>
        </w:rPr>
      </w:pPr>
      <w:r w:rsidRPr="00244B89">
        <w:rPr>
          <w:lang w:bidi="he-IL"/>
        </w:rPr>
        <w:t>Cell</w:t>
      </w:r>
      <w:r w:rsidR="007C0B73" w:rsidRPr="00244B89">
        <w:rPr>
          <w:lang w:bidi="he-IL"/>
        </w:rPr>
        <w:t xml:space="preserve"> viability was assessed by counting cells with a normal </w:t>
      </w:r>
      <w:r w:rsidR="002B03BC" w:rsidRPr="00244B89">
        <w:rPr>
          <w:lang w:bidi="he-IL"/>
        </w:rPr>
        <w:t>cellular area (</w:t>
      </w:r>
      <w:r w:rsidR="002B03BC" w:rsidRPr="00244B89">
        <w:rPr>
          <w:rFonts w:cs="Times New Roman"/>
          <w:lang w:bidi="he-IL"/>
        </w:rPr>
        <w:t>≥</w:t>
      </w:r>
      <w:r w:rsidR="002B03BC" w:rsidRPr="00244B89">
        <w:rPr>
          <w:lang w:bidi="he-IL"/>
        </w:rPr>
        <w:t xml:space="preserve"> </w:t>
      </w:r>
      <w:r w:rsidRPr="00244B89">
        <w:rPr>
          <w:lang w:bidi="he-IL"/>
        </w:rPr>
        <w:t xml:space="preserve">100 </w:t>
      </w:r>
      <w:r w:rsidRPr="00244B89">
        <w:rPr>
          <w:lang w:bidi="he-IL"/>
        </w:rPr>
        <w:sym w:font="Symbol" w:char="F06D"/>
      </w:r>
      <w:r w:rsidRPr="00244B89">
        <w:rPr>
          <w:lang w:bidi="he-IL"/>
        </w:rPr>
        <w:t>m</w:t>
      </w:r>
      <w:r w:rsidRPr="00244B89">
        <w:rPr>
          <w:vertAlign w:val="superscript"/>
          <w:lang w:bidi="he-IL"/>
        </w:rPr>
        <w:t>2</w:t>
      </w:r>
      <w:r w:rsidRPr="00244B89">
        <w:rPr>
          <w:lang w:bidi="he-IL"/>
        </w:rPr>
        <w:t xml:space="preserve"> for U937 cells; </w:t>
      </w:r>
      <w:r w:rsidRPr="00244B89">
        <w:rPr>
          <w:rFonts w:cs="Times New Roman"/>
          <w:lang w:bidi="he-IL"/>
        </w:rPr>
        <w:t>≥</w:t>
      </w:r>
      <w:r w:rsidRPr="00244B89">
        <w:rPr>
          <w:lang w:bidi="he-IL"/>
        </w:rPr>
        <w:t xml:space="preserve"> </w:t>
      </w:r>
      <w:r w:rsidR="002B03BC" w:rsidRPr="00244B89">
        <w:rPr>
          <w:lang w:bidi="he-IL"/>
        </w:rPr>
        <w:t xml:space="preserve">50 </w:t>
      </w:r>
      <w:r w:rsidR="002B03BC" w:rsidRPr="00244B89">
        <w:rPr>
          <w:lang w:bidi="he-IL"/>
        </w:rPr>
        <w:sym w:font="Symbol" w:char="F06D"/>
      </w:r>
      <w:r w:rsidR="002B03BC" w:rsidRPr="00244B89">
        <w:rPr>
          <w:lang w:bidi="he-IL"/>
        </w:rPr>
        <w:t>m</w:t>
      </w:r>
      <w:r w:rsidR="002B03BC" w:rsidRPr="00244B89">
        <w:rPr>
          <w:vertAlign w:val="superscript"/>
          <w:lang w:bidi="he-IL"/>
        </w:rPr>
        <w:t>2</w:t>
      </w:r>
      <w:r w:rsidRPr="00244B89">
        <w:rPr>
          <w:lang w:bidi="he-IL"/>
        </w:rPr>
        <w:t xml:space="preserve"> for PBMC</w:t>
      </w:r>
      <w:r w:rsidR="002B03BC" w:rsidRPr="00244B89">
        <w:rPr>
          <w:lang w:bidi="he-IL"/>
        </w:rPr>
        <w:t xml:space="preserve">) </w:t>
      </w:r>
      <w:r w:rsidR="007C0B73" w:rsidRPr="00244B89">
        <w:rPr>
          <w:lang w:bidi="he-IL"/>
        </w:rPr>
        <w:t>and l</w:t>
      </w:r>
      <w:r w:rsidR="007062D3" w:rsidRPr="00244B89">
        <w:rPr>
          <w:lang w:bidi="he-IL"/>
        </w:rPr>
        <w:t xml:space="preserve">ow </w:t>
      </w:r>
      <w:r w:rsidR="007C0B73" w:rsidRPr="00244B89">
        <w:rPr>
          <w:lang w:bidi="he-IL"/>
        </w:rPr>
        <w:t xml:space="preserve">cellular </w:t>
      </w:r>
      <w:r w:rsidR="007062D3" w:rsidRPr="00244B89">
        <w:rPr>
          <w:lang w:bidi="he-IL"/>
        </w:rPr>
        <w:t>area</w:t>
      </w:r>
      <w:r w:rsidR="002B03BC" w:rsidRPr="00244B89">
        <w:rPr>
          <w:lang w:bidi="he-IL"/>
        </w:rPr>
        <w:t xml:space="preserve"> (</w:t>
      </w:r>
      <w:r w:rsidRPr="00244B89">
        <w:rPr>
          <w:rFonts w:cs="Times New Roman"/>
          <w:lang w:bidi="he-IL"/>
        </w:rPr>
        <w:t>&lt;</w:t>
      </w:r>
      <w:r w:rsidRPr="00244B89">
        <w:rPr>
          <w:lang w:bidi="he-IL"/>
        </w:rPr>
        <w:t xml:space="preserve"> 100 </w:t>
      </w:r>
      <w:r w:rsidRPr="00244B89">
        <w:rPr>
          <w:lang w:bidi="he-IL"/>
        </w:rPr>
        <w:sym w:font="Symbol" w:char="F06D"/>
      </w:r>
      <w:r w:rsidRPr="00244B89">
        <w:rPr>
          <w:lang w:bidi="he-IL"/>
        </w:rPr>
        <w:t>m</w:t>
      </w:r>
      <w:r w:rsidRPr="00244B89">
        <w:rPr>
          <w:vertAlign w:val="superscript"/>
          <w:lang w:bidi="he-IL"/>
        </w:rPr>
        <w:t>2</w:t>
      </w:r>
      <w:r w:rsidRPr="00244B89">
        <w:rPr>
          <w:lang w:bidi="he-IL"/>
        </w:rPr>
        <w:t xml:space="preserve"> for U937 cells; </w:t>
      </w:r>
      <w:r w:rsidRPr="00244B89">
        <w:rPr>
          <w:rFonts w:cs="Times New Roman"/>
          <w:lang w:bidi="he-IL"/>
        </w:rPr>
        <w:t>&lt;</w:t>
      </w:r>
      <w:r w:rsidRPr="00244B89">
        <w:rPr>
          <w:lang w:bidi="he-IL"/>
        </w:rPr>
        <w:t xml:space="preserve"> 50 </w:t>
      </w:r>
      <w:r w:rsidRPr="00244B89">
        <w:rPr>
          <w:lang w:bidi="he-IL"/>
        </w:rPr>
        <w:sym w:font="Symbol" w:char="F06D"/>
      </w:r>
      <w:r w:rsidRPr="00244B89">
        <w:rPr>
          <w:lang w:bidi="he-IL"/>
        </w:rPr>
        <w:t>m</w:t>
      </w:r>
      <w:r w:rsidRPr="00244B89">
        <w:rPr>
          <w:vertAlign w:val="superscript"/>
          <w:lang w:bidi="he-IL"/>
        </w:rPr>
        <w:t>2</w:t>
      </w:r>
      <w:r w:rsidRPr="00244B89">
        <w:rPr>
          <w:lang w:bidi="he-IL"/>
        </w:rPr>
        <w:t xml:space="preserve"> for PBMC</w:t>
      </w:r>
      <w:r w:rsidR="002B03BC" w:rsidRPr="00244B89">
        <w:rPr>
          <w:lang w:bidi="he-IL"/>
        </w:rPr>
        <w:t>)</w:t>
      </w:r>
      <w:r w:rsidR="005F62D8" w:rsidRPr="00244B89">
        <w:rPr>
          <w:lang w:bidi="he-IL"/>
        </w:rPr>
        <w:t xml:space="preserve"> using the </w:t>
      </w:r>
      <w:proofErr w:type="spellStart"/>
      <w:r w:rsidR="005F62D8" w:rsidRPr="00244B89">
        <w:rPr>
          <w:lang w:bidi="he-IL"/>
        </w:rPr>
        <w:t>IncuCyte</w:t>
      </w:r>
      <w:proofErr w:type="spellEnd"/>
      <w:r w:rsidR="005F62D8" w:rsidRPr="00244B89">
        <w:rPr>
          <w:lang w:bidi="he-IL"/>
        </w:rPr>
        <w:t xml:space="preserve">® S3 Live-Cell Analysis System (Essen </w:t>
      </w:r>
      <w:proofErr w:type="spellStart"/>
      <w:r w:rsidR="005F62D8" w:rsidRPr="00244B89">
        <w:rPr>
          <w:lang w:bidi="he-IL"/>
        </w:rPr>
        <w:t>BioScience</w:t>
      </w:r>
      <w:proofErr w:type="spellEnd"/>
      <w:r w:rsidR="005F62D8" w:rsidRPr="00244B89">
        <w:rPr>
          <w:lang w:bidi="he-IL"/>
        </w:rPr>
        <w:t>). The low-area cells may appear</w:t>
      </w:r>
      <w:r w:rsidR="002B03BC" w:rsidRPr="00244B89">
        <w:rPr>
          <w:lang w:bidi="he-IL"/>
        </w:rPr>
        <w:t xml:space="preserve"> </w:t>
      </w:r>
      <w:r w:rsidR="005F62D8" w:rsidRPr="00244B89">
        <w:rPr>
          <w:lang w:bidi="he-IL"/>
        </w:rPr>
        <w:t xml:space="preserve">as </w:t>
      </w:r>
      <w:r w:rsidR="00F31161" w:rsidRPr="00244B89">
        <w:rPr>
          <w:lang w:bidi="he-IL"/>
        </w:rPr>
        <w:t>shr</w:t>
      </w:r>
      <w:r w:rsidR="002B03BC" w:rsidRPr="00244B89">
        <w:rPr>
          <w:lang w:bidi="he-IL"/>
        </w:rPr>
        <w:t>u</w:t>
      </w:r>
      <w:r w:rsidR="00F31161" w:rsidRPr="00244B89">
        <w:rPr>
          <w:lang w:bidi="he-IL"/>
        </w:rPr>
        <w:t xml:space="preserve">nk </w:t>
      </w:r>
      <w:r w:rsidR="005F62D8" w:rsidRPr="00244B89">
        <w:rPr>
          <w:lang w:bidi="he-IL"/>
        </w:rPr>
        <w:t xml:space="preserve">dead </w:t>
      </w:r>
      <w:r w:rsidR="00F31161" w:rsidRPr="00244B89">
        <w:rPr>
          <w:lang w:bidi="he-IL"/>
        </w:rPr>
        <w:t xml:space="preserve">cells or </w:t>
      </w:r>
      <w:r w:rsidR="005F62D8" w:rsidRPr="00244B89">
        <w:rPr>
          <w:lang w:bidi="he-IL"/>
        </w:rPr>
        <w:t>apoptotic bodies</w:t>
      </w:r>
      <w:r w:rsidR="00F31161" w:rsidRPr="00244B89">
        <w:rPr>
          <w:lang w:bidi="he-IL"/>
        </w:rPr>
        <w:t xml:space="preserve">. </w:t>
      </w:r>
    </w:p>
    <w:p w14:paraId="3040AC8E" w14:textId="77777777" w:rsidR="005F62D8" w:rsidRPr="00244B89" w:rsidRDefault="005F62D8" w:rsidP="005F62D8">
      <w:pPr>
        <w:rPr>
          <w:lang w:bidi="he-IL"/>
        </w:rPr>
      </w:pPr>
    </w:p>
    <w:p w14:paraId="57372E09" w14:textId="2086D5A6" w:rsidR="006D2D08" w:rsidRPr="00244B89" w:rsidRDefault="002D3546" w:rsidP="002D3546">
      <w:pPr>
        <w:rPr>
          <w:lang w:bidi="he-IL"/>
        </w:rPr>
      </w:pPr>
      <w:r w:rsidRPr="00244B89">
        <w:rPr>
          <w:lang w:bidi="he-IL"/>
        </w:rPr>
        <w:t>Cells</w:t>
      </w:r>
      <w:r w:rsidR="00C41629" w:rsidRPr="00244B89">
        <w:rPr>
          <w:lang w:bidi="he-IL"/>
        </w:rPr>
        <w:t xml:space="preserve"> were seeded in </w:t>
      </w:r>
      <w:r w:rsidR="005F62D8" w:rsidRPr="00244B89">
        <w:rPr>
          <w:lang w:bidi="he-IL"/>
        </w:rPr>
        <w:t xml:space="preserve">a </w:t>
      </w:r>
      <w:r w:rsidR="00C41629" w:rsidRPr="00244B89">
        <w:rPr>
          <w:lang w:bidi="he-IL"/>
        </w:rPr>
        <w:t xml:space="preserve">24-well plate and </w:t>
      </w:r>
      <w:r w:rsidRPr="00244B89">
        <w:rPr>
          <w:lang w:bidi="he-IL"/>
        </w:rPr>
        <w:t>incubated</w:t>
      </w:r>
      <w:r w:rsidR="00C41629" w:rsidRPr="00244B89">
        <w:rPr>
          <w:lang w:bidi="he-IL"/>
        </w:rPr>
        <w:t xml:space="preserve"> </w:t>
      </w:r>
      <w:r w:rsidRPr="00244B89">
        <w:rPr>
          <w:lang w:bidi="he-IL"/>
        </w:rPr>
        <w:t>14-24 h under standard cell culture conditions</w:t>
      </w:r>
      <w:r w:rsidR="00C41629" w:rsidRPr="00244B89">
        <w:rPr>
          <w:lang w:bidi="he-IL"/>
        </w:rPr>
        <w:t>. Nine</w:t>
      </w:r>
      <w:r w:rsidR="00694C1C" w:rsidRPr="00244B89">
        <w:rPr>
          <w:lang w:bidi="he-IL"/>
        </w:rPr>
        <w:t xml:space="preserve"> </w:t>
      </w:r>
      <w:r w:rsidR="00C41629" w:rsidRPr="00244B89">
        <w:rPr>
          <w:lang w:bidi="he-IL"/>
        </w:rPr>
        <w:t>fields of view</w:t>
      </w:r>
      <w:r w:rsidR="000C7FEF" w:rsidRPr="00244B89">
        <w:rPr>
          <w:lang w:bidi="he-IL"/>
        </w:rPr>
        <w:t xml:space="preserve"> (</w:t>
      </w:r>
      <w:r w:rsidR="008712B5" w:rsidRPr="00244B89">
        <w:rPr>
          <w:lang w:bidi="he-IL"/>
        </w:rPr>
        <w:t xml:space="preserve">at </w:t>
      </w:r>
      <w:r w:rsidR="000C7FEF" w:rsidRPr="00244B89">
        <w:rPr>
          <w:lang w:bidi="he-IL"/>
        </w:rPr>
        <w:t>200</w:t>
      </w:r>
      <w:r w:rsidR="008712B5" w:rsidRPr="00244B89">
        <w:rPr>
          <w:lang w:bidi="he-IL"/>
        </w:rPr>
        <w:t>x magnification</w:t>
      </w:r>
      <w:r w:rsidR="000C7FEF" w:rsidRPr="00244B89">
        <w:rPr>
          <w:lang w:bidi="he-IL"/>
        </w:rPr>
        <w:t>)</w:t>
      </w:r>
      <w:r w:rsidR="008712B5" w:rsidRPr="00244B89">
        <w:rPr>
          <w:lang w:bidi="he-IL"/>
        </w:rPr>
        <w:t xml:space="preserve"> per well</w:t>
      </w:r>
      <w:r w:rsidR="00C41629" w:rsidRPr="00244B89">
        <w:rPr>
          <w:lang w:bidi="he-IL"/>
        </w:rPr>
        <w:t xml:space="preserve"> were </w:t>
      </w:r>
      <w:r w:rsidRPr="00244B89">
        <w:rPr>
          <w:lang w:bidi="he-IL"/>
        </w:rPr>
        <w:t xml:space="preserve">automatically </w:t>
      </w:r>
      <w:r w:rsidR="008712B5" w:rsidRPr="00244B89">
        <w:rPr>
          <w:lang w:bidi="he-IL"/>
        </w:rPr>
        <w:t xml:space="preserve">photographed </w:t>
      </w:r>
      <w:r w:rsidR="00C41629" w:rsidRPr="00244B89">
        <w:rPr>
          <w:lang w:bidi="he-IL"/>
        </w:rPr>
        <w:t xml:space="preserve">at different time points, and the </w:t>
      </w:r>
      <w:r w:rsidR="000B7D25" w:rsidRPr="00244B89">
        <w:rPr>
          <w:lang w:bidi="he-IL"/>
        </w:rPr>
        <w:t>percentage</w:t>
      </w:r>
      <w:r w:rsidR="00C41629" w:rsidRPr="00244B89">
        <w:rPr>
          <w:lang w:bidi="he-IL"/>
        </w:rPr>
        <w:t xml:space="preserve"> of low</w:t>
      </w:r>
      <w:r w:rsidR="008712B5" w:rsidRPr="00244B89">
        <w:rPr>
          <w:lang w:bidi="he-IL"/>
        </w:rPr>
        <w:t>-</w:t>
      </w:r>
      <w:r w:rsidR="00C41629" w:rsidRPr="00244B89">
        <w:rPr>
          <w:lang w:bidi="he-IL"/>
        </w:rPr>
        <w:t>area cells</w:t>
      </w:r>
      <w:r w:rsidR="000B7D25" w:rsidRPr="00244B89">
        <w:rPr>
          <w:lang w:bidi="he-IL"/>
        </w:rPr>
        <w:t xml:space="preserve"> in each field</w:t>
      </w:r>
      <w:r w:rsidR="00C41629" w:rsidRPr="00244B89">
        <w:rPr>
          <w:lang w:bidi="he-IL"/>
        </w:rPr>
        <w:t xml:space="preserve"> was calculated</w:t>
      </w:r>
      <w:r w:rsidR="008712B5" w:rsidRPr="00244B89">
        <w:rPr>
          <w:lang w:bidi="he-IL"/>
        </w:rPr>
        <w:t xml:space="preserve"> by</w:t>
      </w:r>
      <w:r w:rsidR="00C41629" w:rsidRPr="00244B89">
        <w:rPr>
          <w:lang w:bidi="he-IL"/>
        </w:rPr>
        <w:t xml:space="preserve"> </w:t>
      </w:r>
      <w:r w:rsidR="008712B5" w:rsidRPr="00244B89">
        <w:rPr>
          <w:lang w:bidi="he-IL"/>
        </w:rPr>
        <w:t xml:space="preserve">the cell-by-cell analysis </w:t>
      </w:r>
      <w:r w:rsidR="00C41629" w:rsidRPr="00244B89">
        <w:rPr>
          <w:lang w:bidi="he-IL"/>
        </w:rPr>
        <w:t xml:space="preserve">using </w:t>
      </w:r>
      <w:bookmarkStart w:id="0" w:name="OLE_LINK1"/>
      <w:proofErr w:type="spellStart"/>
      <w:r w:rsidR="00C41629" w:rsidRPr="00244B89">
        <w:rPr>
          <w:lang w:bidi="he-IL"/>
        </w:rPr>
        <w:t>IncuCyte</w:t>
      </w:r>
      <w:proofErr w:type="spellEnd"/>
      <w:r w:rsidR="00C41629" w:rsidRPr="00244B89">
        <w:rPr>
          <w:lang w:bidi="he-IL"/>
        </w:rPr>
        <w:t>® S3 software</w:t>
      </w:r>
      <w:bookmarkEnd w:id="0"/>
      <w:r w:rsidR="00C41629" w:rsidRPr="00244B89">
        <w:rPr>
          <w:lang w:bidi="he-IL"/>
        </w:rPr>
        <w:t xml:space="preserve"> (Essen </w:t>
      </w:r>
      <w:proofErr w:type="spellStart"/>
      <w:r w:rsidR="00C41629" w:rsidRPr="00244B89">
        <w:rPr>
          <w:lang w:bidi="he-IL"/>
        </w:rPr>
        <w:t>BioScience</w:t>
      </w:r>
      <w:proofErr w:type="spellEnd"/>
      <w:r w:rsidR="00C41629" w:rsidRPr="00244B89">
        <w:rPr>
          <w:lang w:bidi="he-IL"/>
        </w:rPr>
        <w:t>).</w:t>
      </w:r>
      <w:r w:rsidR="000B7D25" w:rsidRPr="00244B89">
        <w:t xml:space="preserve"> </w:t>
      </w:r>
      <w:r w:rsidR="000B7D25" w:rsidRPr="00244B89">
        <w:rPr>
          <w:lang w:bidi="he-IL"/>
        </w:rPr>
        <w:t xml:space="preserve">The significance of the differences between </w:t>
      </w:r>
      <w:r w:rsidR="008712B5" w:rsidRPr="00244B89">
        <w:rPr>
          <w:lang w:bidi="he-IL"/>
        </w:rPr>
        <w:t>the untreated control group</w:t>
      </w:r>
      <w:r w:rsidR="00B91087" w:rsidRPr="00244B89">
        <w:rPr>
          <w:lang w:bidi="he-IL"/>
        </w:rPr>
        <w:t xml:space="preserve"> (Vehicle)</w:t>
      </w:r>
      <w:r w:rsidR="008712B5" w:rsidRPr="00244B89">
        <w:rPr>
          <w:lang w:bidi="he-IL"/>
        </w:rPr>
        <w:t xml:space="preserve"> and the groups treated with various compounds</w:t>
      </w:r>
      <w:r w:rsidR="000B7D25" w:rsidRPr="00244B89">
        <w:rPr>
          <w:lang w:bidi="he-IL"/>
        </w:rPr>
        <w:t xml:space="preserve"> was assessed by one-way ANOVA with </w:t>
      </w:r>
      <w:proofErr w:type="spellStart"/>
      <w:r w:rsidR="000B7D25" w:rsidRPr="00244B89">
        <w:rPr>
          <w:lang w:bidi="he-IL"/>
        </w:rPr>
        <w:t>Dunnett's</w:t>
      </w:r>
      <w:proofErr w:type="spellEnd"/>
      <w:r w:rsidR="000B7D25" w:rsidRPr="00244B89">
        <w:rPr>
          <w:lang w:bidi="he-IL"/>
        </w:rPr>
        <w:t xml:space="preserve"> post-hoc analysis</w:t>
      </w:r>
      <w:r w:rsidR="008712B5" w:rsidRPr="00244B89">
        <w:rPr>
          <w:lang w:bidi="he-IL"/>
        </w:rPr>
        <w:t xml:space="preserve"> (</w:t>
      </w:r>
      <w:proofErr w:type="spellStart"/>
      <w:r w:rsidR="008712B5" w:rsidRPr="00244B89">
        <w:rPr>
          <w:lang w:bidi="he-IL"/>
        </w:rPr>
        <w:t>GraphPad</w:t>
      </w:r>
      <w:proofErr w:type="spellEnd"/>
      <w:r w:rsidR="008712B5" w:rsidRPr="00244B89">
        <w:rPr>
          <w:lang w:bidi="he-IL"/>
        </w:rPr>
        <w:t xml:space="preserve"> Prism 6.0, Graph-Pad Software, San Diego, CA)</w:t>
      </w:r>
      <w:r w:rsidR="000B7D25" w:rsidRPr="00244B89">
        <w:rPr>
          <w:lang w:bidi="he-IL"/>
        </w:rPr>
        <w:t>.</w:t>
      </w:r>
      <w:r w:rsidR="00F740A8" w:rsidRPr="00244B89">
        <w:rPr>
          <w:lang w:bidi="he-IL"/>
        </w:rPr>
        <w:t xml:space="preserve"> </w:t>
      </w:r>
    </w:p>
    <w:p w14:paraId="1B9DBC43" w14:textId="77777777" w:rsidR="008712B5" w:rsidRPr="00244B89" w:rsidRDefault="008712B5" w:rsidP="00B4272A">
      <w:pPr>
        <w:pStyle w:val="Heading2"/>
        <w:numPr>
          <w:ilvl w:val="0"/>
          <w:numId w:val="0"/>
        </w:numPr>
      </w:pPr>
    </w:p>
    <w:p w14:paraId="2809F752" w14:textId="551CF56F" w:rsidR="00FB39B6" w:rsidRPr="00244B89" w:rsidRDefault="00994A3D" w:rsidP="00B4272A">
      <w:pPr>
        <w:pStyle w:val="Heading2"/>
        <w:numPr>
          <w:ilvl w:val="0"/>
          <w:numId w:val="0"/>
        </w:numPr>
      </w:pPr>
      <w:r w:rsidRPr="00244B89">
        <w:t>Supplementa</w:t>
      </w:r>
      <w:r w:rsidR="001832F8" w:rsidRPr="00244B89">
        <w:t>l</w:t>
      </w:r>
      <w:r w:rsidRPr="00244B89">
        <w:t xml:space="preserve"> Figures</w:t>
      </w:r>
    </w:p>
    <w:p w14:paraId="0A392EA8" w14:textId="72074960" w:rsidR="00FB39B6" w:rsidRPr="00244B89" w:rsidRDefault="003B38CC" w:rsidP="00DE6F34">
      <w:pPr>
        <w:pStyle w:val="Heading2"/>
        <w:numPr>
          <w:ilvl w:val="0"/>
          <w:numId w:val="0"/>
        </w:numPr>
        <w:jc w:val="center"/>
      </w:pPr>
      <w:r w:rsidRPr="00244B89">
        <w:rPr>
          <w:noProof/>
          <w:lang w:bidi="he-IL"/>
        </w:rPr>
        <w:drawing>
          <wp:inline distT="0" distB="0" distL="0" distR="0" wp14:anchorId="523DBA69" wp14:editId="0ADD9770">
            <wp:extent cx="4702810" cy="2957195"/>
            <wp:effectExtent l="0" t="0" r="0" b="0"/>
            <wp:docPr id="5" name="Picture 1" descr="Fig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 S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E19D1" w14:textId="609D1224" w:rsidR="009527D0" w:rsidRPr="00244B89" w:rsidRDefault="00C80B25" w:rsidP="00E309FB">
      <w:pPr>
        <w:rPr>
          <w:bCs/>
        </w:rPr>
      </w:pPr>
      <w:proofErr w:type="gramStart"/>
      <w:r w:rsidRPr="00244B89">
        <w:rPr>
          <w:b/>
        </w:rPr>
        <w:t xml:space="preserve">Supplemental Figure </w:t>
      </w:r>
      <w:r w:rsidR="00906774" w:rsidRPr="00244B89">
        <w:rPr>
          <w:b/>
        </w:rPr>
        <w:t>S1</w:t>
      </w:r>
      <w:r w:rsidRPr="00244B89">
        <w:rPr>
          <w:bCs/>
        </w:rPr>
        <w:t>.</w:t>
      </w:r>
      <w:proofErr w:type="gramEnd"/>
      <w:r w:rsidRPr="00244B89">
        <w:rPr>
          <w:bCs/>
        </w:rPr>
        <w:t xml:space="preserve"> </w:t>
      </w:r>
      <w:r w:rsidR="00085539">
        <w:rPr>
          <w:b/>
          <w:bCs/>
        </w:rPr>
        <w:t>M</w:t>
      </w:r>
      <w:r w:rsidR="00085539" w:rsidRPr="00085539">
        <w:rPr>
          <w:b/>
          <w:bCs/>
        </w:rPr>
        <w:t>ethyl 4-hydroxycinnamate</w:t>
      </w:r>
      <w:r w:rsidR="00085539">
        <w:rPr>
          <w:b/>
          <w:bCs/>
        </w:rPr>
        <w:t xml:space="preserve"> and curcumin, but not</w:t>
      </w:r>
      <w:r w:rsidR="00085539" w:rsidRPr="00085539" w:rsidDel="00085539">
        <w:rPr>
          <w:b/>
          <w:bCs/>
        </w:rPr>
        <w:t xml:space="preserve"> </w:t>
      </w:r>
      <w:r w:rsidR="00085539">
        <w:rPr>
          <w:b/>
          <w:bCs/>
        </w:rPr>
        <w:t xml:space="preserve">other </w:t>
      </w:r>
      <w:r w:rsidR="001832F8" w:rsidRPr="00244B89">
        <w:rPr>
          <w:b/>
          <w:bCs/>
        </w:rPr>
        <w:t xml:space="preserve">phytochemicals employed in this study are </w:t>
      </w:r>
      <w:r w:rsidRPr="00244B89">
        <w:rPr>
          <w:b/>
          <w:bCs/>
        </w:rPr>
        <w:t xml:space="preserve">cytotoxic </w:t>
      </w:r>
      <w:r w:rsidR="001832F8" w:rsidRPr="00244B89">
        <w:rPr>
          <w:b/>
          <w:bCs/>
        </w:rPr>
        <w:t xml:space="preserve">at the chosen </w:t>
      </w:r>
      <w:r w:rsidRPr="00244B89">
        <w:rPr>
          <w:b/>
          <w:bCs/>
        </w:rPr>
        <w:t>concentrations</w:t>
      </w:r>
      <w:r w:rsidR="00085539">
        <w:rPr>
          <w:b/>
          <w:bCs/>
        </w:rPr>
        <w:t xml:space="preserve"> when combined with carnosic acid</w:t>
      </w:r>
      <w:r w:rsidRPr="00244B89">
        <w:rPr>
          <w:b/>
          <w:bCs/>
        </w:rPr>
        <w:t>.</w:t>
      </w:r>
      <w:r w:rsidR="00937A60" w:rsidRPr="00244B89">
        <w:rPr>
          <w:bCs/>
        </w:rPr>
        <w:t xml:space="preserve"> </w:t>
      </w:r>
      <w:r w:rsidR="004E1941" w:rsidRPr="00244B89">
        <w:rPr>
          <w:bCs/>
        </w:rPr>
        <w:t xml:space="preserve">HL60 cells were treated with different phenolic compounds (in </w:t>
      </w:r>
      <w:proofErr w:type="spellStart"/>
      <w:r w:rsidR="004E1941" w:rsidRPr="00244B89">
        <w:rPr>
          <w:bCs/>
        </w:rPr>
        <w:t>μM</w:t>
      </w:r>
      <w:proofErr w:type="spellEnd"/>
      <w:r w:rsidR="004E1941" w:rsidRPr="00244B89">
        <w:rPr>
          <w:bCs/>
        </w:rPr>
        <w:t xml:space="preserve">) : </w:t>
      </w:r>
      <w:r w:rsidR="00F144AD" w:rsidRPr="00244B89">
        <w:rPr>
          <w:bCs/>
        </w:rPr>
        <w:t>curcumin (</w:t>
      </w:r>
      <w:r w:rsidR="004E1941" w:rsidRPr="00244B89">
        <w:rPr>
          <w:bCs/>
        </w:rPr>
        <w:t>CUR</w:t>
      </w:r>
      <w:r w:rsidR="00F144AD" w:rsidRPr="00244B89">
        <w:rPr>
          <w:bCs/>
        </w:rPr>
        <w:t>)</w:t>
      </w:r>
      <w:r w:rsidR="004E1941" w:rsidRPr="00244B89">
        <w:rPr>
          <w:bCs/>
        </w:rPr>
        <w:t xml:space="preserve">, </w:t>
      </w:r>
      <w:r w:rsidR="00F144AD" w:rsidRPr="00244B89">
        <w:rPr>
          <w:bCs/>
        </w:rPr>
        <w:t>methyl 4-hydroxycinnamate (</w:t>
      </w:r>
      <w:r w:rsidR="004E1941" w:rsidRPr="00244B89">
        <w:rPr>
          <w:bCs/>
        </w:rPr>
        <w:t>MHC</w:t>
      </w:r>
      <w:r w:rsidR="00F144AD" w:rsidRPr="00244B89">
        <w:rPr>
          <w:bCs/>
        </w:rPr>
        <w:t>)</w:t>
      </w:r>
      <w:r w:rsidR="004E1941" w:rsidRPr="00244B89">
        <w:rPr>
          <w:bCs/>
        </w:rPr>
        <w:t xml:space="preserve">, </w:t>
      </w:r>
      <w:proofErr w:type="spellStart"/>
      <w:r w:rsidR="004E1941" w:rsidRPr="00244B89">
        <w:rPr>
          <w:bCs/>
        </w:rPr>
        <w:t>rosmarinic</w:t>
      </w:r>
      <w:proofErr w:type="spellEnd"/>
      <w:r w:rsidR="004E1941" w:rsidRPr="00244B89">
        <w:rPr>
          <w:bCs/>
        </w:rPr>
        <w:t xml:space="preserve"> acid (</w:t>
      </w:r>
      <w:proofErr w:type="spellStart"/>
      <w:r w:rsidR="004E1941" w:rsidRPr="00244B89">
        <w:rPr>
          <w:bCs/>
        </w:rPr>
        <w:t>RosA</w:t>
      </w:r>
      <w:proofErr w:type="spellEnd"/>
      <w:r w:rsidR="004E1941" w:rsidRPr="00244B89">
        <w:rPr>
          <w:bCs/>
        </w:rPr>
        <w:t xml:space="preserve">), silibinin (SIL), resveratrol (RES), quercetin (QRC), </w:t>
      </w:r>
      <w:proofErr w:type="spellStart"/>
      <w:r w:rsidR="004E1941" w:rsidRPr="00244B89">
        <w:rPr>
          <w:bCs/>
        </w:rPr>
        <w:t>parthenolide</w:t>
      </w:r>
      <w:proofErr w:type="spellEnd"/>
      <w:r w:rsidR="004E1941" w:rsidRPr="00244B89">
        <w:rPr>
          <w:bCs/>
        </w:rPr>
        <w:t xml:space="preserve"> (PTL) and/or 10 </w:t>
      </w:r>
      <w:proofErr w:type="spellStart"/>
      <w:r w:rsidR="004E1941" w:rsidRPr="00244B89">
        <w:rPr>
          <w:bCs/>
        </w:rPr>
        <w:t>μM</w:t>
      </w:r>
      <w:proofErr w:type="spellEnd"/>
      <w:r w:rsidR="004E1941" w:rsidRPr="00244B89">
        <w:rPr>
          <w:bCs/>
        </w:rPr>
        <w:t xml:space="preserve"> CA, for 72 h. Cell viability was determined by the trypan blue exclusion assay. The data are the means ± SD (n=3).</w:t>
      </w:r>
      <w:r w:rsidR="004E1941" w:rsidRPr="00244B89">
        <w:t xml:space="preserve"> Synergistic effect (AB&gt;A+B): $, p &lt; 0.01; Ψ, p &lt; 0.001, </w:t>
      </w:r>
      <w:r w:rsidR="004E1941" w:rsidRPr="00244B89">
        <w:rPr>
          <w:lang w:val="el-GR"/>
        </w:rPr>
        <w:t>§</w:t>
      </w:r>
      <w:r w:rsidR="004E1941" w:rsidRPr="00244B89">
        <w:t>, p &lt; 0.0001; Student’s t test.</w:t>
      </w:r>
    </w:p>
    <w:p w14:paraId="58516B49" w14:textId="56FEE9A4" w:rsidR="009527D0" w:rsidRPr="00244B89" w:rsidRDefault="003B38CC" w:rsidP="0089649D">
      <w:pPr>
        <w:jc w:val="center"/>
      </w:pPr>
      <w:r w:rsidRPr="00244B89">
        <w:rPr>
          <w:noProof/>
          <w:lang w:bidi="he-IL"/>
        </w:rPr>
        <w:lastRenderedPageBreak/>
        <w:drawing>
          <wp:inline distT="0" distB="0" distL="0" distR="0" wp14:anchorId="68095E27" wp14:editId="157224EA">
            <wp:extent cx="6198870" cy="3580130"/>
            <wp:effectExtent l="0" t="0" r="0" b="0"/>
            <wp:docPr id="2" name="Picture 2" descr="Fig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 S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D3B32" w14:textId="14854E5C" w:rsidR="0089649D" w:rsidRPr="00244B89" w:rsidRDefault="009527D0" w:rsidP="0089649D">
      <w:r w:rsidRPr="00244B89">
        <w:rPr>
          <w:b/>
          <w:bCs/>
          <w:szCs w:val="24"/>
        </w:rPr>
        <w:t xml:space="preserve">Supplemental Figure </w:t>
      </w:r>
      <w:r w:rsidR="00906774" w:rsidRPr="00244B89">
        <w:rPr>
          <w:b/>
          <w:bCs/>
          <w:szCs w:val="24"/>
        </w:rPr>
        <w:t>S2</w:t>
      </w:r>
      <w:r w:rsidRPr="00244B89">
        <w:rPr>
          <w:b/>
          <w:bCs/>
          <w:szCs w:val="24"/>
        </w:rPr>
        <w:t>. MHC synergize</w:t>
      </w:r>
      <w:r w:rsidR="001B2C09" w:rsidRPr="00244B89">
        <w:rPr>
          <w:b/>
          <w:bCs/>
          <w:szCs w:val="24"/>
        </w:rPr>
        <w:t>s</w:t>
      </w:r>
      <w:r w:rsidRPr="00244B89">
        <w:rPr>
          <w:b/>
          <w:bCs/>
          <w:szCs w:val="24"/>
        </w:rPr>
        <w:t xml:space="preserve"> with CA in inducting anti-leukemic effects </w:t>
      </w:r>
      <w:r w:rsidR="001B2C09" w:rsidRPr="00244B89">
        <w:rPr>
          <w:b/>
          <w:bCs/>
          <w:szCs w:val="24"/>
        </w:rPr>
        <w:t>i</w:t>
      </w:r>
      <w:r w:rsidRPr="00244B89">
        <w:rPr>
          <w:b/>
          <w:bCs/>
          <w:szCs w:val="24"/>
        </w:rPr>
        <w:t xml:space="preserve">n </w:t>
      </w:r>
      <w:r w:rsidR="00306593" w:rsidRPr="00244B89">
        <w:rPr>
          <w:b/>
          <w:bCs/>
          <w:szCs w:val="24"/>
        </w:rPr>
        <w:t xml:space="preserve">KG-1 and U937 </w:t>
      </w:r>
      <w:r w:rsidRPr="00244B89">
        <w:rPr>
          <w:b/>
          <w:bCs/>
          <w:szCs w:val="24"/>
        </w:rPr>
        <w:t xml:space="preserve">AML cells. </w:t>
      </w:r>
      <w:r w:rsidR="002C1210" w:rsidRPr="00244B89">
        <w:rPr>
          <w:b/>
          <w:bCs/>
          <w:szCs w:val="24"/>
        </w:rPr>
        <w:t xml:space="preserve">(A-D) </w:t>
      </w:r>
      <w:r w:rsidR="002C1210" w:rsidRPr="00244B89">
        <w:rPr>
          <w:szCs w:val="24"/>
        </w:rPr>
        <w:t>C</w:t>
      </w:r>
      <w:r w:rsidR="00306593" w:rsidRPr="00244B89">
        <w:rPr>
          <w:szCs w:val="24"/>
        </w:rPr>
        <w:t>ells were treated with the indicated compounds, for 72 h</w:t>
      </w:r>
      <w:r w:rsidRPr="00244B89">
        <w:rPr>
          <w:szCs w:val="24"/>
        </w:rPr>
        <w:t xml:space="preserve">. </w:t>
      </w:r>
      <w:r w:rsidRPr="00244B89">
        <w:rPr>
          <w:b/>
          <w:bCs/>
          <w:szCs w:val="24"/>
        </w:rPr>
        <w:t>(A)</w:t>
      </w:r>
      <w:r w:rsidRPr="00244B89">
        <w:rPr>
          <w:szCs w:val="24"/>
        </w:rPr>
        <w:t xml:space="preserve"> </w:t>
      </w:r>
      <w:r w:rsidR="00306593" w:rsidRPr="00244B89">
        <w:rPr>
          <w:szCs w:val="24"/>
        </w:rPr>
        <w:t xml:space="preserve">The number of </w:t>
      </w:r>
      <w:r w:rsidR="00306593" w:rsidRPr="00244B89">
        <w:rPr>
          <w:bCs/>
        </w:rPr>
        <w:t>v</w:t>
      </w:r>
      <w:r w:rsidR="00DB75BA" w:rsidRPr="00244B89">
        <w:rPr>
          <w:bCs/>
        </w:rPr>
        <w:t xml:space="preserve">iable </w:t>
      </w:r>
      <w:r w:rsidR="002C1210" w:rsidRPr="00244B89">
        <w:rPr>
          <w:bCs/>
        </w:rPr>
        <w:t xml:space="preserve">KG-1a </w:t>
      </w:r>
      <w:r w:rsidR="00B2299A" w:rsidRPr="00244B89">
        <w:rPr>
          <w:bCs/>
        </w:rPr>
        <w:t>cell</w:t>
      </w:r>
      <w:r w:rsidR="00306593" w:rsidRPr="00244B89">
        <w:rPr>
          <w:bCs/>
        </w:rPr>
        <w:t>s</w:t>
      </w:r>
      <w:r w:rsidR="00B2299A" w:rsidRPr="00244B89">
        <w:rPr>
          <w:bCs/>
        </w:rPr>
        <w:t xml:space="preserve"> </w:t>
      </w:r>
      <w:r w:rsidR="009B16BB" w:rsidRPr="00244B89">
        <w:rPr>
          <w:bCs/>
        </w:rPr>
        <w:t xml:space="preserve">were </w:t>
      </w:r>
      <w:r w:rsidR="001B2C09" w:rsidRPr="00244B89">
        <w:rPr>
          <w:bCs/>
        </w:rPr>
        <w:t>counted</w:t>
      </w:r>
      <w:r w:rsidR="00B2299A" w:rsidRPr="00244B89">
        <w:rPr>
          <w:bCs/>
        </w:rPr>
        <w:t xml:space="preserve"> by the trypan blue exclusion assay. The data are </w:t>
      </w:r>
      <w:r w:rsidR="002C1210" w:rsidRPr="00244B89">
        <w:rPr>
          <w:bCs/>
        </w:rPr>
        <w:t xml:space="preserve">the </w:t>
      </w:r>
      <w:r w:rsidR="00B2299A" w:rsidRPr="00244B89">
        <w:rPr>
          <w:bCs/>
        </w:rPr>
        <w:t>means ± SD (n=3)</w:t>
      </w:r>
      <w:r w:rsidRPr="00244B89">
        <w:rPr>
          <w:szCs w:val="24"/>
        </w:rPr>
        <w:t xml:space="preserve">. </w:t>
      </w:r>
      <w:r w:rsidR="009A2767" w:rsidRPr="00244B89">
        <w:rPr>
          <w:b/>
          <w:bCs/>
          <w:szCs w:val="24"/>
        </w:rPr>
        <w:t>(B)</w:t>
      </w:r>
      <w:r w:rsidR="009A2767" w:rsidRPr="00244B89">
        <w:t xml:space="preserve"> </w:t>
      </w:r>
      <w:r w:rsidR="00306593" w:rsidRPr="00244B89">
        <w:rPr>
          <w:bCs/>
        </w:rPr>
        <w:t xml:space="preserve">The extent of reduction in </w:t>
      </w:r>
      <w:r w:rsidR="002C1210" w:rsidRPr="00244B89">
        <w:rPr>
          <w:bCs/>
        </w:rPr>
        <w:t xml:space="preserve">KG-1a </w:t>
      </w:r>
      <w:r w:rsidR="00306593" w:rsidRPr="00244B89">
        <w:rPr>
          <w:bCs/>
        </w:rPr>
        <w:t xml:space="preserve">viable cell numbers (fraction affected) by </w:t>
      </w:r>
      <w:r w:rsidR="00306593" w:rsidRPr="00244B89">
        <w:rPr>
          <w:szCs w:val="24"/>
        </w:rPr>
        <w:t>MHC and CA</w:t>
      </w:r>
      <w:r w:rsidR="009B16BB" w:rsidRPr="00244B89">
        <w:rPr>
          <w:szCs w:val="24"/>
        </w:rPr>
        <w:t>,</w:t>
      </w:r>
      <w:r w:rsidR="00306593" w:rsidRPr="00244B89">
        <w:rPr>
          <w:szCs w:val="24"/>
        </w:rPr>
        <w:t xml:space="preserve"> alone and in combination</w:t>
      </w:r>
      <w:r w:rsidR="009B16BB" w:rsidRPr="00244B89">
        <w:rPr>
          <w:szCs w:val="24"/>
        </w:rPr>
        <w:t>,</w:t>
      </w:r>
      <w:r w:rsidR="00306593" w:rsidRPr="00244B89">
        <w:rPr>
          <w:bCs/>
        </w:rPr>
        <w:t xml:space="preserve"> at the indicated concentrations</w:t>
      </w:r>
      <w:r w:rsidR="009A2767" w:rsidRPr="00244B89">
        <w:rPr>
          <w:szCs w:val="24"/>
        </w:rPr>
        <w:t>.</w:t>
      </w:r>
      <w:r w:rsidR="00054193" w:rsidRPr="00244B89">
        <w:rPr>
          <w:b/>
          <w:bCs/>
          <w:szCs w:val="24"/>
        </w:rPr>
        <w:t xml:space="preserve"> </w:t>
      </w:r>
      <w:r w:rsidRPr="00244B89">
        <w:rPr>
          <w:b/>
          <w:bCs/>
          <w:szCs w:val="24"/>
        </w:rPr>
        <w:t>(</w:t>
      </w:r>
      <w:r w:rsidR="00054193" w:rsidRPr="00244B89">
        <w:rPr>
          <w:b/>
          <w:bCs/>
          <w:szCs w:val="24"/>
        </w:rPr>
        <w:t>C</w:t>
      </w:r>
      <w:r w:rsidRPr="00244B89">
        <w:rPr>
          <w:b/>
          <w:bCs/>
          <w:szCs w:val="24"/>
        </w:rPr>
        <w:t xml:space="preserve">) </w:t>
      </w:r>
      <w:r w:rsidR="009A2767" w:rsidRPr="00244B89">
        <w:t>C</w:t>
      </w:r>
      <w:r w:rsidR="00054193" w:rsidRPr="00244B89">
        <w:t>ombination index (CI) anal</w:t>
      </w:r>
      <w:r w:rsidR="002C1210" w:rsidRPr="00244B89">
        <w:t>ysis of cytotoxicity for</w:t>
      </w:r>
      <w:r w:rsidR="00054193" w:rsidRPr="00244B89">
        <w:t xml:space="preserve"> various MHC/CA combinations</w:t>
      </w:r>
      <w:r w:rsidR="002C1210" w:rsidRPr="00244B89">
        <w:t xml:space="preserve"> (</w:t>
      </w:r>
      <w:r w:rsidR="002C1210" w:rsidRPr="00244B89">
        <w:sym w:font="Symbol" w:char="F06D"/>
      </w:r>
      <w:r w:rsidR="002C1210" w:rsidRPr="00244B89">
        <w:t>M)</w:t>
      </w:r>
      <w:r w:rsidR="00054193" w:rsidRPr="00244B89">
        <w:t>. The CI values are plotted against the levels of the fraction affected.</w:t>
      </w:r>
      <w:r w:rsidR="00054193" w:rsidRPr="00244B89">
        <w:rPr>
          <w:b/>
          <w:bCs/>
          <w:szCs w:val="24"/>
        </w:rPr>
        <w:t xml:space="preserve"> </w:t>
      </w:r>
      <w:r w:rsidR="009E3A0F" w:rsidRPr="00244B89">
        <w:rPr>
          <w:b/>
          <w:bCs/>
          <w:szCs w:val="24"/>
        </w:rPr>
        <w:t xml:space="preserve">(D) </w:t>
      </w:r>
      <w:r w:rsidR="002C1210" w:rsidRPr="00244B89">
        <w:rPr>
          <w:szCs w:val="24"/>
        </w:rPr>
        <w:t xml:space="preserve">The numbers of </w:t>
      </w:r>
      <w:r w:rsidR="002C1210" w:rsidRPr="00244B89">
        <w:rPr>
          <w:bCs/>
        </w:rPr>
        <w:t>viable U937 cells</w:t>
      </w:r>
      <w:r w:rsidR="009B16BB" w:rsidRPr="00244B89">
        <w:rPr>
          <w:bCs/>
        </w:rPr>
        <w:t xml:space="preserve"> were</w:t>
      </w:r>
      <w:r w:rsidR="002C1210" w:rsidRPr="00244B89">
        <w:rPr>
          <w:bCs/>
        </w:rPr>
        <w:t xml:space="preserve"> counted by the trypan blue exclusion assay. The data are the means ± SD (n=3)</w:t>
      </w:r>
      <w:r w:rsidR="002C1210" w:rsidRPr="00244B89">
        <w:rPr>
          <w:szCs w:val="24"/>
        </w:rPr>
        <w:t>.</w:t>
      </w:r>
      <w:r w:rsidR="009E3A0F" w:rsidRPr="00244B89">
        <w:t xml:space="preserve"> </w:t>
      </w:r>
      <w:r w:rsidR="009B16BB" w:rsidRPr="00244B89">
        <w:rPr>
          <w:b/>
          <w:bCs/>
          <w:szCs w:val="24"/>
        </w:rPr>
        <w:t>(E, F)</w:t>
      </w:r>
      <w:r w:rsidR="009B16BB" w:rsidRPr="00244B89">
        <w:rPr>
          <w:szCs w:val="24"/>
        </w:rPr>
        <w:t xml:space="preserve"> </w:t>
      </w:r>
      <w:r w:rsidR="0089649D" w:rsidRPr="00244B89">
        <w:rPr>
          <w:szCs w:val="24"/>
        </w:rPr>
        <w:t xml:space="preserve">U937 cells </w:t>
      </w:r>
      <w:r w:rsidR="009B16BB" w:rsidRPr="00244B89">
        <w:rPr>
          <w:szCs w:val="24"/>
        </w:rPr>
        <w:t xml:space="preserve">were </w:t>
      </w:r>
      <w:r w:rsidR="0089649D" w:rsidRPr="00244B89">
        <w:rPr>
          <w:szCs w:val="24"/>
        </w:rPr>
        <w:t>treated with the indicated compounds, for 24 h</w:t>
      </w:r>
      <w:r w:rsidR="009B16BB" w:rsidRPr="00244B89">
        <w:rPr>
          <w:szCs w:val="24"/>
        </w:rPr>
        <w:t>.</w:t>
      </w:r>
      <w:r w:rsidR="0089649D" w:rsidRPr="00244B89">
        <w:rPr>
          <w:b/>
          <w:bCs/>
          <w:szCs w:val="24"/>
        </w:rPr>
        <w:t xml:space="preserve"> (E)</w:t>
      </w:r>
      <w:r w:rsidR="0089649D" w:rsidRPr="00244B89">
        <w:rPr>
          <w:szCs w:val="24"/>
        </w:rPr>
        <w:t xml:space="preserve"> Western blot analysis of caspase-3 cleavage</w:t>
      </w:r>
      <w:r w:rsidR="0089649D" w:rsidRPr="00244B89">
        <w:t xml:space="preserve">. </w:t>
      </w:r>
      <w:r w:rsidR="0089649D" w:rsidRPr="00244B89">
        <w:rPr>
          <w:b/>
          <w:bCs/>
          <w:szCs w:val="24"/>
        </w:rPr>
        <w:t>(F)</w:t>
      </w:r>
      <w:r w:rsidR="0089649D" w:rsidRPr="00244B89">
        <w:rPr>
          <w:szCs w:val="24"/>
        </w:rPr>
        <w:t xml:space="preserve"> The percentages of low-area cells (&lt;100 </w:t>
      </w:r>
      <w:r w:rsidR="0089649D" w:rsidRPr="00244B89">
        <w:rPr>
          <w:lang w:bidi="he-IL"/>
        </w:rPr>
        <w:sym w:font="Symbol" w:char="F06D"/>
      </w:r>
      <w:r w:rsidR="0089649D" w:rsidRPr="00244B89">
        <w:rPr>
          <w:lang w:bidi="he-IL"/>
        </w:rPr>
        <w:t>m</w:t>
      </w:r>
      <w:r w:rsidR="0089649D" w:rsidRPr="00244B89">
        <w:rPr>
          <w:vertAlign w:val="superscript"/>
          <w:lang w:bidi="he-IL"/>
        </w:rPr>
        <w:t>2</w:t>
      </w:r>
      <w:r w:rsidR="0089649D" w:rsidRPr="00244B89">
        <w:rPr>
          <w:lang w:bidi="he-IL"/>
        </w:rPr>
        <w:t xml:space="preserve">) </w:t>
      </w:r>
      <w:r w:rsidR="009B16BB" w:rsidRPr="00244B89">
        <w:rPr>
          <w:lang w:bidi="he-IL"/>
        </w:rPr>
        <w:t xml:space="preserve">were </w:t>
      </w:r>
      <w:r w:rsidR="0089649D" w:rsidRPr="00244B89">
        <w:rPr>
          <w:szCs w:val="24"/>
        </w:rPr>
        <w:t xml:space="preserve">determined during incubation in an </w:t>
      </w:r>
      <w:proofErr w:type="spellStart"/>
      <w:r w:rsidR="0089649D" w:rsidRPr="00244B89">
        <w:rPr>
          <w:lang w:bidi="he-IL"/>
        </w:rPr>
        <w:t>IncuCyte</w:t>
      </w:r>
      <w:proofErr w:type="spellEnd"/>
      <w:r w:rsidR="0089649D" w:rsidRPr="00244B89">
        <w:rPr>
          <w:lang w:bidi="he-IL"/>
        </w:rPr>
        <w:t>® S3</w:t>
      </w:r>
      <w:r w:rsidR="0089649D" w:rsidRPr="00244B89">
        <w:rPr>
          <w:szCs w:val="24"/>
        </w:rPr>
        <w:t xml:space="preserve"> instrument. </w:t>
      </w:r>
      <w:r w:rsidR="0089649D" w:rsidRPr="00244B89">
        <w:t xml:space="preserve">Synergistic effect (AB&gt;A+B): $, p &lt; 0.01; Ψ, p &lt; 0.001, </w:t>
      </w:r>
      <w:r w:rsidR="0089649D" w:rsidRPr="00244B89">
        <w:rPr>
          <w:lang w:val="el-GR"/>
        </w:rPr>
        <w:t>§</w:t>
      </w:r>
      <w:r w:rsidR="0089649D" w:rsidRPr="00244B89">
        <w:t xml:space="preserve">, p &lt; 0.0001; Student’s t test. </w:t>
      </w:r>
      <w:r w:rsidR="0089649D" w:rsidRPr="00244B89">
        <w:rPr>
          <w:szCs w:val="24"/>
        </w:rPr>
        <w:t xml:space="preserve">****, p &lt; 0.0001 vs. Vehicle; </w:t>
      </w:r>
      <w:r w:rsidR="009B16BB" w:rsidRPr="00244B89">
        <w:rPr>
          <w:b/>
          <w:bCs/>
          <w:szCs w:val="24"/>
        </w:rPr>
        <w:t>(F)</w:t>
      </w:r>
      <w:r w:rsidR="009B16BB" w:rsidRPr="00244B89">
        <w:rPr>
          <w:szCs w:val="24"/>
        </w:rPr>
        <w:t xml:space="preserve"> </w:t>
      </w:r>
      <w:r w:rsidR="0089649D" w:rsidRPr="00244B89">
        <w:rPr>
          <w:szCs w:val="24"/>
        </w:rPr>
        <w:t xml:space="preserve">One-way ANOVA with </w:t>
      </w:r>
      <w:proofErr w:type="spellStart"/>
      <w:r w:rsidR="0089649D" w:rsidRPr="00244B89">
        <w:rPr>
          <w:szCs w:val="24"/>
        </w:rPr>
        <w:t>Dunnet</w:t>
      </w:r>
      <w:proofErr w:type="spellEnd"/>
      <w:r w:rsidR="0089649D" w:rsidRPr="00244B89">
        <w:rPr>
          <w:szCs w:val="24"/>
        </w:rPr>
        <w:t xml:space="preserve"> post-hoc analysis.</w:t>
      </w:r>
    </w:p>
    <w:p w14:paraId="60CD8452" w14:textId="591BD49F" w:rsidR="00E5090D" w:rsidRPr="00244B89" w:rsidRDefault="0089649D" w:rsidP="009B16BB">
      <w:r w:rsidRPr="00244B89">
        <w:rPr>
          <w:b/>
          <w:bCs/>
          <w:szCs w:val="24"/>
        </w:rPr>
        <w:t xml:space="preserve"> </w:t>
      </w:r>
    </w:p>
    <w:p w14:paraId="4D7F5AA4" w14:textId="77777777" w:rsidR="00AE2391" w:rsidRPr="00244B89" w:rsidRDefault="00AE2391" w:rsidP="00AE2391">
      <w:pPr>
        <w:rPr>
          <w:strike/>
        </w:rPr>
      </w:pPr>
    </w:p>
    <w:p w14:paraId="34754346" w14:textId="0BF0C4FD" w:rsidR="00DE6F34" w:rsidRPr="00244B89" w:rsidRDefault="003B38CC" w:rsidP="00AE2391">
      <w:pPr>
        <w:jc w:val="center"/>
      </w:pPr>
      <w:r w:rsidRPr="00244B89">
        <w:rPr>
          <w:noProof/>
          <w:lang w:bidi="he-IL"/>
        </w:rPr>
        <w:lastRenderedPageBreak/>
        <w:drawing>
          <wp:inline distT="0" distB="0" distL="0" distR="0" wp14:anchorId="6738BEF7" wp14:editId="24BD4445">
            <wp:extent cx="5082540" cy="4928235"/>
            <wp:effectExtent l="0" t="0" r="0" b="0"/>
            <wp:docPr id="3" name="Picture 3" descr="Fig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 S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29FE6" w14:textId="535C8F83" w:rsidR="004234C5" w:rsidRPr="00244B89" w:rsidRDefault="00C80B25" w:rsidP="00906774">
      <w:pPr>
        <w:rPr>
          <w:szCs w:val="24"/>
        </w:rPr>
      </w:pPr>
      <w:r w:rsidRPr="00244B89">
        <w:rPr>
          <w:b/>
          <w:bCs/>
          <w:szCs w:val="24"/>
        </w:rPr>
        <w:t xml:space="preserve">Supplemental Figure </w:t>
      </w:r>
      <w:r w:rsidR="00906774" w:rsidRPr="00244B89">
        <w:rPr>
          <w:b/>
          <w:bCs/>
          <w:szCs w:val="24"/>
        </w:rPr>
        <w:t>S</w:t>
      </w:r>
      <w:r w:rsidR="007E7A68" w:rsidRPr="00244B89">
        <w:rPr>
          <w:b/>
          <w:bCs/>
          <w:szCs w:val="24"/>
        </w:rPr>
        <w:t>3</w:t>
      </w:r>
      <w:r w:rsidRPr="00244B89">
        <w:rPr>
          <w:b/>
          <w:bCs/>
          <w:szCs w:val="24"/>
        </w:rPr>
        <w:t>. MHC+CA and CUR+CA induce caspase-dependent apoptosis</w:t>
      </w:r>
      <w:r w:rsidR="001E6E66" w:rsidRPr="00244B89">
        <w:rPr>
          <w:b/>
          <w:bCs/>
          <w:szCs w:val="24"/>
        </w:rPr>
        <w:t xml:space="preserve"> in </w:t>
      </w:r>
      <w:r w:rsidR="00937A60" w:rsidRPr="00244B89">
        <w:rPr>
          <w:b/>
          <w:bCs/>
          <w:szCs w:val="24"/>
        </w:rPr>
        <w:t>KG-1a</w:t>
      </w:r>
      <w:r w:rsidRPr="00244B89">
        <w:rPr>
          <w:b/>
          <w:bCs/>
          <w:szCs w:val="24"/>
        </w:rPr>
        <w:t xml:space="preserve"> cells</w:t>
      </w:r>
      <w:r w:rsidR="001E6E66" w:rsidRPr="00244B89">
        <w:rPr>
          <w:b/>
          <w:bCs/>
          <w:szCs w:val="24"/>
        </w:rPr>
        <w:t>.</w:t>
      </w:r>
      <w:r w:rsidR="001E6E66" w:rsidRPr="00244B89">
        <w:rPr>
          <w:szCs w:val="24"/>
        </w:rPr>
        <w:t xml:space="preserve"> Cells</w:t>
      </w:r>
      <w:r w:rsidRPr="00244B89">
        <w:rPr>
          <w:szCs w:val="24"/>
        </w:rPr>
        <w:t xml:space="preserve"> were treated with the indicated compounds in the presence or absence of </w:t>
      </w:r>
      <w:proofErr w:type="spellStart"/>
      <w:r w:rsidRPr="00244B89">
        <w:rPr>
          <w:szCs w:val="24"/>
        </w:rPr>
        <w:t>zVAD</w:t>
      </w:r>
      <w:proofErr w:type="spellEnd"/>
      <w:r w:rsidRPr="00244B89">
        <w:rPr>
          <w:szCs w:val="24"/>
        </w:rPr>
        <w:t xml:space="preserve"> (50 </w:t>
      </w:r>
      <w:proofErr w:type="spellStart"/>
      <w:r w:rsidRPr="00244B89">
        <w:rPr>
          <w:szCs w:val="24"/>
        </w:rPr>
        <w:t>μM</w:t>
      </w:r>
      <w:proofErr w:type="spellEnd"/>
      <w:r w:rsidRPr="00244B89">
        <w:rPr>
          <w:szCs w:val="24"/>
        </w:rPr>
        <w:t xml:space="preserve">), for 8 h. </w:t>
      </w:r>
      <w:r w:rsidRPr="00244B89">
        <w:rPr>
          <w:b/>
          <w:bCs/>
          <w:szCs w:val="24"/>
        </w:rPr>
        <w:t>(A)</w:t>
      </w:r>
      <w:r w:rsidRPr="00244B89">
        <w:rPr>
          <w:szCs w:val="24"/>
        </w:rPr>
        <w:t xml:space="preserve"> Inhibition</w:t>
      </w:r>
      <w:r w:rsidR="0057063E" w:rsidRPr="00244B89">
        <w:rPr>
          <w:szCs w:val="24"/>
        </w:rPr>
        <w:t xml:space="preserve"> of</w:t>
      </w:r>
      <w:r w:rsidRPr="00244B89">
        <w:rPr>
          <w:szCs w:val="24"/>
        </w:rPr>
        <w:t xml:space="preserve"> caspase-3 and PARP cleavage by </w:t>
      </w:r>
      <w:proofErr w:type="spellStart"/>
      <w:r w:rsidRPr="00244B89">
        <w:rPr>
          <w:szCs w:val="24"/>
        </w:rPr>
        <w:t>zVAD</w:t>
      </w:r>
      <w:proofErr w:type="spellEnd"/>
      <w:r w:rsidRPr="00244B89">
        <w:rPr>
          <w:szCs w:val="24"/>
        </w:rPr>
        <w:t xml:space="preserve">. A representative Western blot analysis (n=3). </w:t>
      </w:r>
      <w:r w:rsidRPr="00244B89">
        <w:rPr>
          <w:b/>
          <w:bCs/>
          <w:szCs w:val="24"/>
        </w:rPr>
        <w:t xml:space="preserve">(B) </w:t>
      </w:r>
      <w:proofErr w:type="spellStart"/>
      <w:r w:rsidR="004647D0" w:rsidRPr="00244B89">
        <w:rPr>
          <w:szCs w:val="24"/>
        </w:rPr>
        <w:t>zVAD</w:t>
      </w:r>
      <w:proofErr w:type="spellEnd"/>
      <w:r w:rsidR="004647D0" w:rsidRPr="00244B89">
        <w:rPr>
          <w:szCs w:val="24"/>
        </w:rPr>
        <w:t xml:space="preserve"> abolishes the induction of apoptosis (</w:t>
      </w:r>
      <w:r w:rsidR="004647D0" w:rsidRPr="00244B89">
        <w:rPr>
          <w:i/>
          <w:iCs/>
          <w:szCs w:val="24"/>
        </w:rPr>
        <w:t>right panels</w:t>
      </w:r>
      <w:r w:rsidR="004647D0" w:rsidRPr="00244B89">
        <w:rPr>
          <w:szCs w:val="24"/>
        </w:rPr>
        <w:t>). The analysis was performed following the adjustment of the threshold for CUR+CA auto-fluorescence in an unstained cell sample (</w:t>
      </w:r>
      <w:r w:rsidR="004647D0" w:rsidRPr="00244B89">
        <w:rPr>
          <w:i/>
          <w:iCs/>
          <w:szCs w:val="24"/>
        </w:rPr>
        <w:t>left panel</w:t>
      </w:r>
      <w:r w:rsidR="004647D0" w:rsidRPr="00244B89">
        <w:rPr>
          <w:szCs w:val="24"/>
        </w:rPr>
        <w:t xml:space="preserve">). Representative annexin V/PI binding data (summarized in </w:t>
      </w:r>
      <w:r w:rsidR="004647D0" w:rsidRPr="00244B89">
        <w:rPr>
          <w:b/>
          <w:bCs/>
          <w:szCs w:val="24"/>
        </w:rPr>
        <w:t>Fig. 1B</w:t>
      </w:r>
      <w:r w:rsidR="004647D0" w:rsidRPr="00244B89">
        <w:rPr>
          <w:szCs w:val="24"/>
        </w:rPr>
        <w:t>).</w:t>
      </w:r>
      <w:r w:rsidR="004647D0" w:rsidRPr="00244B89">
        <w:rPr>
          <w:b/>
          <w:bCs/>
          <w:szCs w:val="24"/>
        </w:rPr>
        <w:t xml:space="preserve"> </w:t>
      </w:r>
    </w:p>
    <w:p w14:paraId="44C91403" w14:textId="77777777" w:rsidR="007E7A68" w:rsidRPr="00244B89" w:rsidRDefault="007E7A68" w:rsidP="007E7A68">
      <w:pPr>
        <w:rPr>
          <w:szCs w:val="24"/>
        </w:rPr>
      </w:pPr>
    </w:p>
    <w:p w14:paraId="711194F9" w14:textId="77777777" w:rsidR="007E7A68" w:rsidRPr="00244B89" w:rsidRDefault="007E7A68" w:rsidP="007E7A68">
      <w:pPr>
        <w:rPr>
          <w:szCs w:val="24"/>
        </w:rPr>
      </w:pPr>
    </w:p>
    <w:p w14:paraId="4A8D0526" w14:textId="77777777" w:rsidR="007E7A68" w:rsidRPr="00244B89" w:rsidRDefault="007E7A68" w:rsidP="007E7A68">
      <w:pPr>
        <w:rPr>
          <w:szCs w:val="24"/>
        </w:rPr>
      </w:pPr>
    </w:p>
    <w:p w14:paraId="1F0B63D7" w14:textId="77777777" w:rsidR="007E7A68" w:rsidRPr="00244B89" w:rsidRDefault="007E7A68" w:rsidP="007E7A68">
      <w:pPr>
        <w:rPr>
          <w:szCs w:val="24"/>
        </w:rPr>
      </w:pPr>
    </w:p>
    <w:p w14:paraId="0B141BB4" w14:textId="5B86233A" w:rsidR="007E7A68" w:rsidRPr="00244B89" w:rsidRDefault="003B38CC" w:rsidP="0089649D">
      <w:pPr>
        <w:jc w:val="center"/>
        <w:rPr>
          <w:b/>
          <w:bCs/>
          <w:szCs w:val="24"/>
        </w:rPr>
      </w:pPr>
      <w:r w:rsidRPr="00244B89">
        <w:rPr>
          <w:b/>
          <w:bCs/>
          <w:noProof/>
          <w:szCs w:val="24"/>
          <w:lang w:bidi="he-IL"/>
        </w:rPr>
        <w:lastRenderedPageBreak/>
        <w:drawing>
          <wp:inline distT="0" distB="0" distL="0" distR="0" wp14:anchorId="0C66E81D" wp14:editId="22F992EC">
            <wp:extent cx="6204585" cy="4168140"/>
            <wp:effectExtent l="0" t="0" r="0" b="0"/>
            <wp:docPr id="4" name="Picture 4" descr="Fig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 S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8D0EE" w14:textId="6EE61C16" w:rsidR="007E7A68" w:rsidRPr="00244B89" w:rsidRDefault="007E7A68" w:rsidP="00FE3AEF">
      <w:pPr>
        <w:rPr>
          <w:szCs w:val="24"/>
        </w:rPr>
      </w:pPr>
      <w:r w:rsidRPr="00244B89">
        <w:rPr>
          <w:b/>
          <w:bCs/>
          <w:szCs w:val="24"/>
        </w:rPr>
        <w:t xml:space="preserve">Supplemental Figure </w:t>
      </w:r>
      <w:r w:rsidR="00906774" w:rsidRPr="00244B89">
        <w:rPr>
          <w:b/>
          <w:bCs/>
          <w:szCs w:val="24"/>
        </w:rPr>
        <w:t>S4</w:t>
      </w:r>
      <w:r w:rsidRPr="00244B89">
        <w:rPr>
          <w:b/>
          <w:bCs/>
          <w:szCs w:val="24"/>
        </w:rPr>
        <w:t>. MHC+CA and CUR+CA do not kill normal peripheral blood mononuclear cells.</w:t>
      </w:r>
      <w:r w:rsidRPr="00244B89">
        <w:rPr>
          <w:szCs w:val="24"/>
        </w:rPr>
        <w:t xml:space="preserve"> Freshly isolated PBMCs were</w:t>
      </w:r>
      <w:r w:rsidRPr="00244B89">
        <w:rPr>
          <w:b/>
          <w:bCs/>
          <w:szCs w:val="24"/>
        </w:rPr>
        <w:t xml:space="preserve"> </w:t>
      </w:r>
      <w:r w:rsidRPr="00244B89">
        <w:rPr>
          <w:szCs w:val="24"/>
        </w:rPr>
        <w:t xml:space="preserve">treated with the indicated compounds for different time periods. The apoptosis inducer </w:t>
      </w:r>
      <w:proofErr w:type="spellStart"/>
      <w:r w:rsidRPr="00244B89">
        <w:rPr>
          <w:szCs w:val="24"/>
        </w:rPr>
        <w:t>staurosporine</w:t>
      </w:r>
      <w:proofErr w:type="spellEnd"/>
      <w:r w:rsidRPr="00244B89">
        <w:rPr>
          <w:szCs w:val="24"/>
        </w:rPr>
        <w:t xml:space="preserve"> (STS) was used as the positive control. </w:t>
      </w:r>
      <w:r w:rsidRPr="00244B89">
        <w:rPr>
          <w:b/>
          <w:bCs/>
          <w:szCs w:val="24"/>
        </w:rPr>
        <w:t xml:space="preserve">(A) </w:t>
      </w:r>
      <w:r w:rsidRPr="00244B89">
        <w:rPr>
          <w:szCs w:val="24"/>
        </w:rPr>
        <w:t xml:space="preserve">The extent of apoptosis </w:t>
      </w:r>
      <w:r w:rsidR="00FE3AEF" w:rsidRPr="00244B89">
        <w:rPr>
          <w:szCs w:val="24"/>
        </w:rPr>
        <w:t xml:space="preserve">was </w:t>
      </w:r>
      <w:r w:rsidRPr="00244B89">
        <w:rPr>
          <w:szCs w:val="24"/>
        </w:rPr>
        <w:t xml:space="preserve">determined by the annexin V/PI binding assay following 8 h of incubation. </w:t>
      </w:r>
      <w:r w:rsidRPr="00244B89">
        <w:rPr>
          <w:b/>
          <w:bCs/>
          <w:szCs w:val="24"/>
        </w:rPr>
        <w:t>(B)</w:t>
      </w:r>
      <w:r w:rsidRPr="00244B89">
        <w:rPr>
          <w:szCs w:val="24"/>
        </w:rPr>
        <w:t xml:space="preserve"> </w:t>
      </w:r>
      <w:r w:rsidR="00656575" w:rsidRPr="00244B89">
        <w:rPr>
          <w:szCs w:val="24"/>
        </w:rPr>
        <w:t xml:space="preserve">Representative microphotographs of PBMC cultures following treatment for 1 h and 14 h. Normal-area cells </w:t>
      </w:r>
      <w:r w:rsidR="00656575" w:rsidRPr="00244B89">
        <w:rPr>
          <w:lang w:bidi="he-IL"/>
        </w:rPr>
        <w:t>(</w:t>
      </w:r>
      <w:r w:rsidR="00656575" w:rsidRPr="00244B89">
        <w:rPr>
          <w:rFonts w:cs="Times New Roman"/>
          <w:lang w:bidi="he-IL"/>
        </w:rPr>
        <w:t>≥</w:t>
      </w:r>
      <w:r w:rsidR="00656575" w:rsidRPr="00244B89">
        <w:rPr>
          <w:lang w:bidi="he-IL"/>
        </w:rPr>
        <w:t xml:space="preserve"> 50 </w:t>
      </w:r>
      <w:r w:rsidR="00656575" w:rsidRPr="00244B89">
        <w:rPr>
          <w:lang w:bidi="he-IL"/>
        </w:rPr>
        <w:sym w:font="Symbol" w:char="F06D"/>
      </w:r>
      <w:r w:rsidR="00656575" w:rsidRPr="00244B89">
        <w:rPr>
          <w:lang w:bidi="he-IL"/>
        </w:rPr>
        <w:t>m</w:t>
      </w:r>
      <w:r w:rsidR="00656575" w:rsidRPr="00244B89">
        <w:rPr>
          <w:vertAlign w:val="superscript"/>
          <w:lang w:bidi="he-IL"/>
        </w:rPr>
        <w:t>2</w:t>
      </w:r>
      <w:r w:rsidR="00656575" w:rsidRPr="00244B89">
        <w:rPr>
          <w:lang w:bidi="he-IL"/>
        </w:rPr>
        <w:t>) and low-area cells (</w:t>
      </w:r>
      <w:r w:rsidR="00656575" w:rsidRPr="00244B89">
        <w:rPr>
          <w:rFonts w:cs="Times New Roman"/>
          <w:lang w:bidi="he-IL"/>
        </w:rPr>
        <w:t>&lt;</w:t>
      </w:r>
      <w:r w:rsidR="00656575" w:rsidRPr="00244B89">
        <w:rPr>
          <w:lang w:bidi="he-IL"/>
        </w:rPr>
        <w:t xml:space="preserve"> 50 </w:t>
      </w:r>
      <w:r w:rsidR="00656575" w:rsidRPr="00244B89">
        <w:rPr>
          <w:lang w:bidi="he-IL"/>
        </w:rPr>
        <w:sym w:font="Symbol" w:char="F06D"/>
      </w:r>
      <w:r w:rsidR="00656575" w:rsidRPr="00244B89">
        <w:rPr>
          <w:lang w:bidi="he-IL"/>
        </w:rPr>
        <w:t>m</w:t>
      </w:r>
      <w:r w:rsidR="00656575" w:rsidRPr="00244B89">
        <w:rPr>
          <w:vertAlign w:val="superscript"/>
          <w:lang w:bidi="he-IL"/>
        </w:rPr>
        <w:t>2</w:t>
      </w:r>
      <w:r w:rsidR="00656575" w:rsidRPr="00244B89">
        <w:rPr>
          <w:lang w:bidi="he-IL"/>
        </w:rPr>
        <w:t xml:space="preserve">) were defined by the </w:t>
      </w:r>
      <w:proofErr w:type="spellStart"/>
      <w:r w:rsidR="00656575" w:rsidRPr="00244B89">
        <w:rPr>
          <w:lang w:bidi="he-IL"/>
        </w:rPr>
        <w:t>IncuCyte</w:t>
      </w:r>
      <w:proofErr w:type="spellEnd"/>
      <w:r w:rsidR="00656575" w:rsidRPr="00244B89">
        <w:rPr>
          <w:lang w:bidi="he-IL"/>
        </w:rPr>
        <w:t xml:space="preserve">® S3 software and are </w:t>
      </w:r>
      <w:r w:rsidR="00656575" w:rsidRPr="00244B89">
        <w:rPr>
          <w:szCs w:val="24"/>
        </w:rPr>
        <w:t xml:space="preserve">marked in blue and orange, respectively. </w:t>
      </w:r>
      <w:r w:rsidRPr="00244B89">
        <w:rPr>
          <w:b/>
          <w:bCs/>
          <w:szCs w:val="24"/>
        </w:rPr>
        <w:t>(C)</w:t>
      </w:r>
      <w:r w:rsidRPr="00244B89">
        <w:rPr>
          <w:szCs w:val="24"/>
        </w:rPr>
        <w:t xml:space="preserve"> </w:t>
      </w:r>
      <w:r w:rsidR="00656575" w:rsidRPr="00244B89">
        <w:rPr>
          <w:szCs w:val="24"/>
        </w:rPr>
        <w:t xml:space="preserve">The percentages of low-area cells </w:t>
      </w:r>
      <w:r w:rsidR="00FE3AEF" w:rsidRPr="00244B89">
        <w:rPr>
          <w:szCs w:val="24"/>
        </w:rPr>
        <w:t xml:space="preserve">were </w:t>
      </w:r>
      <w:r w:rsidR="00656575" w:rsidRPr="00244B89">
        <w:rPr>
          <w:szCs w:val="24"/>
        </w:rPr>
        <w:t xml:space="preserve">determined during incubation in an </w:t>
      </w:r>
      <w:proofErr w:type="spellStart"/>
      <w:r w:rsidR="00656575" w:rsidRPr="00244B89">
        <w:rPr>
          <w:lang w:bidi="he-IL"/>
        </w:rPr>
        <w:t>IncuCyte</w:t>
      </w:r>
      <w:proofErr w:type="spellEnd"/>
      <w:r w:rsidR="00656575" w:rsidRPr="00244B89">
        <w:rPr>
          <w:lang w:bidi="he-IL"/>
        </w:rPr>
        <w:t>® S3</w:t>
      </w:r>
      <w:r w:rsidR="00656575" w:rsidRPr="00244B89">
        <w:rPr>
          <w:szCs w:val="24"/>
        </w:rPr>
        <w:t xml:space="preserve"> instrument. </w:t>
      </w:r>
      <w:r w:rsidR="00FE3AEF" w:rsidRPr="00244B89">
        <w:rPr>
          <w:szCs w:val="24"/>
        </w:rPr>
        <w:t xml:space="preserve">***, p &lt; 0.001; one-way ANOVA with Tukey multiple comparison post-hoc analysis.  </w:t>
      </w:r>
      <w:r w:rsidR="00FE3AEF" w:rsidRPr="00244B89">
        <w:rPr>
          <w:b/>
          <w:bCs/>
          <w:szCs w:val="24"/>
        </w:rPr>
        <w:t xml:space="preserve">(C) </w:t>
      </w:r>
      <w:r w:rsidRPr="00244B89">
        <w:rPr>
          <w:szCs w:val="24"/>
        </w:rPr>
        <w:t xml:space="preserve">****, p &lt; 0.0001 vs. Vehicle; One-way ANOVA with </w:t>
      </w:r>
      <w:proofErr w:type="spellStart"/>
      <w:r w:rsidRPr="00244B89">
        <w:rPr>
          <w:szCs w:val="24"/>
        </w:rPr>
        <w:t>Dunnet</w:t>
      </w:r>
      <w:proofErr w:type="spellEnd"/>
      <w:r w:rsidRPr="00244B89">
        <w:rPr>
          <w:szCs w:val="24"/>
        </w:rPr>
        <w:t xml:space="preserve"> post-hoc analysis. </w:t>
      </w:r>
    </w:p>
    <w:p w14:paraId="1301EB33" w14:textId="77777777" w:rsidR="007E7A68" w:rsidRPr="00244B89" w:rsidRDefault="007E7A68" w:rsidP="007E7A68">
      <w:pPr>
        <w:rPr>
          <w:szCs w:val="24"/>
        </w:rPr>
      </w:pPr>
    </w:p>
    <w:p w14:paraId="7C776BFD" w14:textId="0B08C5E2" w:rsidR="00DE6F34" w:rsidRPr="00244B89" w:rsidRDefault="00DE6F34" w:rsidP="0029045B">
      <w:pPr>
        <w:rPr>
          <w:szCs w:val="24"/>
        </w:rPr>
      </w:pPr>
      <w:r w:rsidRPr="00244B89">
        <w:rPr>
          <w:noProof/>
          <w:szCs w:val="24"/>
          <w:lang w:bidi="he-IL"/>
        </w:rPr>
        <w:lastRenderedPageBreak/>
        <w:drawing>
          <wp:inline distT="0" distB="0" distL="0" distR="0" wp14:anchorId="01608121" wp14:editId="0B7B7E4A">
            <wp:extent cx="6120000" cy="400662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006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3E50D9" w14:textId="1BB8B041" w:rsidR="00DE6F34" w:rsidRPr="00244B89" w:rsidRDefault="00C80B25" w:rsidP="00906774">
      <w:pPr>
        <w:rPr>
          <w:szCs w:val="24"/>
        </w:rPr>
      </w:pPr>
      <w:r w:rsidRPr="00244B89">
        <w:rPr>
          <w:b/>
          <w:bCs/>
          <w:szCs w:val="24"/>
        </w:rPr>
        <w:t xml:space="preserve">Supplemental Figure </w:t>
      </w:r>
      <w:r w:rsidR="00906774" w:rsidRPr="00244B89">
        <w:rPr>
          <w:b/>
          <w:bCs/>
          <w:szCs w:val="24"/>
        </w:rPr>
        <w:t>S5</w:t>
      </w:r>
      <w:r w:rsidRPr="00244B89">
        <w:rPr>
          <w:b/>
          <w:bCs/>
          <w:szCs w:val="24"/>
        </w:rPr>
        <w:t>. CUR, but not MHC, is fluorescent over a wide range of wavelengths.</w:t>
      </w:r>
      <w:r w:rsidRPr="00244B89">
        <w:rPr>
          <w:szCs w:val="24"/>
        </w:rPr>
        <w:t xml:space="preserve"> </w:t>
      </w:r>
      <w:r w:rsidR="00EC397C" w:rsidRPr="00244B89">
        <w:rPr>
          <w:szCs w:val="24"/>
        </w:rPr>
        <w:t>HL60 c</w:t>
      </w:r>
      <w:r w:rsidRPr="00244B89">
        <w:rPr>
          <w:szCs w:val="24"/>
        </w:rPr>
        <w:t xml:space="preserve">ells were incubated with the indicated compounds, for 24 h, followed by flow cytometric analysis in all </w:t>
      </w:r>
      <w:r w:rsidR="00AC5F1F" w:rsidRPr="00244B89">
        <w:rPr>
          <w:szCs w:val="24"/>
        </w:rPr>
        <w:t xml:space="preserve">the </w:t>
      </w:r>
      <w:r w:rsidRPr="00244B89">
        <w:rPr>
          <w:szCs w:val="24"/>
        </w:rPr>
        <w:t xml:space="preserve">available fluorescence channels (FL1-FL10). </w:t>
      </w:r>
      <w:r w:rsidRPr="00244B89">
        <w:rPr>
          <w:b/>
          <w:bCs/>
          <w:szCs w:val="24"/>
        </w:rPr>
        <w:t>(A)</w:t>
      </w:r>
      <w:r w:rsidRPr="00244B89">
        <w:rPr>
          <w:szCs w:val="24"/>
        </w:rPr>
        <w:t xml:space="preserve"> Typical histogram overlays obtained in a representative experiment. </w:t>
      </w:r>
      <w:r w:rsidRPr="00244B89">
        <w:rPr>
          <w:b/>
          <w:bCs/>
          <w:szCs w:val="24"/>
        </w:rPr>
        <w:t>(B)</w:t>
      </w:r>
      <w:r w:rsidRPr="00244B89">
        <w:rPr>
          <w:szCs w:val="24"/>
        </w:rPr>
        <w:t xml:space="preserve"> Averaged mean fluorescence intensity (MFI) values ± SD (n=4).</w:t>
      </w:r>
      <w:r w:rsidRPr="00244B89">
        <w:rPr>
          <w:b/>
          <w:bCs/>
          <w:szCs w:val="24"/>
        </w:rPr>
        <w:t xml:space="preserve"> (C)</w:t>
      </w:r>
      <w:r w:rsidRPr="00244B89">
        <w:rPr>
          <w:szCs w:val="24"/>
        </w:rPr>
        <w:t xml:space="preserve"> Cells were treated with CUR or MHC in the presence or absence of CA, for 24 h, followed by flow cytometry in FL3 channel. Overlay histograms from a representative experiment in unstained cell</w:t>
      </w:r>
      <w:r w:rsidR="00AC5F1F" w:rsidRPr="00244B89">
        <w:rPr>
          <w:szCs w:val="24"/>
        </w:rPr>
        <w:t>s</w:t>
      </w:r>
      <w:r w:rsidRPr="00244B89">
        <w:rPr>
          <w:szCs w:val="24"/>
        </w:rPr>
        <w:t xml:space="preserve"> are shown. Channel details: (1) Blue laser (488 nm); emission: 505-545 nm</w:t>
      </w:r>
      <w:r w:rsidR="00AC5F1F" w:rsidRPr="00244B89">
        <w:rPr>
          <w:szCs w:val="24"/>
        </w:rPr>
        <w:t xml:space="preserve"> (FL1)</w:t>
      </w:r>
      <w:r w:rsidRPr="00244B89">
        <w:rPr>
          <w:szCs w:val="24"/>
        </w:rPr>
        <w:t>; 560-590 nm</w:t>
      </w:r>
      <w:r w:rsidR="00AC5F1F" w:rsidRPr="00244B89">
        <w:rPr>
          <w:szCs w:val="24"/>
        </w:rPr>
        <w:t xml:space="preserve"> (FL2)</w:t>
      </w:r>
      <w:r w:rsidRPr="00244B89">
        <w:rPr>
          <w:szCs w:val="24"/>
        </w:rPr>
        <w:t>; 605-635 nm</w:t>
      </w:r>
      <w:r w:rsidR="00AC5F1F" w:rsidRPr="00244B89">
        <w:rPr>
          <w:szCs w:val="24"/>
        </w:rPr>
        <w:t xml:space="preserve"> (FL3)</w:t>
      </w:r>
      <w:r w:rsidRPr="00244B89">
        <w:rPr>
          <w:szCs w:val="24"/>
        </w:rPr>
        <w:t>; 680-710 nm</w:t>
      </w:r>
      <w:r w:rsidR="00AC5F1F" w:rsidRPr="00244B89">
        <w:rPr>
          <w:szCs w:val="24"/>
        </w:rPr>
        <w:t xml:space="preserve"> (FL4)</w:t>
      </w:r>
      <w:r w:rsidRPr="00244B89">
        <w:rPr>
          <w:szCs w:val="24"/>
        </w:rPr>
        <w:t>; 755 nm</w:t>
      </w:r>
      <w:r w:rsidR="00AC5F1F" w:rsidRPr="00244B89">
        <w:rPr>
          <w:szCs w:val="24"/>
        </w:rPr>
        <w:t xml:space="preserve"> (FL5)</w:t>
      </w:r>
      <w:r w:rsidRPr="00244B89">
        <w:rPr>
          <w:szCs w:val="24"/>
        </w:rPr>
        <w:t>. (2) Red laser (638 nm); emission: 650-670 nm</w:t>
      </w:r>
      <w:r w:rsidR="00AC5F1F" w:rsidRPr="00244B89">
        <w:rPr>
          <w:szCs w:val="24"/>
        </w:rPr>
        <w:t xml:space="preserve"> (FL6)</w:t>
      </w:r>
      <w:r w:rsidRPr="00244B89">
        <w:rPr>
          <w:szCs w:val="24"/>
        </w:rPr>
        <w:t>; 715-735 nm</w:t>
      </w:r>
      <w:r w:rsidR="00AC5F1F" w:rsidRPr="00244B89">
        <w:rPr>
          <w:szCs w:val="24"/>
        </w:rPr>
        <w:t xml:space="preserve"> (FL7)</w:t>
      </w:r>
      <w:r w:rsidRPr="00244B89">
        <w:rPr>
          <w:szCs w:val="24"/>
        </w:rPr>
        <w:t>; 755 nm</w:t>
      </w:r>
      <w:r w:rsidR="00AC5F1F" w:rsidRPr="00244B89">
        <w:rPr>
          <w:szCs w:val="24"/>
        </w:rPr>
        <w:t xml:space="preserve"> (FL8)</w:t>
      </w:r>
      <w:r w:rsidRPr="00244B89">
        <w:rPr>
          <w:szCs w:val="24"/>
        </w:rPr>
        <w:t xml:space="preserve">; (3) Violet laser </w:t>
      </w:r>
      <w:r w:rsidR="00AC5F1F" w:rsidRPr="00244B89">
        <w:rPr>
          <w:szCs w:val="24"/>
        </w:rPr>
        <w:t>(</w:t>
      </w:r>
      <w:r w:rsidRPr="00244B89">
        <w:rPr>
          <w:szCs w:val="24"/>
        </w:rPr>
        <w:t>405 nm</w:t>
      </w:r>
      <w:r w:rsidR="00AC5F1F" w:rsidRPr="00244B89">
        <w:rPr>
          <w:szCs w:val="24"/>
        </w:rPr>
        <w:t>)</w:t>
      </w:r>
      <w:r w:rsidRPr="00244B89">
        <w:rPr>
          <w:szCs w:val="24"/>
        </w:rPr>
        <w:t>, emission: 430-470 nm</w:t>
      </w:r>
      <w:r w:rsidR="00AC5F1F" w:rsidRPr="00244B89">
        <w:rPr>
          <w:szCs w:val="24"/>
        </w:rPr>
        <w:t xml:space="preserve"> (FL9)</w:t>
      </w:r>
      <w:r w:rsidRPr="00244B89">
        <w:rPr>
          <w:szCs w:val="24"/>
        </w:rPr>
        <w:t>; 530-570</w:t>
      </w:r>
      <w:r w:rsidR="00AC5F1F" w:rsidRPr="00244B89">
        <w:rPr>
          <w:szCs w:val="24"/>
        </w:rPr>
        <w:t xml:space="preserve"> </w:t>
      </w:r>
      <w:r w:rsidRPr="00244B89">
        <w:rPr>
          <w:szCs w:val="24"/>
        </w:rPr>
        <w:t>nm</w:t>
      </w:r>
      <w:r w:rsidR="00AC5F1F" w:rsidRPr="00244B89">
        <w:rPr>
          <w:szCs w:val="24"/>
        </w:rPr>
        <w:t xml:space="preserve"> (FL10)</w:t>
      </w:r>
      <w:r w:rsidRPr="00244B89">
        <w:rPr>
          <w:szCs w:val="24"/>
        </w:rPr>
        <w:t>.</w:t>
      </w:r>
      <w:r w:rsidR="009F5AB9" w:rsidRPr="00244B89">
        <w:rPr>
          <w:szCs w:val="24"/>
        </w:rPr>
        <w:t xml:space="preserve"> AU – arbitrary units</w:t>
      </w:r>
      <w:r w:rsidR="009B16BB" w:rsidRPr="00244B89">
        <w:rPr>
          <w:szCs w:val="24"/>
        </w:rPr>
        <w:t>.</w:t>
      </w:r>
    </w:p>
    <w:p w14:paraId="4F6CE7ED" w14:textId="77777777" w:rsidR="000A071D" w:rsidRPr="00244B89" w:rsidRDefault="000A071D" w:rsidP="00906774">
      <w:pPr>
        <w:rPr>
          <w:szCs w:val="24"/>
        </w:rPr>
      </w:pPr>
    </w:p>
    <w:p w14:paraId="43A600BA" w14:textId="21C59DCA" w:rsidR="00C80B25" w:rsidRPr="00244B89" w:rsidRDefault="00DE6F34" w:rsidP="00DE6F34">
      <w:pPr>
        <w:jc w:val="center"/>
        <w:rPr>
          <w:szCs w:val="24"/>
        </w:rPr>
      </w:pPr>
      <w:r w:rsidRPr="00244B89">
        <w:rPr>
          <w:noProof/>
          <w:szCs w:val="24"/>
          <w:lang w:bidi="he-IL"/>
        </w:rPr>
        <w:lastRenderedPageBreak/>
        <w:drawing>
          <wp:inline distT="0" distB="0" distL="0" distR="0" wp14:anchorId="5DA87E03" wp14:editId="23F731CD">
            <wp:extent cx="3005455" cy="417004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1DFC4C" w14:textId="5F0DCC49" w:rsidR="00DE6F34" w:rsidRPr="00244B89" w:rsidRDefault="00DE6F34" w:rsidP="00AC5F1F">
      <w:pPr>
        <w:rPr>
          <w:szCs w:val="24"/>
        </w:rPr>
      </w:pPr>
    </w:p>
    <w:p w14:paraId="6754D378" w14:textId="114875AF" w:rsidR="00994A3D" w:rsidRPr="00244B89" w:rsidRDefault="00DE6F34" w:rsidP="00906774">
      <w:pPr>
        <w:rPr>
          <w:rFonts w:cs="Times New Roman"/>
          <w:szCs w:val="24"/>
        </w:rPr>
      </w:pPr>
      <w:r w:rsidRPr="00244B89">
        <w:rPr>
          <w:b/>
        </w:rPr>
        <w:t xml:space="preserve">Supplemental Figure </w:t>
      </w:r>
      <w:r w:rsidR="00906774" w:rsidRPr="00244B89">
        <w:rPr>
          <w:b/>
        </w:rPr>
        <w:t>S6</w:t>
      </w:r>
      <w:r w:rsidRPr="00244B89">
        <w:rPr>
          <w:b/>
        </w:rPr>
        <w:t>. Molecular structures of methyl 4-hydroxycinnamate, curcumin and carnosic acid.</w:t>
      </w:r>
    </w:p>
    <w:p w14:paraId="217F5E5D" w14:textId="77777777" w:rsidR="00461F6F" w:rsidRDefault="00461F6F" w:rsidP="00C21514">
      <w:pPr>
        <w:rPr>
          <w:b/>
          <w:bCs/>
          <w:szCs w:val="24"/>
        </w:rPr>
      </w:pPr>
    </w:p>
    <w:p w14:paraId="46A30F82" w14:textId="77777777" w:rsidR="00C21514" w:rsidRPr="00244B89" w:rsidRDefault="00C21514" w:rsidP="00C21514">
      <w:pPr>
        <w:rPr>
          <w:b/>
          <w:bCs/>
          <w:szCs w:val="24"/>
        </w:rPr>
      </w:pPr>
      <w:bookmarkStart w:id="1" w:name="_GoBack"/>
      <w:bookmarkEnd w:id="1"/>
      <w:r w:rsidRPr="00244B89">
        <w:rPr>
          <w:b/>
          <w:bCs/>
          <w:szCs w:val="24"/>
        </w:rPr>
        <w:t>Supplementary Videos</w:t>
      </w:r>
    </w:p>
    <w:p w14:paraId="7896D420" w14:textId="77777777" w:rsidR="00C21514" w:rsidRDefault="00C21514" w:rsidP="00C21514">
      <w:pPr>
        <w:autoSpaceDE w:val="0"/>
        <w:autoSpaceDN w:val="0"/>
        <w:adjustRightInd w:val="0"/>
        <w:spacing w:before="0" w:after="0"/>
        <w:rPr>
          <w:b/>
        </w:rPr>
      </w:pPr>
      <w:r>
        <w:rPr>
          <w:lang w:bidi="he-IL"/>
        </w:rPr>
        <w:t xml:space="preserve">U937 cells </w:t>
      </w:r>
      <w:r w:rsidRPr="00A878DD">
        <w:rPr>
          <w:lang w:bidi="he-IL"/>
        </w:rPr>
        <w:t>were tre</w:t>
      </w:r>
      <w:r w:rsidRPr="00A878DD">
        <w:rPr>
          <w:szCs w:val="24"/>
        </w:rPr>
        <w:t>ated with vehicle</w:t>
      </w:r>
      <w:r w:rsidRPr="00A878DD">
        <w:rPr>
          <w:b/>
          <w:bCs/>
          <w:szCs w:val="24"/>
        </w:rPr>
        <w:t xml:space="preserve"> </w:t>
      </w:r>
      <w:r>
        <w:rPr>
          <w:b/>
        </w:rPr>
        <w:t>(</w:t>
      </w:r>
      <w:r w:rsidRPr="002A23D7">
        <w:rPr>
          <w:b/>
        </w:rPr>
        <w:t>Video 1_v1</w:t>
      </w:r>
      <w:r>
        <w:rPr>
          <w:b/>
        </w:rPr>
        <w:t>)</w:t>
      </w:r>
      <w:r>
        <w:rPr>
          <w:bCs/>
        </w:rPr>
        <w:t xml:space="preserve"> or MHC+CA </w:t>
      </w:r>
      <w:r>
        <w:rPr>
          <w:b/>
        </w:rPr>
        <w:t>(</w:t>
      </w:r>
      <w:r w:rsidRPr="00A878DD">
        <w:rPr>
          <w:b/>
        </w:rPr>
        <w:t>Video 2_v1</w:t>
      </w:r>
      <w:r>
        <w:rPr>
          <w:b/>
        </w:rPr>
        <w:t>)</w:t>
      </w:r>
      <w:r w:rsidRPr="00165E06">
        <w:rPr>
          <w:bCs/>
        </w:rPr>
        <w:t>.</w:t>
      </w:r>
      <w:r>
        <w:rPr>
          <w:b/>
        </w:rPr>
        <w:t xml:space="preserve"> </w:t>
      </w:r>
      <w:r>
        <w:rPr>
          <w:szCs w:val="24"/>
        </w:rPr>
        <w:t>F</w:t>
      </w:r>
      <w:r w:rsidRPr="00244B89">
        <w:rPr>
          <w:szCs w:val="24"/>
        </w:rPr>
        <w:t>ollowing treatment</w:t>
      </w:r>
      <w:r>
        <w:rPr>
          <w:szCs w:val="24"/>
        </w:rPr>
        <w:t>s, m</w:t>
      </w:r>
      <w:r w:rsidRPr="00244B89">
        <w:rPr>
          <w:szCs w:val="24"/>
        </w:rPr>
        <w:t xml:space="preserve">icrophotographs </w:t>
      </w:r>
      <w:r>
        <w:rPr>
          <w:szCs w:val="24"/>
        </w:rPr>
        <w:t>(x200)</w:t>
      </w:r>
      <w:r w:rsidRPr="00244B89">
        <w:rPr>
          <w:szCs w:val="24"/>
        </w:rPr>
        <w:t xml:space="preserve"> of </w:t>
      </w:r>
      <w:r>
        <w:rPr>
          <w:szCs w:val="24"/>
        </w:rPr>
        <w:t xml:space="preserve">U937 </w:t>
      </w:r>
      <w:r w:rsidRPr="00244B89">
        <w:rPr>
          <w:szCs w:val="24"/>
        </w:rPr>
        <w:t>cultures</w:t>
      </w:r>
      <w:r>
        <w:rPr>
          <w:szCs w:val="24"/>
        </w:rPr>
        <w:t xml:space="preserve"> were taken once per hour</w:t>
      </w:r>
      <w:r w:rsidRPr="00244B89">
        <w:rPr>
          <w:szCs w:val="24"/>
        </w:rPr>
        <w:t xml:space="preserve"> </w:t>
      </w:r>
      <w:r>
        <w:rPr>
          <w:lang w:bidi="he-IL"/>
        </w:rPr>
        <w:t xml:space="preserve">by the </w:t>
      </w:r>
      <w:proofErr w:type="spellStart"/>
      <w:r w:rsidRPr="00244B89">
        <w:rPr>
          <w:lang w:bidi="he-IL"/>
        </w:rPr>
        <w:t>IncuCyte</w:t>
      </w:r>
      <w:proofErr w:type="spellEnd"/>
      <w:r w:rsidRPr="00244B89">
        <w:rPr>
          <w:lang w:bidi="he-IL"/>
        </w:rPr>
        <w:t>® S3</w:t>
      </w:r>
      <w:r w:rsidRPr="00244B89">
        <w:rPr>
          <w:szCs w:val="24"/>
        </w:rPr>
        <w:t xml:space="preserve"> instrument for </w:t>
      </w:r>
      <w:r>
        <w:rPr>
          <w:szCs w:val="24"/>
        </w:rPr>
        <w:t>the period of 24</w:t>
      </w:r>
      <w:r w:rsidRPr="00244B89">
        <w:rPr>
          <w:szCs w:val="24"/>
        </w:rPr>
        <w:t xml:space="preserve"> h </w:t>
      </w:r>
      <w:r>
        <w:rPr>
          <w:szCs w:val="24"/>
        </w:rPr>
        <w:t xml:space="preserve">and edited into a video file using </w:t>
      </w:r>
      <w:r w:rsidRPr="00244B89">
        <w:rPr>
          <w:lang w:bidi="he-IL"/>
        </w:rPr>
        <w:t xml:space="preserve">the </w:t>
      </w:r>
      <w:proofErr w:type="spellStart"/>
      <w:r w:rsidRPr="00244B89">
        <w:rPr>
          <w:lang w:bidi="he-IL"/>
        </w:rPr>
        <w:t>IncuCyte</w:t>
      </w:r>
      <w:proofErr w:type="spellEnd"/>
      <w:r w:rsidRPr="00244B89">
        <w:rPr>
          <w:lang w:bidi="he-IL"/>
        </w:rPr>
        <w:t>® S3 software</w:t>
      </w:r>
      <w:r w:rsidRPr="00244B89">
        <w:rPr>
          <w:szCs w:val="24"/>
        </w:rPr>
        <w:t>.</w:t>
      </w:r>
      <w:r>
        <w:rPr>
          <w:szCs w:val="24"/>
        </w:rPr>
        <w:t xml:space="preserve"> </w:t>
      </w:r>
    </w:p>
    <w:p w14:paraId="4F56DD1C" w14:textId="77777777" w:rsidR="00244B89" w:rsidRPr="00244B89" w:rsidRDefault="00244B89" w:rsidP="009B16BB">
      <w:pPr>
        <w:rPr>
          <w:b/>
          <w:bCs/>
        </w:rPr>
      </w:pPr>
    </w:p>
    <w:p w14:paraId="4F760794" w14:textId="174E74F3" w:rsidR="003B28F6" w:rsidRPr="00244B89" w:rsidRDefault="005C26CD" w:rsidP="009B16BB">
      <w:pPr>
        <w:rPr>
          <w:b/>
          <w:bCs/>
          <w:szCs w:val="24"/>
        </w:rPr>
      </w:pPr>
      <w:r w:rsidRPr="00244B89">
        <w:rPr>
          <w:b/>
          <w:bCs/>
        </w:rPr>
        <w:t>Supplemental Reference</w:t>
      </w:r>
    </w:p>
    <w:p w14:paraId="0FC867A3" w14:textId="681734B8" w:rsidR="003B28F6" w:rsidRPr="00244B89" w:rsidRDefault="005C26CD" w:rsidP="003B38CC">
      <w:pPr>
        <w:keepNext/>
        <w:rPr>
          <w:rFonts w:cs="Times New Roman"/>
          <w:szCs w:val="24"/>
        </w:rPr>
      </w:pPr>
      <w:r w:rsidRPr="00244B89">
        <w:rPr>
          <w:rFonts w:cs="Times New Roman"/>
          <w:szCs w:val="24"/>
        </w:rPr>
        <w:fldChar w:fldCharType="begin"/>
      </w:r>
      <w:r w:rsidRPr="00244B89">
        <w:rPr>
          <w:rFonts w:cs="Times New Roman"/>
          <w:szCs w:val="24"/>
        </w:rPr>
        <w:instrText xml:space="preserve"> ADDIN EN.REFLIST </w:instrText>
      </w:r>
      <w:r w:rsidRPr="00244B89">
        <w:rPr>
          <w:rFonts w:cs="Times New Roman"/>
          <w:szCs w:val="24"/>
        </w:rPr>
        <w:fldChar w:fldCharType="separate"/>
      </w:r>
      <w:bookmarkStart w:id="2" w:name="_ENREF_1"/>
      <w:r w:rsidRPr="00244B89">
        <w:rPr>
          <w:rFonts w:cs="Times New Roman"/>
          <w:noProof/>
          <w:szCs w:val="24"/>
        </w:rPr>
        <w:t>Pesakhov, S., Nachliely, M., Barvish, Z., Aqaqe, N., Schwartzman, B., Voronov, E., et al. (2016). Cancer-selective cytotoxic Ca</w:t>
      </w:r>
      <w:r w:rsidRPr="00244B89">
        <w:rPr>
          <w:rFonts w:cs="Times New Roman"/>
          <w:noProof/>
          <w:szCs w:val="24"/>
          <w:vertAlign w:val="superscript"/>
        </w:rPr>
        <w:t>2+</w:t>
      </w:r>
      <w:r w:rsidRPr="00244B89">
        <w:rPr>
          <w:rFonts w:cs="Times New Roman"/>
          <w:noProof/>
          <w:szCs w:val="24"/>
        </w:rPr>
        <w:t xml:space="preserve"> overload in acute myeloid leukemia cells and attenuation of disease progression in mice by synergistically acting polyphenols curcumin and carnosic acid. </w:t>
      </w:r>
      <w:r w:rsidRPr="00244B89">
        <w:rPr>
          <w:rFonts w:cs="Times New Roman"/>
          <w:i/>
          <w:noProof/>
          <w:szCs w:val="24"/>
        </w:rPr>
        <w:t>Oncotarget</w:t>
      </w:r>
      <w:r w:rsidRPr="00244B89">
        <w:rPr>
          <w:rFonts w:cs="Times New Roman"/>
          <w:noProof/>
          <w:szCs w:val="24"/>
        </w:rPr>
        <w:t xml:space="preserve"> 7</w:t>
      </w:r>
      <w:r w:rsidRPr="00244B89">
        <w:rPr>
          <w:rFonts w:cs="Times New Roman"/>
          <w:b/>
          <w:noProof/>
          <w:szCs w:val="24"/>
        </w:rPr>
        <w:t>,</w:t>
      </w:r>
      <w:r w:rsidRPr="00244B89">
        <w:rPr>
          <w:rFonts w:cs="Times New Roman"/>
          <w:noProof/>
          <w:szCs w:val="24"/>
        </w:rPr>
        <w:t xml:space="preserve"> 31847-31861.</w:t>
      </w:r>
      <w:bookmarkEnd w:id="2"/>
      <w:r w:rsidR="008F70E4" w:rsidRPr="00244B89">
        <w:t xml:space="preserve"> </w:t>
      </w:r>
      <w:r w:rsidR="008F70E4" w:rsidRPr="00244B89">
        <w:rPr>
          <w:rFonts w:cs="Times New Roman"/>
          <w:noProof/>
          <w:szCs w:val="24"/>
        </w:rPr>
        <w:t>doi: 10.18632/oncotarget.7240</w:t>
      </w:r>
      <w:r w:rsidRPr="00244B89">
        <w:rPr>
          <w:rFonts w:cs="Times New Roman"/>
          <w:szCs w:val="24"/>
        </w:rPr>
        <w:fldChar w:fldCharType="end"/>
      </w:r>
    </w:p>
    <w:sectPr w:rsidR="003B28F6" w:rsidRPr="00244B89" w:rsidSect="0093429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860CA5" w14:textId="77777777" w:rsidR="00F8717A" w:rsidRDefault="00F8717A" w:rsidP="00117666">
      <w:pPr>
        <w:spacing w:after="0"/>
      </w:pPr>
      <w:r>
        <w:separator/>
      </w:r>
    </w:p>
  </w:endnote>
  <w:endnote w:type="continuationSeparator" w:id="0">
    <w:p w14:paraId="681A9930" w14:textId="77777777" w:rsidR="00F8717A" w:rsidRDefault="00F8717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bidi="he-I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2151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21514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bidi="he-IL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61F6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61F6F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62D53C" w14:textId="77777777" w:rsidR="00F8717A" w:rsidRDefault="00F8717A" w:rsidP="00117666">
      <w:pPr>
        <w:spacing w:after="0"/>
      </w:pPr>
      <w:r>
        <w:separator/>
      </w:r>
    </w:p>
  </w:footnote>
  <w:footnote w:type="continuationSeparator" w:id="0">
    <w:p w14:paraId="4569557B" w14:textId="77777777" w:rsidR="00F8717A" w:rsidRDefault="00F8717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4381F" w14:textId="70C0DBFA" w:rsidR="009527D0" w:rsidRPr="009527D0" w:rsidRDefault="009527D0" w:rsidP="009527D0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bidi="he-IL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אבירם טרכטנברג">
    <w15:presenceInfo w15:providerId="AD" w15:userId="S-1-5-21-1220750395-818509756-262303683-16872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YwMjUwNzYwMLI0NLZU0lEKTi0uzszPAykwNK8FACZt2KUtAAAA"/>
    <w:docVar w:name="EN.Layout" w:val="&lt;ENLayout&gt;&lt;Style&gt;Frontiers-Scienc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fpw9rrvxfevwe7ea50hxxwap22azprx92wzp&quot;&gt;Leukemia EN-Aug4-2016&lt;record-ids&gt;&lt;item&gt;3736&lt;/item&gt;&lt;/record-ids&gt;&lt;/item&gt;&lt;/Libraries&gt;"/>
  </w:docVars>
  <w:rsids>
    <w:rsidRoot w:val="00ED20B5"/>
    <w:rsid w:val="0001436A"/>
    <w:rsid w:val="00034304"/>
    <w:rsid w:val="00035434"/>
    <w:rsid w:val="00052A14"/>
    <w:rsid w:val="00054193"/>
    <w:rsid w:val="00054550"/>
    <w:rsid w:val="00065D1D"/>
    <w:rsid w:val="00077D53"/>
    <w:rsid w:val="00082F06"/>
    <w:rsid w:val="00085539"/>
    <w:rsid w:val="000A071D"/>
    <w:rsid w:val="000B7D25"/>
    <w:rsid w:val="000C7FEF"/>
    <w:rsid w:val="000E3759"/>
    <w:rsid w:val="000E76DA"/>
    <w:rsid w:val="000F1E31"/>
    <w:rsid w:val="00105FD9"/>
    <w:rsid w:val="00117666"/>
    <w:rsid w:val="001549D3"/>
    <w:rsid w:val="00160065"/>
    <w:rsid w:val="00177D84"/>
    <w:rsid w:val="001832F8"/>
    <w:rsid w:val="001B2C09"/>
    <w:rsid w:val="001C00CF"/>
    <w:rsid w:val="001C4C35"/>
    <w:rsid w:val="001E6E66"/>
    <w:rsid w:val="0020046F"/>
    <w:rsid w:val="002413AD"/>
    <w:rsid w:val="00244B89"/>
    <w:rsid w:val="00267D18"/>
    <w:rsid w:val="002868E2"/>
    <w:rsid w:val="002869C3"/>
    <w:rsid w:val="0029045B"/>
    <w:rsid w:val="002936E4"/>
    <w:rsid w:val="00293D32"/>
    <w:rsid w:val="002B03BC"/>
    <w:rsid w:val="002B4A57"/>
    <w:rsid w:val="002C1210"/>
    <w:rsid w:val="002C74CA"/>
    <w:rsid w:val="002D3546"/>
    <w:rsid w:val="002F0A45"/>
    <w:rsid w:val="00306593"/>
    <w:rsid w:val="00341FA7"/>
    <w:rsid w:val="003544FB"/>
    <w:rsid w:val="00371935"/>
    <w:rsid w:val="00395436"/>
    <w:rsid w:val="00396F7D"/>
    <w:rsid w:val="003B28F6"/>
    <w:rsid w:val="003B38CC"/>
    <w:rsid w:val="003D2F2D"/>
    <w:rsid w:val="003F46E6"/>
    <w:rsid w:val="00401590"/>
    <w:rsid w:val="004234C5"/>
    <w:rsid w:val="004331A1"/>
    <w:rsid w:val="00447801"/>
    <w:rsid w:val="00452E9C"/>
    <w:rsid w:val="00461F6F"/>
    <w:rsid w:val="004647D0"/>
    <w:rsid w:val="004735C8"/>
    <w:rsid w:val="004947A6"/>
    <w:rsid w:val="004961FF"/>
    <w:rsid w:val="004E1941"/>
    <w:rsid w:val="004E2A49"/>
    <w:rsid w:val="005065A7"/>
    <w:rsid w:val="00517A89"/>
    <w:rsid w:val="005250F2"/>
    <w:rsid w:val="00540928"/>
    <w:rsid w:val="0057063E"/>
    <w:rsid w:val="00580532"/>
    <w:rsid w:val="00593EEA"/>
    <w:rsid w:val="00595E19"/>
    <w:rsid w:val="005A5EEE"/>
    <w:rsid w:val="005A73A5"/>
    <w:rsid w:val="005C26CD"/>
    <w:rsid w:val="005F62D8"/>
    <w:rsid w:val="006375C7"/>
    <w:rsid w:val="00651866"/>
    <w:rsid w:val="00654E8F"/>
    <w:rsid w:val="00656575"/>
    <w:rsid w:val="00660D05"/>
    <w:rsid w:val="006820B1"/>
    <w:rsid w:val="00694C1C"/>
    <w:rsid w:val="006979CB"/>
    <w:rsid w:val="006B41EE"/>
    <w:rsid w:val="006B7D14"/>
    <w:rsid w:val="006D2D08"/>
    <w:rsid w:val="00701727"/>
    <w:rsid w:val="00701B79"/>
    <w:rsid w:val="0070566C"/>
    <w:rsid w:val="007062D3"/>
    <w:rsid w:val="00714C50"/>
    <w:rsid w:val="00725A7D"/>
    <w:rsid w:val="007460F3"/>
    <w:rsid w:val="007501BE"/>
    <w:rsid w:val="007562FF"/>
    <w:rsid w:val="00770438"/>
    <w:rsid w:val="00790BB3"/>
    <w:rsid w:val="007C0B73"/>
    <w:rsid w:val="007C206C"/>
    <w:rsid w:val="007E7A68"/>
    <w:rsid w:val="00817DD6"/>
    <w:rsid w:val="0083759F"/>
    <w:rsid w:val="0084422E"/>
    <w:rsid w:val="008712B5"/>
    <w:rsid w:val="00885156"/>
    <w:rsid w:val="00892355"/>
    <w:rsid w:val="0089649D"/>
    <w:rsid w:val="008F70E4"/>
    <w:rsid w:val="00906774"/>
    <w:rsid w:val="00912E9F"/>
    <w:rsid w:val="009151AA"/>
    <w:rsid w:val="0093429D"/>
    <w:rsid w:val="00937A60"/>
    <w:rsid w:val="00943573"/>
    <w:rsid w:val="009527D0"/>
    <w:rsid w:val="00961B9E"/>
    <w:rsid w:val="009677E3"/>
    <w:rsid w:val="00970F7D"/>
    <w:rsid w:val="00994A3D"/>
    <w:rsid w:val="00996134"/>
    <w:rsid w:val="009A2767"/>
    <w:rsid w:val="009B16BB"/>
    <w:rsid w:val="009C2B12"/>
    <w:rsid w:val="009E3A0F"/>
    <w:rsid w:val="009F5AB9"/>
    <w:rsid w:val="00A174D9"/>
    <w:rsid w:val="00A23BDE"/>
    <w:rsid w:val="00A51586"/>
    <w:rsid w:val="00AA4D24"/>
    <w:rsid w:val="00AB6715"/>
    <w:rsid w:val="00AC5505"/>
    <w:rsid w:val="00AC5F1F"/>
    <w:rsid w:val="00AE2391"/>
    <w:rsid w:val="00B1671E"/>
    <w:rsid w:val="00B17125"/>
    <w:rsid w:val="00B2299A"/>
    <w:rsid w:val="00B25EB8"/>
    <w:rsid w:val="00B30956"/>
    <w:rsid w:val="00B37F4D"/>
    <w:rsid w:val="00B4272A"/>
    <w:rsid w:val="00B91087"/>
    <w:rsid w:val="00BB2E99"/>
    <w:rsid w:val="00BC42BE"/>
    <w:rsid w:val="00BF0E40"/>
    <w:rsid w:val="00C21514"/>
    <w:rsid w:val="00C41629"/>
    <w:rsid w:val="00C52A7B"/>
    <w:rsid w:val="00C56BAF"/>
    <w:rsid w:val="00C65188"/>
    <w:rsid w:val="00C679AA"/>
    <w:rsid w:val="00C71777"/>
    <w:rsid w:val="00C75972"/>
    <w:rsid w:val="00C80B25"/>
    <w:rsid w:val="00C81DED"/>
    <w:rsid w:val="00CD066B"/>
    <w:rsid w:val="00CE4FEE"/>
    <w:rsid w:val="00D23339"/>
    <w:rsid w:val="00DB59C3"/>
    <w:rsid w:val="00DB75BA"/>
    <w:rsid w:val="00DC259A"/>
    <w:rsid w:val="00DE23E8"/>
    <w:rsid w:val="00DE6F34"/>
    <w:rsid w:val="00E27B19"/>
    <w:rsid w:val="00E309FB"/>
    <w:rsid w:val="00E5090D"/>
    <w:rsid w:val="00E52377"/>
    <w:rsid w:val="00E64E17"/>
    <w:rsid w:val="00E866C9"/>
    <w:rsid w:val="00EA314D"/>
    <w:rsid w:val="00EA3D3C"/>
    <w:rsid w:val="00EC03B8"/>
    <w:rsid w:val="00EC090A"/>
    <w:rsid w:val="00EC397C"/>
    <w:rsid w:val="00ED20B5"/>
    <w:rsid w:val="00F144AD"/>
    <w:rsid w:val="00F31161"/>
    <w:rsid w:val="00F46900"/>
    <w:rsid w:val="00F5254A"/>
    <w:rsid w:val="00F61D89"/>
    <w:rsid w:val="00F740A8"/>
    <w:rsid w:val="00F8717A"/>
    <w:rsid w:val="00FB39B6"/>
    <w:rsid w:val="00FE3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Default">
    <w:name w:val="Default"/>
    <w:rsid w:val="00937A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Default">
    <w:name w:val="Default"/>
    <w:rsid w:val="00937A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microsoft.com/office/2011/relationships/people" Target="peop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972FE2D-B97B-4726-98F3-BEE414C2D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31</TotalTime>
  <Pages>7</Pages>
  <Words>1343</Words>
  <Characters>7657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אבירם טרכטנברג</dc:creator>
  <cp:lastModifiedBy>Michael Danilenko</cp:lastModifiedBy>
  <cp:revision>7</cp:revision>
  <cp:lastPrinted>2013-10-03T12:51:00Z</cp:lastPrinted>
  <dcterms:created xsi:type="dcterms:W3CDTF">2019-05-01T06:40:00Z</dcterms:created>
  <dcterms:modified xsi:type="dcterms:W3CDTF">2019-05-01T08:36:00Z</dcterms:modified>
</cp:coreProperties>
</file>