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E3" w:rsidRPr="003F2218" w:rsidRDefault="00BC165A">
      <w:pPr>
        <w:pStyle w:val="Standard"/>
        <w:spacing w:after="0" w:line="360" w:lineRule="auto"/>
        <w:rPr>
          <w:lang w:val="en-US"/>
        </w:rPr>
      </w:pPr>
      <w:r w:rsidRPr="003F2218">
        <w:rPr>
          <w:rFonts w:ascii="Cambria" w:hAnsi="Cambria" w:cs="Calibri"/>
          <w:b/>
          <w:i/>
          <w:lang w:val="en-US"/>
        </w:rPr>
        <w:t xml:space="preserve">Supplemental table </w:t>
      </w:r>
      <w:r w:rsidR="00EB7533" w:rsidRPr="003F2218">
        <w:rPr>
          <w:rFonts w:ascii="Cambria" w:hAnsi="Cambria"/>
          <w:b/>
          <w:i/>
          <w:lang w:val="en-US"/>
        </w:rPr>
        <w:t>S3</w:t>
      </w:r>
      <w:r w:rsidRPr="003F2218">
        <w:rPr>
          <w:rFonts w:ascii="Cambria" w:hAnsi="Cambria" w:cs="Calibri"/>
          <w:b/>
          <w:i/>
          <w:lang w:val="en-US"/>
        </w:rPr>
        <w:t>:</w:t>
      </w:r>
      <w:r w:rsidRPr="003F2218">
        <w:rPr>
          <w:rFonts w:ascii="Cambria" w:hAnsi="Cambria" w:cs="Calibri"/>
          <w:i/>
          <w:lang w:val="en-US"/>
        </w:rPr>
        <w:t xml:space="preserve"> Genotype</w:t>
      </w:r>
      <w:r w:rsidR="00F36D71" w:rsidRPr="003F2218">
        <w:rPr>
          <w:rFonts w:ascii="Cambria" w:hAnsi="Cambria" w:cs="Calibri"/>
          <w:i/>
          <w:lang w:val="en-US"/>
        </w:rPr>
        <w:t>-related</w:t>
      </w:r>
      <w:r w:rsidRPr="003F2218">
        <w:rPr>
          <w:rFonts w:ascii="Cambria" w:hAnsi="Cambria" w:cs="Calibri"/>
          <w:i/>
          <w:lang w:val="en-US"/>
        </w:rPr>
        <w:t xml:space="preserve"> </w:t>
      </w:r>
      <w:r w:rsidR="00F36D71" w:rsidRPr="003F2218">
        <w:rPr>
          <w:rFonts w:ascii="Cambria" w:hAnsi="Cambria" w:cs="Calibri"/>
          <w:i/>
          <w:lang w:val="en-US"/>
        </w:rPr>
        <w:t xml:space="preserve">differences in </w:t>
      </w:r>
      <w:r w:rsidRPr="003F2218">
        <w:rPr>
          <w:rFonts w:ascii="Cambria" w:hAnsi="Cambria" w:cs="Calibri"/>
          <w:i/>
          <w:lang w:val="en-US"/>
        </w:rPr>
        <w:t xml:space="preserve">assessed muscle parameters </w:t>
      </w:r>
      <w:r w:rsidRPr="003F2218">
        <w:rPr>
          <w:rFonts w:ascii="Cambria" w:hAnsi="Cambria"/>
          <w:i/>
          <w:lang w:val="en-US"/>
        </w:rPr>
        <w:t>over power and endurance athletes combined</w:t>
      </w:r>
      <w:r w:rsidRPr="003F2218">
        <w:rPr>
          <w:rFonts w:ascii="Cambria" w:hAnsi="Cambria" w:cs="Calibri"/>
          <w:i/>
          <w:lang w:val="en-US"/>
        </w:rPr>
        <w:t xml:space="preserve">. </w:t>
      </w:r>
      <w:r w:rsidRPr="003F2218">
        <w:rPr>
          <w:rFonts w:ascii="Cambria" w:hAnsi="Cambria" w:cs="Calibri"/>
          <w:lang w:val="en-US"/>
        </w:rPr>
        <w:t>Statistical analysis of p-values, F-values, and effect size, was conducted with multivariate ANOVA or univariate ANOVAs with post hoc test of least significant difference. Sample size refers to the prospective number of biological replicas to achieve statistical significance.</w:t>
      </w:r>
    </w:p>
    <w:tbl>
      <w:tblPr>
        <w:tblW w:w="9942" w:type="dxa"/>
        <w:tblInd w:w="-49" w:type="dxa"/>
        <w:tblLayout w:type="fixed"/>
        <w:tblCellMar>
          <w:left w:w="10" w:type="dxa"/>
          <w:right w:w="10" w:type="dxa"/>
        </w:tblCellMar>
        <w:tblLook w:val="04A0" w:firstRow="1" w:lastRow="0" w:firstColumn="1" w:lastColumn="0" w:noHBand="0" w:noVBand="1"/>
      </w:tblPr>
      <w:tblGrid>
        <w:gridCol w:w="1292"/>
        <w:gridCol w:w="3119"/>
        <w:gridCol w:w="1103"/>
        <w:gridCol w:w="1109"/>
        <w:gridCol w:w="1607"/>
        <w:gridCol w:w="1712"/>
      </w:tblGrid>
      <w:tr w:rsidR="003F2218" w:rsidRPr="003F2218">
        <w:trPr>
          <w:trHeight w:val="322"/>
        </w:trPr>
        <w:tc>
          <w:tcPr>
            <w:tcW w:w="1292"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b/>
                <w:lang w:val="en-US"/>
              </w:rPr>
            </w:pPr>
            <w:r w:rsidRPr="003F2218">
              <w:rPr>
                <w:rFonts w:ascii="Cambria" w:hAnsi="Cambria"/>
                <w:b/>
                <w:lang w:val="en-US"/>
              </w:rPr>
              <w:t>factor</w:t>
            </w:r>
          </w:p>
        </w:tc>
        <w:tc>
          <w:tcPr>
            <w:tcW w:w="3119"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b/>
                <w:lang w:val="en-US"/>
              </w:rPr>
            </w:pPr>
            <w:r w:rsidRPr="003F2218">
              <w:rPr>
                <w:rFonts w:ascii="Cambria" w:hAnsi="Cambria"/>
                <w:b/>
                <w:lang w:val="en-US"/>
              </w:rPr>
              <w:t>parameter</w:t>
            </w:r>
          </w:p>
        </w:tc>
        <w:tc>
          <w:tcPr>
            <w:tcW w:w="1103"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lang w:val="en-US"/>
              </w:rPr>
            </w:pPr>
            <w:r w:rsidRPr="003F2218">
              <w:rPr>
                <w:rFonts w:ascii="Cambria" w:hAnsi="Cambria"/>
                <w:b/>
                <w:i/>
                <w:lang w:val="en-US"/>
              </w:rPr>
              <w:t>p</w:t>
            </w:r>
            <w:r w:rsidRPr="003F2218">
              <w:rPr>
                <w:rFonts w:ascii="Cambria" w:hAnsi="Cambria"/>
                <w:b/>
                <w:lang w:val="en-US"/>
              </w:rPr>
              <w:t>-value</w:t>
            </w:r>
          </w:p>
        </w:tc>
        <w:tc>
          <w:tcPr>
            <w:tcW w:w="1109"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lang w:val="en-US"/>
              </w:rPr>
            </w:pPr>
            <w:r w:rsidRPr="003F2218">
              <w:rPr>
                <w:rFonts w:ascii="Cambria" w:hAnsi="Cambria" w:cs="Times New Roman"/>
                <w:b/>
                <w:i/>
                <w:lang w:val="en-US"/>
              </w:rPr>
              <w:t>F</w:t>
            </w:r>
            <w:r w:rsidRPr="003F2218">
              <w:rPr>
                <w:rFonts w:ascii="Cambria" w:hAnsi="Cambria" w:cs="Times New Roman"/>
                <w:b/>
                <w:lang w:val="en-US"/>
              </w:rPr>
              <w:t>-value</w:t>
            </w:r>
          </w:p>
        </w:tc>
        <w:tc>
          <w:tcPr>
            <w:tcW w:w="1607"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lang w:val="en-US"/>
              </w:rPr>
            </w:pPr>
            <w:r w:rsidRPr="003F2218">
              <w:rPr>
                <w:rFonts w:ascii="Cambria" w:hAnsi="Cambria"/>
                <w:b/>
                <w:lang w:val="en-US"/>
              </w:rPr>
              <w:t>effect size (</w:t>
            </w:r>
            <w:r w:rsidRPr="003F2218">
              <w:rPr>
                <w:rFonts w:ascii="Symbol" w:hAnsi="Symbol"/>
                <w:b/>
                <w:lang w:val="en-US"/>
              </w:rPr>
              <w:t></w:t>
            </w:r>
            <w:r w:rsidRPr="003F2218">
              <w:rPr>
                <w:rFonts w:ascii="Cambria" w:hAnsi="Cambria"/>
                <w:b/>
                <w:vertAlign w:val="superscript"/>
                <w:lang w:val="en-US"/>
              </w:rPr>
              <w:t>2</w:t>
            </w:r>
            <w:r w:rsidRPr="003F2218">
              <w:rPr>
                <w:rFonts w:ascii="Cambria" w:hAnsi="Cambria"/>
                <w:b/>
                <w:lang w:val="en-US"/>
              </w:rPr>
              <w:t>)</w:t>
            </w:r>
          </w:p>
        </w:tc>
        <w:tc>
          <w:tcPr>
            <w:tcW w:w="1712" w:type="dxa"/>
            <w:tcBorders>
              <w:top w:val="single" w:sz="4" w:space="0" w:color="00000A"/>
              <w:bottom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b/>
                <w:lang w:val="en-US"/>
              </w:rPr>
            </w:pPr>
            <w:r w:rsidRPr="003F2218">
              <w:rPr>
                <w:rFonts w:ascii="Cambria" w:hAnsi="Cambria"/>
                <w:b/>
                <w:lang w:val="en-US"/>
              </w:rPr>
              <w:t>sample size</w:t>
            </w:r>
          </w:p>
        </w:tc>
      </w:tr>
      <w:tr w:rsidR="003F2218" w:rsidRPr="003F2218">
        <w:trPr>
          <w:trHeight w:val="322"/>
        </w:trPr>
        <w:tc>
          <w:tcPr>
            <w:tcW w:w="1292" w:type="dxa"/>
            <w:tcBorders>
              <w:top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rs1799752</w:t>
            </w:r>
          </w:p>
        </w:tc>
        <w:tc>
          <w:tcPr>
            <w:tcW w:w="3119" w:type="dxa"/>
            <w:tcBorders>
              <w:top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Capillary-to-</w:t>
            </w:r>
            <w:r w:rsidR="00043F67" w:rsidRPr="003F2218">
              <w:rPr>
                <w:rFonts w:ascii="Cambria" w:eastAsia="Times New Roman" w:hAnsi="Cambria" w:cs="Times New Roman"/>
                <w:lang w:val="en-US" w:eastAsia="fr-CH"/>
              </w:rPr>
              <w:t>fiber</w:t>
            </w:r>
            <w:r w:rsidRPr="003F2218">
              <w:rPr>
                <w:rFonts w:ascii="Cambria" w:eastAsia="Times New Roman" w:hAnsi="Cambria" w:cs="Times New Roman"/>
                <w:lang w:val="en-US" w:eastAsia="fr-CH"/>
              </w:rPr>
              <w:t xml:space="preserve"> ratio</w:t>
            </w:r>
            <w:bookmarkStart w:id="0" w:name="_GoBack"/>
            <w:bookmarkEnd w:id="0"/>
          </w:p>
        </w:tc>
        <w:tc>
          <w:tcPr>
            <w:tcW w:w="1103" w:type="dxa"/>
            <w:tcBorders>
              <w:top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0.875</w:t>
            </w:r>
          </w:p>
        </w:tc>
        <w:tc>
          <w:tcPr>
            <w:tcW w:w="1109" w:type="dxa"/>
            <w:tcBorders>
              <w:top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0.134</w:t>
            </w:r>
          </w:p>
        </w:tc>
        <w:tc>
          <w:tcPr>
            <w:tcW w:w="1607" w:type="dxa"/>
            <w:tcBorders>
              <w:top w:val="single" w:sz="4" w:space="0" w:color="00000A"/>
            </w:tcBorders>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0.012</w:t>
            </w:r>
          </w:p>
        </w:tc>
        <w:tc>
          <w:tcPr>
            <w:tcW w:w="1712" w:type="dxa"/>
            <w:tcBorders>
              <w:top w:val="single" w:sz="4" w:space="0" w:color="00000A"/>
            </w:tcBorders>
            <w:shd w:val="clear" w:color="auto" w:fill="auto"/>
            <w:tcMar>
              <w:top w:w="0" w:type="dxa"/>
              <w:left w:w="10" w:type="dxa"/>
              <w:bottom w:w="0" w:type="dxa"/>
              <w:right w:w="10" w:type="dxa"/>
            </w:tcMar>
          </w:tcPr>
          <w:p w:rsidR="001939E3"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1275</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(ACE)</w:t>
            </w: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Capillary length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0.384</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1.000</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0.083</w:t>
            </w:r>
          </w:p>
        </w:tc>
        <w:tc>
          <w:tcPr>
            <w:tcW w:w="1712" w:type="dxa"/>
            <w:shd w:val="clear" w:color="auto" w:fill="auto"/>
            <w:tcMar>
              <w:top w:w="0" w:type="dxa"/>
              <w:left w:w="10" w:type="dxa"/>
              <w:bottom w:w="0" w:type="dxa"/>
              <w:right w:w="10" w:type="dxa"/>
            </w:tcMar>
          </w:tcPr>
          <w:p w:rsidR="001939E3"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174</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1939E3" w:rsidRPr="003F2218" w:rsidRDefault="00F36D71">
            <w:pPr>
              <w:pStyle w:val="Standard"/>
              <w:spacing w:before="120" w:after="0" w:line="360" w:lineRule="auto"/>
              <w:rPr>
                <w:rFonts w:ascii="Cambria" w:eastAsia="Times New Roman" w:hAnsi="Cambria" w:cs="Arial"/>
                <w:lang w:val="en-US" w:eastAsia="de-CH"/>
              </w:rPr>
            </w:pPr>
            <w:r w:rsidRPr="003F2218">
              <w:rPr>
                <w:rFonts w:ascii="Cambria" w:eastAsia="Times New Roman" w:hAnsi="Cambria" w:cs="Arial"/>
                <w:lang w:val="en-US" w:eastAsia="de-CH"/>
              </w:rPr>
              <w:t xml:space="preserve">Fiber </w:t>
            </w:r>
            <w:r w:rsidR="00BC165A" w:rsidRPr="003F2218">
              <w:rPr>
                <w:rFonts w:ascii="Cambria" w:eastAsia="Times New Roman" w:hAnsi="Cambria" w:cs="Arial"/>
                <w:lang w:val="en-US" w:eastAsia="de-CH"/>
              </w:rPr>
              <w:t>MCSA</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0.672</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0.405</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0.036</w:t>
            </w:r>
          </w:p>
        </w:tc>
        <w:tc>
          <w:tcPr>
            <w:tcW w:w="1712" w:type="dxa"/>
            <w:shd w:val="clear" w:color="auto" w:fill="auto"/>
            <w:tcMar>
              <w:top w:w="0" w:type="dxa"/>
              <w:left w:w="10" w:type="dxa"/>
              <w:bottom w:w="0" w:type="dxa"/>
              <w:right w:w="10" w:type="dxa"/>
            </w:tcMar>
          </w:tcPr>
          <w:p w:rsidR="001939E3"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417</w:t>
            </w:r>
          </w:p>
        </w:tc>
      </w:tr>
      <w:tr w:rsidR="003F2218" w:rsidRPr="003F2218">
        <w:trPr>
          <w:trHeight w:val="322"/>
        </w:trPr>
        <w:tc>
          <w:tcPr>
            <w:tcW w:w="1292" w:type="dxa"/>
            <w:shd w:val="clear" w:color="auto" w:fill="auto"/>
            <w:tcMar>
              <w:top w:w="0" w:type="dxa"/>
              <w:left w:w="10" w:type="dxa"/>
              <w:bottom w:w="0" w:type="dxa"/>
              <w:right w:w="10" w:type="dxa"/>
            </w:tcMar>
          </w:tcPr>
          <w:p w:rsidR="00F36D71" w:rsidRPr="003F2218" w:rsidRDefault="00F36D71">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F36D71" w:rsidRPr="003F2218" w:rsidRDefault="00F36D71">
            <w:pPr>
              <w:pStyle w:val="Standard"/>
              <w:spacing w:before="120" w:after="0" w:line="360" w:lineRule="auto"/>
              <w:rPr>
                <w:rFonts w:ascii="Cambria" w:eastAsia="Times New Roman" w:hAnsi="Cambria" w:cs="Arial"/>
                <w:lang w:val="en-US" w:eastAsia="de-CH"/>
              </w:rPr>
            </w:pPr>
            <w:r w:rsidRPr="003F2218">
              <w:rPr>
                <w:rFonts w:ascii="Cambria" w:eastAsia="Times New Roman" w:hAnsi="Cambria" w:cs="Arial"/>
                <w:lang w:val="en-US" w:eastAsia="de-CH"/>
              </w:rPr>
              <w:t>Fiber type distribution</w:t>
            </w:r>
          </w:p>
        </w:tc>
        <w:tc>
          <w:tcPr>
            <w:tcW w:w="1103" w:type="dxa"/>
            <w:shd w:val="clear" w:color="auto" w:fill="auto"/>
            <w:tcMar>
              <w:top w:w="0" w:type="dxa"/>
              <w:left w:w="10" w:type="dxa"/>
              <w:bottom w:w="0" w:type="dxa"/>
              <w:right w:w="10" w:type="dxa"/>
            </w:tcMar>
          </w:tcPr>
          <w:p w:rsidR="00F36D71"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0.241</w:t>
            </w:r>
          </w:p>
        </w:tc>
        <w:tc>
          <w:tcPr>
            <w:tcW w:w="1109" w:type="dxa"/>
            <w:shd w:val="clear" w:color="auto" w:fill="auto"/>
            <w:tcMar>
              <w:top w:w="0" w:type="dxa"/>
              <w:left w:w="10" w:type="dxa"/>
              <w:bottom w:w="0" w:type="dxa"/>
              <w:right w:w="10" w:type="dxa"/>
            </w:tcMar>
          </w:tcPr>
          <w:p w:rsidR="00F36D71"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1.551</w:t>
            </w:r>
          </w:p>
        </w:tc>
        <w:tc>
          <w:tcPr>
            <w:tcW w:w="1607" w:type="dxa"/>
            <w:shd w:val="clear" w:color="auto" w:fill="auto"/>
            <w:tcMar>
              <w:top w:w="0" w:type="dxa"/>
              <w:left w:w="10" w:type="dxa"/>
              <w:bottom w:w="0" w:type="dxa"/>
              <w:right w:w="10" w:type="dxa"/>
            </w:tcMar>
          </w:tcPr>
          <w:p w:rsidR="00F36D71" w:rsidRPr="003F2218" w:rsidRDefault="00F36D71">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0.154</w:t>
            </w:r>
          </w:p>
        </w:tc>
        <w:tc>
          <w:tcPr>
            <w:tcW w:w="1712" w:type="dxa"/>
            <w:shd w:val="clear" w:color="auto" w:fill="auto"/>
            <w:tcMar>
              <w:top w:w="0" w:type="dxa"/>
              <w:left w:w="10" w:type="dxa"/>
              <w:bottom w:w="0" w:type="dxa"/>
              <w:right w:w="10" w:type="dxa"/>
            </w:tcMar>
          </w:tcPr>
          <w:p w:rsidR="00F36D71" w:rsidRPr="003F2218" w:rsidRDefault="00356CBD">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90</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proofErr w:type="spellStart"/>
            <w:r w:rsidRPr="003F2218">
              <w:rPr>
                <w:rFonts w:ascii="Cambria" w:hAnsi="Cambria"/>
                <w:lang w:val="en-US"/>
              </w:rPr>
              <w:t>Myofibrillar</w:t>
            </w:r>
            <w:proofErr w:type="spellEnd"/>
            <w:r w:rsidRPr="003F2218">
              <w:rPr>
                <w:rFonts w:ascii="Cambria" w:hAnsi="Cambria"/>
                <w:lang w:val="en-US"/>
              </w:rPr>
              <w:t xml:space="preserve"> volume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0.707</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0.352</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0.031</w:t>
            </w:r>
          </w:p>
        </w:tc>
        <w:tc>
          <w:tcPr>
            <w:tcW w:w="1712" w:type="dxa"/>
            <w:shd w:val="clear" w:color="auto" w:fill="auto"/>
            <w:tcMar>
              <w:top w:w="0" w:type="dxa"/>
              <w:left w:w="10" w:type="dxa"/>
              <w:bottom w:w="0" w:type="dxa"/>
              <w:right w:w="10" w:type="dxa"/>
            </w:tcMar>
          </w:tcPr>
          <w:p w:rsidR="001939E3" w:rsidRPr="003F2218" w:rsidRDefault="00356CBD">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486</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Mitochondrial volume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0.304</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1.256</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0.103</w:t>
            </w:r>
          </w:p>
        </w:tc>
        <w:tc>
          <w:tcPr>
            <w:tcW w:w="1712" w:type="dxa"/>
            <w:shd w:val="clear" w:color="auto" w:fill="auto"/>
            <w:tcMar>
              <w:top w:w="0" w:type="dxa"/>
              <w:left w:w="10" w:type="dxa"/>
              <w:bottom w:w="0" w:type="dxa"/>
              <w:right w:w="10" w:type="dxa"/>
            </w:tcMar>
          </w:tcPr>
          <w:p w:rsidR="001939E3" w:rsidRPr="003F2218" w:rsidRDefault="00741FF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138</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proofErr w:type="spellStart"/>
            <w:r w:rsidRPr="003F2218">
              <w:rPr>
                <w:rFonts w:ascii="Cambria" w:hAnsi="Cambria"/>
                <w:lang w:val="en-US"/>
              </w:rPr>
              <w:t>Intramyocellular</w:t>
            </w:r>
            <w:proofErr w:type="spellEnd"/>
            <w:r w:rsidRPr="003F2218">
              <w:rPr>
                <w:rFonts w:ascii="Cambria" w:hAnsi="Cambria"/>
                <w:lang w:val="en-US"/>
              </w:rPr>
              <w:t xml:space="preserve"> lipid volume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0.075</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2.849</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0.174</w:t>
            </w:r>
          </w:p>
        </w:tc>
        <w:tc>
          <w:tcPr>
            <w:tcW w:w="1712" w:type="dxa"/>
            <w:shd w:val="clear" w:color="auto" w:fill="auto"/>
            <w:tcMar>
              <w:top w:w="0" w:type="dxa"/>
              <w:left w:w="10" w:type="dxa"/>
              <w:bottom w:w="0" w:type="dxa"/>
              <w:right w:w="10" w:type="dxa"/>
            </w:tcMar>
          </w:tcPr>
          <w:p w:rsidR="001939E3" w:rsidRPr="003F2218" w:rsidRDefault="00741FF4">
            <w:pPr>
              <w:pStyle w:val="Standard"/>
              <w:spacing w:before="120" w:after="0" w:line="360" w:lineRule="auto"/>
              <w:jc w:val="center"/>
              <w:rPr>
                <w:rFonts w:ascii="Cambria" w:hAnsi="Cambria"/>
                <w:lang w:val="en-US"/>
              </w:rPr>
            </w:pPr>
            <w:r w:rsidRPr="003F2218">
              <w:rPr>
                <w:rFonts w:ascii="Cambria" w:hAnsi="Cambria" w:cs="Times New Roman"/>
                <w:lang w:val="en-US"/>
              </w:rPr>
              <w:t>78</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Sarcoplasmic volume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0.141</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2.108</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lang w:val="en-US"/>
              </w:rPr>
            </w:pPr>
            <w:r w:rsidRPr="003F2218">
              <w:rPr>
                <w:rFonts w:ascii="Cambria" w:hAnsi="Cambria"/>
                <w:lang w:val="en-US"/>
              </w:rPr>
              <w:t>0.135</w:t>
            </w:r>
          </w:p>
        </w:tc>
        <w:tc>
          <w:tcPr>
            <w:tcW w:w="1712" w:type="dxa"/>
            <w:shd w:val="clear" w:color="auto" w:fill="auto"/>
            <w:tcMar>
              <w:top w:w="0" w:type="dxa"/>
              <w:left w:w="10" w:type="dxa"/>
              <w:bottom w:w="0" w:type="dxa"/>
              <w:right w:w="10" w:type="dxa"/>
            </w:tcMar>
          </w:tcPr>
          <w:p w:rsidR="001939E3" w:rsidRPr="003F2218" w:rsidRDefault="00741FF4">
            <w:pPr>
              <w:pStyle w:val="Standard"/>
              <w:spacing w:before="120" w:after="0" w:line="360" w:lineRule="auto"/>
              <w:jc w:val="center"/>
              <w:rPr>
                <w:rFonts w:ascii="Cambria" w:hAnsi="Cambria"/>
                <w:lang w:val="en-US"/>
              </w:rPr>
            </w:pPr>
            <w:r w:rsidRPr="003F2218">
              <w:rPr>
                <w:rFonts w:ascii="Cambria" w:hAnsi="Cambria" w:cs="Times New Roman"/>
                <w:lang w:val="en-US"/>
              </w:rPr>
              <w:t>105</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hAnsi="Cambria"/>
                <w:lang w:val="en-US"/>
              </w:rPr>
            </w:pPr>
          </w:p>
        </w:tc>
        <w:tc>
          <w:tcPr>
            <w:tcW w:w="1103"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jc w:val="center"/>
              <w:rPr>
                <w:rFonts w:ascii="Cambria" w:hAnsi="Cambria"/>
                <w:lang w:val="en-US"/>
              </w:rPr>
            </w:pPr>
          </w:p>
        </w:tc>
        <w:tc>
          <w:tcPr>
            <w:tcW w:w="1109"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jc w:val="center"/>
              <w:rPr>
                <w:rFonts w:ascii="Cambria" w:hAnsi="Cambria"/>
                <w:lang w:val="en-US"/>
              </w:rPr>
            </w:pPr>
          </w:p>
        </w:tc>
        <w:tc>
          <w:tcPr>
            <w:tcW w:w="1607"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jc w:val="center"/>
              <w:rPr>
                <w:rFonts w:ascii="Cambria" w:hAnsi="Cambria"/>
                <w:lang w:val="en-US"/>
              </w:rPr>
            </w:pPr>
          </w:p>
        </w:tc>
        <w:tc>
          <w:tcPr>
            <w:tcW w:w="171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jc w:val="center"/>
              <w:rPr>
                <w:rFonts w:ascii="Cambria" w:hAnsi="Cambria"/>
                <w:lang w:val="en-US"/>
              </w:rPr>
            </w:pP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rs2104772</w:t>
            </w: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Capillary-to-</w:t>
            </w:r>
            <w:r w:rsidR="00043F67" w:rsidRPr="003F2218">
              <w:rPr>
                <w:rFonts w:ascii="Cambria" w:eastAsia="Times New Roman" w:hAnsi="Cambria" w:cs="Times New Roman"/>
                <w:lang w:val="en-US" w:eastAsia="fr-CH"/>
              </w:rPr>
              <w:t>fiber</w:t>
            </w:r>
            <w:r w:rsidRPr="003F2218">
              <w:rPr>
                <w:rFonts w:ascii="Cambria" w:eastAsia="Times New Roman" w:hAnsi="Cambria" w:cs="Times New Roman"/>
                <w:lang w:val="en-US" w:eastAsia="fr-CH"/>
              </w:rPr>
              <w:t xml:space="preserve"> ratio</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0.764</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0.272</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0.024</w:t>
            </w:r>
          </w:p>
        </w:tc>
        <w:tc>
          <w:tcPr>
            <w:tcW w:w="1712" w:type="dxa"/>
            <w:shd w:val="clear" w:color="auto" w:fill="auto"/>
            <w:tcMar>
              <w:top w:w="0" w:type="dxa"/>
              <w:left w:w="10" w:type="dxa"/>
              <w:bottom w:w="0" w:type="dxa"/>
              <w:right w:w="10" w:type="dxa"/>
            </w:tcMar>
          </w:tcPr>
          <w:p w:rsidR="001939E3" w:rsidRPr="003F2218" w:rsidRDefault="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633</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(TNC)</w:t>
            </w:r>
          </w:p>
        </w:tc>
        <w:tc>
          <w:tcPr>
            <w:tcW w:w="311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rPr>
                <w:rFonts w:ascii="Cambria" w:hAnsi="Cambria"/>
                <w:lang w:val="en-US"/>
              </w:rPr>
            </w:pPr>
            <w:r w:rsidRPr="003F2218">
              <w:rPr>
                <w:rFonts w:ascii="Cambria" w:hAnsi="Cambria"/>
                <w:lang w:val="en-US"/>
              </w:rPr>
              <w:t>Capillary length density</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0.886</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0.122</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0.011</w:t>
            </w:r>
          </w:p>
        </w:tc>
        <w:tc>
          <w:tcPr>
            <w:tcW w:w="1712" w:type="dxa"/>
            <w:shd w:val="clear" w:color="auto" w:fill="auto"/>
            <w:tcMar>
              <w:top w:w="0" w:type="dxa"/>
              <w:left w:w="10" w:type="dxa"/>
              <w:bottom w:w="0" w:type="dxa"/>
              <w:right w:w="10" w:type="dxa"/>
            </w:tcMar>
          </w:tcPr>
          <w:p w:rsidR="001939E3" w:rsidRPr="003F2218" w:rsidRDefault="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1392</w:t>
            </w:r>
          </w:p>
        </w:tc>
      </w:tr>
      <w:tr w:rsidR="003F2218" w:rsidRPr="003F2218">
        <w:trPr>
          <w:trHeight w:val="322"/>
        </w:trPr>
        <w:tc>
          <w:tcPr>
            <w:tcW w:w="1292" w:type="dxa"/>
            <w:shd w:val="clear" w:color="auto" w:fill="auto"/>
            <w:tcMar>
              <w:top w:w="0" w:type="dxa"/>
              <w:left w:w="10" w:type="dxa"/>
              <w:bottom w:w="0" w:type="dxa"/>
              <w:right w:w="10" w:type="dxa"/>
            </w:tcMar>
          </w:tcPr>
          <w:p w:rsidR="001939E3" w:rsidRPr="003F2218" w:rsidRDefault="001939E3">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1939E3" w:rsidRPr="003F2218" w:rsidRDefault="00F36D71">
            <w:pPr>
              <w:pStyle w:val="Standard"/>
              <w:spacing w:before="120" w:after="0" w:line="360" w:lineRule="auto"/>
              <w:rPr>
                <w:rFonts w:ascii="Cambria" w:eastAsia="Times New Roman" w:hAnsi="Cambria" w:cs="Arial"/>
                <w:sz w:val="20"/>
                <w:szCs w:val="20"/>
                <w:lang w:val="en-US" w:eastAsia="de-CH"/>
              </w:rPr>
            </w:pPr>
            <w:r w:rsidRPr="003F2218">
              <w:rPr>
                <w:rFonts w:ascii="Cambria" w:eastAsia="Times New Roman" w:hAnsi="Cambria" w:cs="Arial"/>
                <w:lang w:val="en-US" w:eastAsia="de-CH"/>
              </w:rPr>
              <w:t xml:space="preserve">Fiber </w:t>
            </w:r>
            <w:r w:rsidR="00BC165A" w:rsidRPr="003F2218">
              <w:rPr>
                <w:rFonts w:ascii="Cambria" w:eastAsia="Times New Roman" w:hAnsi="Cambria" w:cs="Arial"/>
                <w:sz w:val="20"/>
                <w:szCs w:val="20"/>
                <w:lang w:val="en-US" w:eastAsia="de-CH"/>
              </w:rPr>
              <w:t>MCSA</w:t>
            </w:r>
          </w:p>
        </w:tc>
        <w:tc>
          <w:tcPr>
            <w:tcW w:w="1103"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0.165</w:t>
            </w:r>
          </w:p>
        </w:tc>
        <w:tc>
          <w:tcPr>
            <w:tcW w:w="1109"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1.954</w:t>
            </w:r>
          </w:p>
        </w:tc>
        <w:tc>
          <w:tcPr>
            <w:tcW w:w="1607" w:type="dxa"/>
            <w:shd w:val="clear" w:color="auto" w:fill="auto"/>
            <w:tcMar>
              <w:top w:w="0" w:type="dxa"/>
              <w:left w:w="10" w:type="dxa"/>
              <w:bottom w:w="0" w:type="dxa"/>
              <w:right w:w="10" w:type="dxa"/>
            </w:tcMar>
          </w:tcPr>
          <w:p w:rsidR="001939E3" w:rsidRPr="003F2218" w:rsidRDefault="00BC165A">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0.151</w:t>
            </w:r>
          </w:p>
        </w:tc>
        <w:tc>
          <w:tcPr>
            <w:tcW w:w="1712" w:type="dxa"/>
            <w:shd w:val="clear" w:color="auto" w:fill="auto"/>
            <w:tcMar>
              <w:top w:w="0" w:type="dxa"/>
              <w:left w:w="10" w:type="dxa"/>
              <w:bottom w:w="0" w:type="dxa"/>
              <w:right w:w="10" w:type="dxa"/>
            </w:tcMar>
          </w:tcPr>
          <w:p w:rsidR="001939E3" w:rsidRPr="003F2218" w:rsidRDefault="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90</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FA0834" w:rsidRPr="003F2218" w:rsidRDefault="00FA0834" w:rsidP="00693DC6">
            <w:pPr>
              <w:pStyle w:val="Standard"/>
              <w:spacing w:before="120" w:after="0" w:line="360" w:lineRule="auto"/>
              <w:rPr>
                <w:rFonts w:ascii="Cambria" w:eastAsia="Times New Roman" w:hAnsi="Cambria" w:cs="Arial"/>
                <w:lang w:val="en-US" w:eastAsia="de-CH"/>
              </w:rPr>
            </w:pPr>
            <w:r w:rsidRPr="003F2218">
              <w:rPr>
                <w:rFonts w:ascii="Cambria" w:eastAsia="Times New Roman" w:hAnsi="Cambria" w:cs="Arial"/>
                <w:lang w:val="en-US" w:eastAsia="de-CH"/>
              </w:rPr>
              <w:t>Fiber type distribution</w:t>
            </w:r>
          </w:p>
        </w:tc>
        <w:tc>
          <w:tcPr>
            <w:tcW w:w="1103" w:type="dxa"/>
            <w:shd w:val="clear" w:color="auto" w:fill="auto"/>
            <w:tcMar>
              <w:top w:w="0" w:type="dxa"/>
              <w:left w:w="10" w:type="dxa"/>
              <w:bottom w:w="0" w:type="dxa"/>
              <w:right w:w="10" w:type="dxa"/>
            </w:tcMar>
          </w:tcPr>
          <w:p w:rsidR="00FA0834" w:rsidRPr="003F2218" w:rsidRDefault="00FA0834" w:rsidP="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0.437</w:t>
            </w:r>
          </w:p>
        </w:tc>
        <w:tc>
          <w:tcPr>
            <w:tcW w:w="1109" w:type="dxa"/>
            <w:shd w:val="clear" w:color="auto" w:fill="auto"/>
            <w:tcMar>
              <w:top w:w="0" w:type="dxa"/>
              <w:left w:w="10" w:type="dxa"/>
              <w:bottom w:w="0" w:type="dxa"/>
              <w:right w:w="10" w:type="dxa"/>
            </w:tcMar>
          </w:tcPr>
          <w:p w:rsidR="00FA0834" w:rsidRPr="003F2218" w:rsidRDefault="00FA0834" w:rsidP="00693DC6">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0.870</w:t>
            </w:r>
          </w:p>
        </w:tc>
        <w:tc>
          <w:tcPr>
            <w:tcW w:w="1607" w:type="dxa"/>
            <w:shd w:val="clear" w:color="auto" w:fill="auto"/>
            <w:tcMar>
              <w:top w:w="0" w:type="dxa"/>
              <w:left w:w="10" w:type="dxa"/>
              <w:bottom w:w="0" w:type="dxa"/>
              <w:right w:w="10" w:type="dxa"/>
            </w:tcMar>
          </w:tcPr>
          <w:p w:rsidR="00FA0834" w:rsidRPr="003F2218" w:rsidRDefault="00FA0834" w:rsidP="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0.093</w:t>
            </w:r>
          </w:p>
        </w:tc>
        <w:tc>
          <w:tcPr>
            <w:tcW w:w="1712" w:type="dxa"/>
            <w:shd w:val="clear" w:color="auto" w:fill="auto"/>
            <w:tcMar>
              <w:top w:w="0" w:type="dxa"/>
              <w:left w:w="10" w:type="dxa"/>
              <w:bottom w:w="0" w:type="dxa"/>
              <w:right w:w="10" w:type="dxa"/>
            </w:tcMar>
          </w:tcPr>
          <w:p w:rsidR="00FA0834" w:rsidRPr="003F2218" w:rsidRDefault="00383B74" w:rsidP="00383B7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156</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roofErr w:type="spellStart"/>
            <w:r w:rsidRPr="003F2218">
              <w:rPr>
                <w:rFonts w:ascii="Cambria" w:hAnsi="Cambria"/>
                <w:lang w:val="en-US"/>
              </w:rPr>
              <w:t>Myofibrillar</w:t>
            </w:r>
            <w:proofErr w:type="spellEnd"/>
            <w:r w:rsidRPr="003F2218">
              <w:rPr>
                <w:rFonts w:ascii="Cambria" w:hAnsi="Cambria"/>
                <w:lang w:val="en-US"/>
              </w:rPr>
              <w:t xml:space="preserve">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0.922</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0.081</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0.007</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2196</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Mitochondrial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0.770</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0.264</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0.023</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660</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roofErr w:type="spellStart"/>
            <w:r w:rsidRPr="003F2218">
              <w:rPr>
                <w:rFonts w:ascii="Cambria" w:hAnsi="Cambria"/>
                <w:lang w:val="en-US"/>
              </w:rPr>
              <w:t>Intramyocellular</w:t>
            </w:r>
            <w:proofErr w:type="spellEnd"/>
            <w:r w:rsidRPr="003F2218">
              <w:rPr>
                <w:rFonts w:ascii="Cambria" w:hAnsi="Cambria"/>
                <w:lang w:val="en-US"/>
              </w:rPr>
              <w:t xml:space="preserve"> lipid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0.069</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2.951</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0.179</w:t>
            </w:r>
          </w:p>
        </w:tc>
        <w:tc>
          <w:tcPr>
            <w:tcW w:w="1712" w:type="dxa"/>
            <w:shd w:val="clear" w:color="auto" w:fill="auto"/>
            <w:tcMar>
              <w:top w:w="0" w:type="dxa"/>
              <w:left w:w="10" w:type="dxa"/>
              <w:bottom w:w="0" w:type="dxa"/>
              <w:right w:w="10" w:type="dxa"/>
            </w:tcMar>
          </w:tcPr>
          <w:p w:rsidR="00FA0834" w:rsidRPr="003F2218" w:rsidRDefault="00FA0834" w:rsidP="00B703C5">
            <w:pPr>
              <w:pStyle w:val="Standard"/>
              <w:spacing w:before="120" w:after="0" w:line="360" w:lineRule="auto"/>
              <w:jc w:val="center"/>
              <w:rPr>
                <w:rFonts w:ascii="Cambria" w:hAnsi="Cambria"/>
                <w:lang w:val="en-US"/>
              </w:rPr>
            </w:pPr>
            <w:r w:rsidRPr="003F2218">
              <w:rPr>
                <w:rFonts w:ascii="Cambria" w:hAnsi="Cambria" w:cs="Times New Roman"/>
                <w:lang w:val="en-US"/>
              </w:rPr>
              <w:t>75</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Sarcoplasmic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0.236</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1.523</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0.101</w:t>
            </w:r>
          </w:p>
        </w:tc>
        <w:tc>
          <w:tcPr>
            <w:tcW w:w="1712" w:type="dxa"/>
            <w:shd w:val="clear" w:color="auto" w:fill="auto"/>
            <w:tcMar>
              <w:top w:w="0" w:type="dxa"/>
              <w:left w:w="10" w:type="dxa"/>
              <w:bottom w:w="0" w:type="dxa"/>
              <w:right w:w="10" w:type="dxa"/>
            </w:tcMar>
          </w:tcPr>
          <w:p w:rsidR="00FA0834" w:rsidRPr="003F2218" w:rsidRDefault="00FA0834" w:rsidP="00B703C5">
            <w:pPr>
              <w:pStyle w:val="Standard"/>
              <w:spacing w:before="120" w:after="0" w:line="360" w:lineRule="auto"/>
              <w:jc w:val="center"/>
              <w:rPr>
                <w:rFonts w:ascii="Cambria" w:hAnsi="Cambria"/>
                <w:lang w:val="en-US"/>
              </w:rPr>
            </w:pPr>
            <w:r w:rsidRPr="003F2218">
              <w:rPr>
                <w:rFonts w:ascii="Cambria" w:hAnsi="Cambria" w:cs="Times New Roman"/>
                <w:lang w:val="en-US"/>
              </w:rPr>
              <w:t>141</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rs1815739</w:t>
            </w: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Times New Roman"/>
                <w:lang w:val="en-US" w:eastAsia="fr-CH"/>
              </w:rPr>
            </w:pPr>
            <w:r w:rsidRPr="003F2218">
              <w:rPr>
                <w:rFonts w:ascii="Cambria" w:eastAsia="Times New Roman" w:hAnsi="Cambria" w:cs="Times New Roman"/>
                <w:lang w:val="en-US" w:eastAsia="fr-CH"/>
              </w:rPr>
              <w:t>Capillary-to-fiber ratio</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0.627</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0.478</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0.042</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357</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(ACTN3)</w:t>
            </w: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Capillary length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0.881</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0.127</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0.011</w:t>
            </w:r>
          </w:p>
        </w:tc>
        <w:tc>
          <w:tcPr>
            <w:tcW w:w="1712" w:type="dxa"/>
            <w:shd w:val="clear" w:color="auto" w:fill="auto"/>
            <w:tcMar>
              <w:top w:w="0" w:type="dxa"/>
              <w:left w:w="10" w:type="dxa"/>
              <w:bottom w:w="0" w:type="dxa"/>
              <w:right w:w="10" w:type="dxa"/>
            </w:tcMar>
          </w:tcPr>
          <w:p w:rsidR="00FA0834" w:rsidRPr="003F2218" w:rsidRDefault="00FA0834" w:rsidP="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1382</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Arial"/>
                <w:sz w:val="20"/>
                <w:szCs w:val="20"/>
                <w:lang w:val="en-US" w:eastAsia="de-CH"/>
              </w:rPr>
            </w:pPr>
            <w:r w:rsidRPr="003F2218">
              <w:rPr>
                <w:rFonts w:ascii="Cambria" w:eastAsia="Times New Roman" w:hAnsi="Cambria" w:cs="Arial"/>
                <w:lang w:val="en-US" w:eastAsia="de-CH"/>
              </w:rPr>
              <w:t xml:space="preserve">Fiber </w:t>
            </w:r>
            <w:r w:rsidRPr="003F2218">
              <w:rPr>
                <w:rFonts w:ascii="Cambria" w:eastAsia="Times New Roman" w:hAnsi="Cambria" w:cs="Arial"/>
                <w:sz w:val="20"/>
                <w:szCs w:val="20"/>
                <w:lang w:val="en-US" w:eastAsia="de-CH"/>
              </w:rPr>
              <w:t>MCSA</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0.232</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1.563</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0.124</w:t>
            </w:r>
          </w:p>
        </w:tc>
        <w:tc>
          <w:tcPr>
            <w:tcW w:w="1712" w:type="dxa"/>
            <w:shd w:val="clear" w:color="auto" w:fill="auto"/>
            <w:tcMar>
              <w:top w:w="0" w:type="dxa"/>
              <w:left w:w="10" w:type="dxa"/>
              <w:bottom w:w="0" w:type="dxa"/>
              <w:right w:w="10" w:type="dxa"/>
            </w:tcMar>
          </w:tcPr>
          <w:p w:rsidR="00FA0834" w:rsidRPr="003F2218" w:rsidRDefault="00FA0834" w:rsidP="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114</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eastAsia="Times New Roman" w:hAnsi="Cambria" w:cs="Times New Roman"/>
                <w:lang w:val="en-US" w:eastAsia="fr-CH"/>
              </w:rPr>
            </w:pPr>
          </w:p>
        </w:tc>
        <w:tc>
          <w:tcPr>
            <w:tcW w:w="3119" w:type="dxa"/>
            <w:shd w:val="clear" w:color="auto" w:fill="auto"/>
            <w:tcMar>
              <w:top w:w="0" w:type="dxa"/>
              <w:left w:w="10" w:type="dxa"/>
              <w:bottom w:w="0" w:type="dxa"/>
              <w:right w:w="10" w:type="dxa"/>
            </w:tcMar>
          </w:tcPr>
          <w:p w:rsidR="00FA0834" w:rsidRPr="003F2218" w:rsidRDefault="00FA0834" w:rsidP="00693DC6">
            <w:pPr>
              <w:pStyle w:val="Standard"/>
              <w:spacing w:before="120" w:after="0" w:line="360" w:lineRule="auto"/>
              <w:rPr>
                <w:rFonts w:ascii="Cambria" w:eastAsia="Times New Roman" w:hAnsi="Cambria" w:cs="Arial"/>
                <w:lang w:val="en-US" w:eastAsia="de-CH"/>
              </w:rPr>
            </w:pPr>
            <w:r w:rsidRPr="003F2218">
              <w:rPr>
                <w:rFonts w:ascii="Cambria" w:eastAsia="Times New Roman" w:hAnsi="Cambria" w:cs="Arial"/>
                <w:lang w:val="en-US" w:eastAsia="de-CH"/>
              </w:rPr>
              <w:t>Fiber type distribution</w:t>
            </w:r>
          </w:p>
        </w:tc>
        <w:tc>
          <w:tcPr>
            <w:tcW w:w="1103" w:type="dxa"/>
            <w:shd w:val="clear" w:color="auto" w:fill="auto"/>
            <w:tcMar>
              <w:top w:w="0" w:type="dxa"/>
              <w:left w:w="10" w:type="dxa"/>
              <w:bottom w:w="0" w:type="dxa"/>
              <w:right w:w="10" w:type="dxa"/>
            </w:tcMar>
          </w:tcPr>
          <w:p w:rsidR="00FA0834" w:rsidRPr="003F2218" w:rsidRDefault="00FA0834" w:rsidP="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0.496</w:t>
            </w:r>
          </w:p>
        </w:tc>
        <w:tc>
          <w:tcPr>
            <w:tcW w:w="1109" w:type="dxa"/>
            <w:shd w:val="clear" w:color="auto" w:fill="auto"/>
            <w:tcMar>
              <w:top w:w="0" w:type="dxa"/>
              <w:left w:w="10" w:type="dxa"/>
              <w:bottom w:w="0" w:type="dxa"/>
              <w:right w:w="10" w:type="dxa"/>
            </w:tcMar>
          </w:tcPr>
          <w:p w:rsidR="00FA0834" w:rsidRPr="003F2218" w:rsidRDefault="00FA0834" w:rsidP="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0.729</w:t>
            </w:r>
          </w:p>
        </w:tc>
        <w:tc>
          <w:tcPr>
            <w:tcW w:w="1607" w:type="dxa"/>
            <w:shd w:val="clear" w:color="auto" w:fill="auto"/>
            <w:tcMar>
              <w:top w:w="0" w:type="dxa"/>
              <w:left w:w="10" w:type="dxa"/>
              <w:bottom w:w="0" w:type="dxa"/>
              <w:right w:w="10" w:type="dxa"/>
            </w:tcMar>
          </w:tcPr>
          <w:p w:rsidR="00FA0834" w:rsidRPr="003F2218" w:rsidRDefault="00FA0834" w:rsidP="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0.075</w:t>
            </w:r>
          </w:p>
        </w:tc>
        <w:tc>
          <w:tcPr>
            <w:tcW w:w="1712" w:type="dxa"/>
            <w:shd w:val="clear" w:color="auto" w:fill="auto"/>
            <w:tcMar>
              <w:top w:w="0" w:type="dxa"/>
              <w:left w:w="10" w:type="dxa"/>
              <w:bottom w:w="0" w:type="dxa"/>
              <w:right w:w="10" w:type="dxa"/>
            </w:tcMar>
          </w:tcPr>
          <w:p w:rsidR="00FA0834" w:rsidRPr="003F2218" w:rsidRDefault="00383B74" w:rsidP="00693DC6">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195</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roofErr w:type="spellStart"/>
            <w:r w:rsidRPr="003F2218">
              <w:rPr>
                <w:rFonts w:ascii="Cambria" w:hAnsi="Cambria"/>
                <w:lang w:val="en-US"/>
              </w:rPr>
              <w:t>Myofibrillar</w:t>
            </w:r>
            <w:proofErr w:type="spellEnd"/>
            <w:r w:rsidRPr="003F2218">
              <w:rPr>
                <w:rFonts w:ascii="Cambria" w:hAnsi="Cambria"/>
                <w:lang w:val="en-US"/>
              </w:rPr>
              <w:t xml:space="preserve">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0.464</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0.795</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0.067</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219</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Mitochondrial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0.320</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1.199</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0.098</w:t>
            </w:r>
          </w:p>
        </w:tc>
        <w:tc>
          <w:tcPr>
            <w:tcW w:w="1712" w:type="dxa"/>
            <w:shd w:val="clear" w:color="auto" w:fill="auto"/>
            <w:tcMar>
              <w:top w:w="0" w:type="dxa"/>
              <w:left w:w="10" w:type="dxa"/>
              <w:bottom w:w="0" w:type="dxa"/>
              <w:right w:w="10" w:type="dxa"/>
            </w:tcMar>
          </w:tcPr>
          <w:p w:rsidR="00FA0834" w:rsidRPr="003F2218" w:rsidRDefault="00FA0834" w:rsidP="00B703C5">
            <w:pPr>
              <w:pStyle w:val="Standard"/>
              <w:spacing w:before="120" w:after="0" w:line="360" w:lineRule="auto"/>
              <w:jc w:val="center"/>
              <w:rPr>
                <w:rFonts w:ascii="Cambria" w:hAnsi="Cambria" w:cs="Times New Roman"/>
                <w:lang w:val="en-US"/>
              </w:rPr>
            </w:pPr>
            <w:r w:rsidRPr="003F2218">
              <w:rPr>
                <w:rFonts w:ascii="Cambria" w:hAnsi="Cambria" w:cs="Times New Roman"/>
                <w:lang w:val="en-US"/>
              </w:rPr>
              <w:t>147</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roofErr w:type="spellStart"/>
            <w:r w:rsidRPr="003F2218">
              <w:rPr>
                <w:rFonts w:ascii="Cambria" w:hAnsi="Cambria"/>
                <w:lang w:val="en-US"/>
              </w:rPr>
              <w:t>Intramyocellular</w:t>
            </w:r>
            <w:proofErr w:type="spellEnd"/>
            <w:r w:rsidRPr="003F2218">
              <w:rPr>
                <w:rFonts w:ascii="Cambria" w:hAnsi="Cambria"/>
                <w:lang w:val="en-US"/>
              </w:rPr>
              <w:t xml:space="preserve"> lipid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0.164</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1.937</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0.125</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cs="Times New Roman"/>
                <w:lang w:val="en-US"/>
              </w:rPr>
              <w:t>114</w:t>
            </w:r>
          </w:p>
        </w:tc>
      </w:tr>
      <w:tr w:rsidR="003F2218" w:rsidRPr="003F2218">
        <w:trPr>
          <w:trHeight w:val="322"/>
        </w:trPr>
        <w:tc>
          <w:tcPr>
            <w:tcW w:w="129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p>
        </w:tc>
        <w:tc>
          <w:tcPr>
            <w:tcW w:w="311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rPr>
                <w:rFonts w:ascii="Cambria" w:hAnsi="Cambria"/>
                <w:lang w:val="en-US"/>
              </w:rPr>
            </w:pPr>
            <w:r w:rsidRPr="003F2218">
              <w:rPr>
                <w:rFonts w:ascii="Cambria" w:hAnsi="Cambria"/>
                <w:lang w:val="en-US"/>
              </w:rPr>
              <w:t>Sarcoplasmic volume density</w:t>
            </w:r>
          </w:p>
        </w:tc>
        <w:tc>
          <w:tcPr>
            <w:tcW w:w="1103"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0.669</w:t>
            </w:r>
          </w:p>
        </w:tc>
        <w:tc>
          <w:tcPr>
            <w:tcW w:w="1109"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0.407</w:t>
            </w:r>
          </w:p>
        </w:tc>
        <w:tc>
          <w:tcPr>
            <w:tcW w:w="1607"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lang w:val="en-US"/>
              </w:rPr>
              <w:t>0.029</w:t>
            </w:r>
          </w:p>
        </w:tc>
        <w:tc>
          <w:tcPr>
            <w:tcW w:w="1712" w:type="dxa"/>
            <w:shd w:val="clear" w:color="auto" w:fill="auto"/>
            <w:tcMar>
              <w:top w:w="0" w:type="dxa"/>
              <w:left w:w="10" w:type="dxa"/>
              <w:bottom w:w="0" w:type="dxa"/>
              <w:right w:w="10" w:type="dxa"/>
            </w:tcMar>
          </w:tcPr>
          <w:p w:rsidR="00FA0834" w:rsidRPr="003F2218" w:rsidRDefault="00FA0834">
            <w:pPr>
              <w:pStyle w:val="Standard"/>
              <w:spacing w:before="120" w:after="0" w:line="360" w:lineRule="auto"/>
              <w:jc w:val="center"/>
              <w:rPr>
                <w:rFonts w:ascii="Cambria" w:hAnsi="Cambria"/>
                <w:lang w:val="en-US"/>
              </w:rPr>
            </w:pPr>
            <w:r w:rsidRPr="003F2218">
              <w:rPr>
                <w:rFonts w:ascii="Cambria" w:hAnsi="Cambria" w:cs="Times New Roman"/>
                <w:lang w:val="en-US"/>
              </w:rPr>
              <w:t>522</w:t>
            </w:r>
          </w:p>
        </w:tc>
      </w:tr>
    </w:tbl>
    <w:p w:rsidR="00114339" w:rsidRPr="003F2218" w:rsidRDefault="00114339" w:rsidP="009C154D">
      <w:pPr>
        <w:suppressAutoHyphens w:val="0"/>
        <w:rPr>
          <w:rFonts w:ascii="Cambria" w:hAnsi="Cambria"/>
          <w:lang w:val="en-US"/>
        </w:rPr>
      </w:pPr>
    </w:p>
    <w:sectPr w:rsidR="00114339" w:rsidRPr="003F2218" w:rsidSect="009C154D">
      <w:footerReference w:type="default" r:id="rId9"/>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D1" w:rsidRDefault="00FD4DD1">
      <w:pPr>
        <w:spacing w:after="0" w:line="240" w:lineRule="auto"/>
      </w:pPr>
      <w:r>
        <w:separator/>
      </w:r>
    </w:p>
  </w:endnote>
  <w:endnote w:type="continuationSeparator" w:id="0">
    <w:p w:rsidR="00FD4DD1" w:rsidRDefault="00FD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58465"/>
      <w:docPartObj>
        <w:docPartGallery w:val="Page Numbers (Bottom of Page)"/>
        <w:docPartUnique/>
      </w:docPartObj>
    </w:sdtPr>
    <w:sdtEndPr>
      <w:rPr>
        <w:noProof/>
      </w:rPr>
    </w:sdtEndPr>
    <w:sdtContent>
      <w:p w:rsidR="00FD4DD1" w:rsidRDefault="00FD4DD1">
        <w:pPr>
          <w:pStyle w:val="Footer"/>
          <w:jc w:val="right"/>
        </w:pPr>
        <w:r>
          <w:fldChar w:fldCharType="begin"/>
        </w:r>
        <w:r>
          <w:instrText xml:space="preserve"> PAGE   \* MERGEFORMAT </w:instrText>
        </w:r>
        <w:r>
          <w:fldChar w:fldCharType="separate"/>
        </w:r>
        <w:r w:rsidR="003F2218">
          <w:rPr>
            <w:noProof/>
          </w:rPr>
          <w:t>2</w:t>
        </w:r>
        <w:r>
          <w:rPr>
            <w:noProof/>
          </w:rPr>
          <w:fldChar w:fldCharType="end"/>
        </w:r>
      </w:p>
    </w:sdtContent>
  </w:sdt>
  <w:p w:rsidR="00FD4DD1" w:rsidRDefault="00FD4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D1" w:rsidRDefault="00FD4DD1">
      <w:pPr>
        <w:spacing w:after="0" w:line="240" w:lineRule="auto"/>
      </w:pPr>
      <w:r>
        <w:rPr>
          <w:color w:val="000000"/>
        </w:rPr>
        <w:separator/>
      </w:r>
    </w:p>
  </w:footnote>
  <w:footnote w:type="continuationSeparator" w:id="0">
    <w:p w:rsidR="00FD4DD1" w:rsidRDefault="00FD4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127"/>
    <w:multiLevelType w:val="multilevel"/>
    <w:tmpl w:val="31F2842A"/>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8D979E8"/>
    <w:multiLevelType w:val="multilevel"/>
    <w:tmpl w:val="2014F84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x9sx9ep9st2nes9ae5rvwa2aaa0zvpewpz&quot;&gt;athlete x genotype&lt;record-ids&gt;&lt;item&gt;4&lt;/item&gt;&lt;item&gt;21&lt;/item&gt;&lt;item&gt;23&lt;/item&gt;&lt;item&gt;28&lt;/item&gt;&lt;item&gt;36&lt;/item&gt;&lt;item&gt;38&lt;/item&gt;&lt;item&gt;39&lt;/item&gt;&lt;item&gt;40&lt;/item&gt;&lt;item&gt;41&lt;/item&gt;&lt;item&gt;45&lt;/item&gt;&lt;item&gt;59&lt;/item&gt;&lt;item&gt;66&lt;/item&gt;&lt;item&gt;80&lt;/item&gt;&lt;item&gt;82&lt;/item&gt;&lt;item&gt;83&lt;/item&gt;&lt;item&gt;95&lt;/item&gt;&lt;item&gt;97&lt;/item&gt;&lt;item&gt;100&lt;/item&gt;&lt;item&gt;101&lt;/item&gt;&lt;item&gt;102&lt;/item&gt;&lt;item&gt;103&lt;/item&gt;&lt;item&gt;104&lt;/item&gt;&lt;item&gt;107&lt;/item&gt;&lt;item&gt;108&lt;/item&gt;&lt;item&gt;110&lt;/item&gt;&lt;item&gt;115&lt;/item&gt;&lt;item&gt;117&lt;/item&gt;&lt;item&gt;118&lt;/item&gt;&lt;item&gt;119&lt;/item&gt;&lt;item&gt;121&lt;/item&gt;&lt;item&gt;124&lt;/item&gt;&lt;item&gt;126&lt;/item&gt;&lt;item&gt;131&lt;/item&gt;&lt;item&gt;139&lt;/item&gt;&lt;item&gt;142&lt;/item&gt;&lt;item&gt;154&lt;/item&gt;&lt;item&gt;155&lt;/item&gt;&lt;item&gt;157&lt;/item&gt;&lt;item&gt;159&lt;/item&gt;&lt;item&gt;160&lt;/item&gt;&lt;/record-ids&gt;&lt;/item&gt;&lt;/Libraries&gt;"/>
  </w:docVars>
  <w:rsids>
    <w:rsidRoot w:val="001939E3"/>
    <w:rsid w:val="000007C1"/>
    <w:rsid w:val="00015115"/>
    <w:rsid w:val="00021473"/>
    <w:rsid w:val="00043C48"/>
    <w:rsid w:val="00043F67"/>
    <w:rsid w:val="00044DC1"/>
    <w:rsid w:val="000455D7"/>
    <w:rsid w:val="00051168"/>
    <w:rsid w:val="000517CC"/>
    <w:rsid w:val="00054B3B"/>
    <w:rsid w:val="0006675B"/>
    <w:rsid w:val="00076CE3"/>
    <w:rsid w:val="00077772"/>
    <w:rsid w:val="00080180"/>
    <w:rsid w:val="00086993"/>
    <w:rsid w:val="000A18DA"/>
    <w:rsid w:val="000B5FD6"/>
    <w:rsid w:val="000B7EE3"/>
    <w:rsid w:val="000C2BDE"/>
    <w:rsid w:val="000C549A"/>
    <w:rsid w:val="000C77BA"/>
    <w:rsid w:val="000D25E6"/>
    <w:rsid w:val="000D45B0"/>
    <w:rsid w:val="000E22A0"/>
    <w:rsid w:val="000E7B9A"/>
    <w:rsid w:val="000F2C41"/>
    <w:rsid w:val="000F33EB"/>
    <w:rsid w:val="000F67F8"/>
    <w:rsid w:val="000F7D8B"/>
    <w:rsid w:val="00101D41"/>
    <w:rsid w:val="00103F52"/>
    <w:rsid w:val="00114339"/>
    <w:rsid w:val="00120284"/>
    <w:rsid w:val="0012237D"/>
    <w:rsid w:val="00127B0C"/>
    <w:rsid w:val="0014590E"/>
    <w:rsid w:val="00150CF7"/>
    <w:rsid w:val="00151F60"/>
    <w:rsid w:val="00152F68"/>
    <w:rsid w:val="00155ACD"/>
    <w:rsid w:val="00160547"/>
    <w:rsid w:val="00164432"/>
    <w:rsid w:val="0017245F"/>
    <w:rsid w:val="00175B46"/>
    <w:rsid w:val="0018388F"/>
    <w:rsid w:val="00192563"/>
    <w:rsid w:val="00193253"/>
    <w:rsid w:val="001939E3"/>
    <w:rsid w:val="00195F47"/>
    <w:rsid w:val="001A0B9D"/>
    <w:rsid w:val="001B25FA"/>
    <w:rsid w:val="001B6748"/>
    <w:rsid w:val="001D279D"/>
    <w:rsid w:val="001D3EAE"/>
    <w:rsid w:val="001D7D14"/>
    <w:rsid w:val="001F08E6"/>
    <w:rsid w:val="001F7E3C"/>
    <w:rsid w:val="00201A6E"/>
    <w:rsid w:val="0021646F"/>
    <w:rsid w:val="0023282E"/>
    <w:rsid w:val="00272945"/>
    <w:rsid w:val="002821C1"/>
    <w:rsid w:val="002911A8"/>
    <w:rsid w:val="00294146"/>
    <w:rsid w:val="002A1113"/>
    <w:rsid w:val="002A3B62"/>
    <w:rsid w:val="002B369D"/>
    <w:rsid w:val="002B4AFD"/>
    <w:rsid w:val="002E74CB"/>
    <w:rsid w:val="002F1011"/>
    <w:rsid w:val="002F6BE8"/>
    <w:rsid w:val="0030228D"/>
    <w:rsid w:val="00305F4E"/>
    <w:rsid w:val="00321BE5"/>
    <w:rsid w:val="00326F52"/>
    <w:rsid w:val="003354F8"/>
    <w:rsid w:val="00335521"/>
    <w:rsid w:val="00352A43"/>
    <w:rsid w:val="003549E1"/>
    <w:rsid w:val="00354ECC"/>
    <w:rsid w:val="00356CBD"/>
    <w:rsid w:val="00363B9B"/>
    <w:rsid w:val="00372A28"/>
    <w:rsid w:val="00375281"/>
    <w:rsid w:val="00383B74"/>
    <w:rsid w:val="003840C8"/>
    <w:rsid w:val="003A5D67"/>
    <w:rsid w:val="003B016B"/>
    <w:rsid w:val="003B0674"/>
    <w:rsid w:val="003C0A84"/>
    <w:rsid w:val="003C5FE1"/>
    <w:rsid w:val="003D7B90"/>
    <w:rsid w:val="003E4115"/>
    <w:rsid w:val="003E4169"/>
    <w:rsid w:val="003F013B"/>
    <w:rsid w:val="003F2218"/>
    <w:rsid w:val="003F23F9"/>
    <w:rsid w:val="003F71C1"/>
    <w:rsid w:val="00416B1A"/>
    <w:rsid w:val="00420CC9"/>
    <w:rsid w:val="00430056"/>
    <w:rsid w:val="00433EBC"/>
    <w:rsid w:val="004430CB"/>
    <w:rsid w:val="00467D80"/>
    <w:rsid w:val="0047767B"/>
    <w:rsid w:val="00484962"/>
    <w:rsid w:val="004854D4"/>
    <w:rsid w:val="00496463"/>
    <w:rsid w:val="004A1E1D"/>
    <w:rsid w:val="004A2952"/>
    <w:rsid w:val="004A2B97"/>
    <w:rsid w:val="004B2A0C"/>
    <w:rsid w:val="004C0250"/>
    <w:rsid w:val="004C3FFB"/>
    <w:rsid w:val="004E6C51"/>
    <w:rsid w:val="004F2370"/>
    <w:rsid w:val="004F72E1"/>
    <w:rsid w:val="005017E2"/>
    <w:rsid w:val="005100E7"/>
    <w:rsid w:val="00517938"/>
    <w:rsid w:val="0052199D"/>
    <w:rsid w:val="00524C94"/>
    <w:rsid w:val="00545148"/>
    <w:rsid w:val="005547C7"/>
    <w:rsid w:val="00590282"/>
    <w:rsid w:val="00597AD7"/>
    <w:rsid w:val="005A3E67"/>
    <w:rsid w:val="005A40F2"/>
    <w:rsid w:val="005B410E"/>
    <w:rsid w:val="005D6F5B"/>
    <w:rsid w:val="005E3356"/>
    <w:rsid w:val="005E7C24"/>
    <w:rsid w:val="005F0371"/>
    <w:rsid w:val="005F6F02"/>
    <w:rsid w:val="00600F2A"/>
    <w:rsid w:val="00602CC6"/>
    <w:rsid w:val="00605420"/>
    <w:rsid w:val="006130A3"/>
    <w:rsid w:val="00621096"/>
    <w:rsid w:val="0064332D"/>
    <w:rsid w:val="00650F4D"/>
    <w:rsid w:val="00672397"/>
    <w:rsid w:val="00675E6B"/>
    <w:rsid w:val="00681707"/>
    <w:rsid w:val="0068611A"/>
    <w:rsid w:val="00687C77"/>
    <w:rsid w:val="00692FF5"/>
    <w:rsid w:val="00693DC6"/>
    <w:rsid w:val="006A4989"/>
    <w:rsid w:val="006B0696"/>
    <w:rsid w:val="006B2FAB"/>
    <w:rsid w:val="006B6853"/>
    <w:rsid w:val="006B79B9"/>
    <w:rsid w:val="006E29E6"/>
    <w:rsid w:val="006E61A5"/>
    <w:rsid w:val="006E713B"/>
    <w:rsid w:val="006F2DF7"/>
    <w:rsid w:val="006F3D9C"/>
    <w:rsid w:val="006F7737"/>
    <w:rsid w:val="00723B6E"/>
    <w:rsid w:val="00724DB4"/>
    <w:rsid w:val="00734754"/>
    <w:rsid w:val="00741FF4"/>
    <w:rsid w:val="00764AA1"/>
    <w:rsid w:val="00766DD9"/>
    <w:rsid w:val="007679EB"/>
    <w:rsid w:val="007802E1"/>
    <w:rsid w:val="00782B86"/>
    <w:rsid w:val="00784FCB"/>
    <w:rsid w:val="007B0DDB"/>
    <w:rsid w:val="007C2003"/>
    <w:rsid w:val="007C3120"/>
    <w:rsid w:val="007C456E"/>
    <w:rsid w:val="007D4A46"/>
    <w:rsid w:val="007E2A3A"/>
    <w:rsid w:val="007E34DF"/>
    <w:rsid w:val="007E48AA"/>
    <w:rsid w:val="008135ED"/>
    <w:rsid w:val="00830442"/>
    <w:rsid w:val="00831CB4"/>
    <w:rsid w:val="00843BB0"/>
    <w:rsid w:val="00855BF4"/>
    <w:rsid w:val="00856451"/>
    <w:rsid w:val="00870147"/>
    <w:rsid w:val="00880ACB"/>
    <w:rsid w:val="00885DA9"/>
    <w:rsid w:val="0088679F"/>
    <w:rsid w:val="008A4FFC"/>
    <w:rsid w:val="008B7E1D"/>
    <w:rsid w:val="008C379A"/>
    <w:rsid w:val="008C4BBC"/>
    <w:rsid w:val="008C7D89"/>
    <w:rsid w:val="008E0C3A"/>
    <w:rsid w:val="008E18E9"/>
    <w:rsid w:val="008E5856"/>
    <w:rsid w:val="008E71F6"/>
    <w:rsid w:val="009005FA"/>
    <w:rsid w:val="00901131"/>
    <w:rsid w:val="009121F4"/>
    <w:rsid w:val="009139CF"/>
    <w:rsid w:val="00913F96"/>
    <w:rsid w:val="00916542"/>
    <w:rsid w:val="00925E18"/>
    <w:rsid w:val="009428EF"/>
    <w:rsid w:val="009448F8"/>
    <w:rsid w:val="00952A4F"/>
    <w:rsid w:val="00955626"/>
    <w:rsid w:val="00967004"/>
    <w:rsid w:val="00970D4C"/>
    <w:rsid w:val="00991A9A"/>
    <w:rsid w:val="00992BBB"/>
    <w:rsid w:val="00993ACC"/>
    <w:rsid w:val="009967D3"/>
    <w:rsid w:val="00997731"/>
    <w:rsid w:val="00997E2F"/>
    <w:rsid w:val="009A45A3"/>
    <w:rsid w:val="009A65A0"/>
    <w:rsid w:val="009A667A"/>
    <w:rsid w:val="009A72B6"/>
    <w:rsid w:val="009C154D"/>
    <w:rsid w:val="009C3A79"/>
    <w:rsid w:val="009D0013"/>
    <w:rsid w:val="009D1840"/>
    <w:rsid w:val="009D61E6"/>
    <w:rsid w:val="009D6392"/>
    <w:rsid w:val="009F7EA2"/>
    <w:rsid w:val="00A00513"/>
    <w:rsid w:val="00A02A19"/>
    <w:rsid w:val="00A05D7F"/>
    <w:rsid w:val="00A32210"/>
    <w:rsid w:val="00A444D1"/>
    <w:rsid w:val="00A479A4"/>
    <w:rsid w:val="00A47A78"/>
    <w:rsid w:val="00A64FC4"/>
    <w:rsid w:val="00A728B9"/>
    <w:rsid w:val="00A75159"/>
    <w:rsid w:val="00A82F36"/>
    <w:rsid w:val="00A83C61"/>
    <w:rsid w:val="00A930A3"/>
    <w:rsid w:val="00AA28E8"/>
    <w:rsid w:val="00AA4D70"/>
    <w:rsid w:val="00AC1A9F"/>
    <w:rsid w:val="00AE74B2"/>
    <w:rsid w:val="00B01F06"/>
    <w:rsid w:val="00B138C2"/>
    <w:rsid w:val="00B1772D"/>
    <w:rsid w:val="00B26550"/>
    <w:rsid w:val="00B40BDC"/>
    <w:rsid w:val="00B6735E"/>
    <w:rsid w:val="00B703C5"/>
    <w:rsid w:val="00B81373"/>
    <w:rsid w:val="00B83D30"/>
    <w:rsid w:val="00B92E60"/>
    <w:rsid w:val="00BB323D"/>
    <w:rsid w:val="00BB3FBC"/>
    <w:rsid w:val="00BB63E8"/>
    <w:rsid w:val="00BC165A"/>
    <w:rsid w:val="00BD3D4F"/>
    <w:rsid w:val="00BE0F79"/>
    <w:rsid w:val="00BE5AB8"/>
    <w:rsid w:val="00BF45BB"/>
    <w:rsid w:val="00C009A6"/>
    <w:rsid w:val="00C02306"/>
    <w:rsid w:val="00C07559"/>
    <w:rsid w:val="00C20F19"/>
    <w:rsid w:val="00C34A75"/>
    <w:rsid w:val="00C35DA9"/>
    <w:rsid w:val="00C410C8"/>
    <w:rsid w:val="00C443C6"/>
    <w:rsid w:val="00C46FD6"/>
    <w:rsid w:val="00C52212"/>
    <w:rsid w:val="00C6350B"/>
    <w:rsid w:val="00C714E0"/>
    <w:rsid w:val="00C7208A"/>
    <w:rsid w:val="00C86A26"/>
    <w:rsid w:val="00C87588"/>
    <w:rsid w:val="00C93D17"/>
    <w:rsid w:val="00CB195E"/>
    <w:rsid w:val="00CB39F1"/>
    <w:rsid w:val="00CC507B"/>
    <w:rsid w:val="00CC7BCA"/>
    <w:rsid w:val="00CD0C2C"/>
    <w:rsid w:val="00CD79F5"/>
    <w:rsid w:val="00CF09FA"/>
    <w:rsid w:val="00D01BF2"/>
    <w:rsid w:val="00D1434D"/>
    <w:rsid w:val="00D15709"/>
    <w:rsid w:val="00D30D42"/>
    <w:rsid w:val="00D457FA"/>
    <w:rsid w:val="00D53A8A"/>
    <w:rsid w:val="00D5747E"/>
    <w:rsid w:val="00D60253"/>
    <w:rsid w:val="00D61474"/>
    <w:rsid w:val="00D6630C"/>
    <w:rsid w:val="00D669B7"/>
    <w:rsid w:val="00D74E20"/>
    <w:rsid w:val="00D76EF4"/>
    <w:rsid w:val="00D77DBF"/>
    <w:rsid w:val="00D81398"/>
    <w:rsid w:val="00D906FE"/>
    <w:rsid w:val="00D946C4"/>
    <w:rsid w:val="00D96A4A"/>
    <w:rsid w:val="00DB0294"/>
    <w:rsid w:val="00DB6BC4"/>
    <w:rsid w:val="00DC2ECC"/>
    <w:rsid w:val="00DC3EE8"/>
    <w:rsid w:val="00DC3EF3"/>
    <w:rsid w:val="00DF2EA8"/>
    <w:rsid w:val="00DF76B8"/>
    <w:rsid w:val="00E050E1"/>
    <w:rsid w:val="00E0698B"/>
    <w:rsid w:val="00E10574"/>
    <w:rsid w:val="00E24A44"/>
    <w:rsid w:val="00E259C5"/>
    <w:rsid w:val="00E27FB1"/>
    <w:rsid w:val="00E40A3E"/>
    <w:rsid w:val="00E40E6E"/>
    <w:rsid w:val="00E4257D"/>
    <w:rsid w:val="00E467F6"/>
    <w:rsid w:val="00E52177"/>
    <w:rsid w:val="00E52D61"/>
    <w:rsid w:val="00E554A9"/>
    <w:rsid w:val="00E724D8"/>
    <w:rsid w:val="00E80774"/>
    <w:rsid w:val="00E862D9"/>
    <w:rsid w:val="00E87781"/>
    <w:rsid w:val="00EA2600"/>
    <w:rsid w:val="00EB1130"/>
    <w:rsid w:val="00EB1BEB"/>
    <w:rsid w:val="00EB42DE"/>
    <w:rsid w:val="00EB714C"/>
    <w:rsid w:val="00EB7533"/>
    <w:rsid w:val="00EC123F"/>
    <w:rsid w:val="00EC3FF7"/>
    <w:rsid w:val="00ED7378"/>
    <w:rsid w:val="00EE133D"/>
    <w:rsid w:val="00F05360"/>
    <w:rsid w:val="00F2345A"/>
    <w:rsid w:val="00F31CA7"/>
    <w:rsid w:val="00F32659"/>
    <w:rsid w:val="00F36D71"/>
    <w:rsid w:val="00F523CC"/>
    <w:rsid w:val="00F64CC9"/>
    <w:rsid w:val="00F86A18"/>
    <w:rsid w:val="00F87E80"/>
    <w:rsid w:val="00F917BD"/>
    <w:rsid w:val="00F96AFF"/>
    <w:rsid w:val="00FA0834"/>
    <w:rsid w:val="00FB29E0"/>
    <w:rsid w:val="00FB3316"/>
    <w:rsid w:val="00FC38B9"/>
    <w:rsid w:val="00FD4DD1"/>
    <w:rsid w:val="00FD54DC"/>
    <w:rsid w:val="00FE03F3"/>
    <w:rsid w:val="00FF3387"/>
    <w:rsid w:val="00FF3C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de-CH"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after="0" w:line="288" w:lineRule="auto"/>
      <w:jc w:val="both"/>
    </w:pPr>
    <w:rPr>
      <w:rFonts w:ascii="Times New Roman" w:hAnsi="Times New Roman"/>
      <w:bCs/>
      <w:sz w:val="20"/>
      <w:szCs w:val="18"/>
    </w:rPr>
  </w:style>
  <w:style w:type="paragraph" w:customStyle="1" w:styleId="Index">
    <w:name w:val="Index"/>
    <w:basedOn w:val="Standard"/>
    <w:pPr>
      <w:suppressLineNumbers/>
    </w:pPr>
    <w:rPr>
      <w:rFonts w:cs="Arial"/>
    </w:rPr>
  </w:style>
  <w:style w:type="paragraph" w:customStyle="1" w:styleId="EndNoteBibliographyTitle">
    <w:name w:val="EndNote Bibliography Title"/>
    <w:basedOn w:val="Standard"/>
    <w:pPr>
      <w:spacing w:after="0"/>
      <w:jc w:val="center"/>
    </w:pPr>
    <w:rPr>
      <w:rFonts w:cs="Calibri"/>
      <w:lang w:val="en-US"/>
    </w:rPr>
  </w:style>
  <w:style w:type="paragraph" w:customStyle="1" w:styleId="EndNoteBibliography">
    <w:name w:val="EndNote Bibliography"/>
    <w:basedOn w:val="Standard"/>
    <w:pPr>
      <w:spacing w:line="240" w:lineRule="auto"/>
    </w:pPr>
    <w:rPr>
      <w:rFonts w:cs="Calibri"/>
      <w:lang w:val="en-US"/>
    </w:rPr>
  </w:style>
  <w:style w:type="paragraph" w:styleId="BalloonText">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EndNoteBibliographyTitleChar">
    <w:name w:val="EndNote Bibliography Title Char"/>
    <w:basedOn w:val="DefaultParagraphFont"/>
    <w:rPr>
      <w:rFonts w:ascii="Calibri" w:hAnsi="Calibri" w:cs="Calibri"/>
      <w:lang w:val="en-US"/>
    </w:rPr>
  </w:style>
  <w:style w:type="character" w:customStyle="1" w:styleId="EndNoteBibliographyChar">
    <w:name w:val="EndNote Bibliography Char"/>
    <w:basedOn w:val="DefaultParagraphFont"/>
    <w:rPr>
      <w:rFonts w:ascii="Calibri" w:hAnsi="Calibri" w:cs="Calibri"/>
      <w:lang w:val="en-U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Header">
    <w:name w:val="header"/>
    <w:basedOn w:val="Normal"/>
    <w:link w:val="HeaderChar"/>
    <w:uiPriority w:val="99"/>
    <w:unhideWhenUsed/>
    <w:rsid w:val="006E61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1A5"/>
  </w:style>
  <w:style w:type="paragraph" w:styleId="Footer">
    <w:name w:val="footer"/>
    <w:basedOn w:val="Normal"/>
    <w:link w:val="FooterChar"/>
    <w:uiPriority w:val="99"/>
    <w:unhideWhenUsed/>
    <w:rsid w:val="006E6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1A5"/>
  </w:style>
  <w:style w:type="character" w:styleId="LineNumber">
    <w:name w:val="line number"/>
    <w:basedOn w:val="DefaultParagraphFont"/>
    <w:uiPriority w:val="99"/>
    <w:semiHidden/>
    <w:unhideWhenUsed/>
    <w:rsid w:val="00ED7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de-CH"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after="0" w:line="288" w:lineRule="auto"/>
      <w:jc w:val="both"/>
    </w:pPr>
    <w:rPr>
      <w:rFonts w:ascii="Times New Roman" w:hAnsi="Times New Roman"/>
      <w:bCs/>
      <w:sz w:val="20"/>
      <w:szCs w:val="18"/>
    </w:rPr>
  </w:style>
  <w:style w:type="paragraph" w:customStyle="1" w:styleId="Index">
    <w:name w:val="Index"/>
    <w:basedOn w:val="Standard"/>
    <w:pPr>
      <w:suppressLineNumbers/>
    </w:pPr>
    <w:rPr>
      <w:rFonts w:cs="Arial"/>
    </w:rPr>
  </w:style>
  <w:style w:type="paragraph" w:customStyle="1" w:styleId="EndNoteBibliographyTitle">
    <w:name w:val="EndNote Bibliography Title"/>
    <w:basedOn w:val="Standard"/>
    <w:pPr>
      <w:spacing w:after="0"/>
      <w:jc w:val="center"/>
    </w:pPr>
    <w:rPr>
      <w:rFonts w:cs="Calibri"/>
      <w:lang w:val="en-US"/>
    </w:rPr>
  </w:style>
  <w:style w:type="paragraph" w:customStyle="1" w:styleId="EndNoteBibliography">
    <w:name w:val="EndNote Bibliography"/>
    <w:basedOn w:val="Standard"/>
    <w:pPr>
      <w:spacing w:line="240" w:lineRule="auto"/>
    </w:pPr>
    <w:rPr>
      <w:rFonts w:cs="Calibri"/>
      <w:lang w:val="en-US"/>
    </w:rPr>
  </w:style>
  <w:style w:type="paragraph" w:styleId="BalloonText">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EndNoteBibliographyTitleChar">
    <w:name w:val="EndNote Bibliography Title Char"/>
    <w:basedOn w:val="DefaultParagraphFont"/>
    <w:rPr>
      <w:rFonts w:ascii="Calibri" w:hAnsi="Calibri" w:cs="Calibri"/>
      <w:lang w:val="en-US"/>
    </w:rPr>
  </w:style>
  <w:style w:type="character" w:customStyle="1" w:styleId="EndNoteBibliographyChar">
    <w:name w:val="EndNote Bibliography Char"/>
    <w:basedOn w:val="DefaultParagraphFont"/>
    <w:rPr>
      <w:rFonts w:ascii="Calibri" w:hAnsi="Calibri" w:cs="Calibri"/>
      <w:lang w:val="en-US"/>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Header">
    <w:name w:val="header"/>
    <w:basedOn w:val="Normal"/>
    <w:link w:val="HeaderChar"/>
    <w:uiPriority w:val="99"/>
    <w:unhideWhenUsed/>
    <w:rsid w:val="006E61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1A5"/>
  </w:style>
  <w:style w:type="paragraph" w:styleId="Footer">
    <w:name w:val="footer"/>
    <w:basedOn w:val="Normal"/>
    <w:link w:val="FooterChar"/>
    <w:uiPriority w:val="99"/>
    <w:unhideWhenUsed/>
    <w:rsid w:val="006E6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1A5"/>
  </w:style>
  <w:style w:type="character" w:styleId="LineNumber">
    <w:name w:val="line number"/>
    <w:basedOn w:val="DefaultParagraphFont"/>
    <w:uiPriority w:val="99"/>
    <w:semiHidden/>
    <w:unhideWhenUsed/>
    <w:rsid w:val="00ED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1504">
      <w:bodyDiv w:val="1"/>
      <w:marLeft w:val="0"/>
      <w:marRight w:val="0"/>
      <w:marTop w:val="0"/>
      <w:marBottom w:val="0"/>
      <w:divBdr>
        <w:top w:val="none" w:sz="0" w:space="0" w:color="auto"/>
        <w:left w:val="none" w:sz="0" w:space="0" w:color="auto"/>
        <w:bottom w:val="none" w:sz="0" w:space="0" w:color="auto"/>
        <w:right w:val="none" w:sz="0" w:space="0" w:color="auto"/>
      </w:divBdr>
      <w:divsChild>
        <w:div w:id="1045251435">
          <w:marLeft w:val="0"/>
          <w:marRight w:val="0"/>
          <w:marTop w:val="0"/>
          <w:marBottom w:val="0"/>
          <w:divBdr>
            <w:top w:val="none" w:sz="0" w:space="0" w:color="auto"/>
            <w:left w:val="none" w:sz="0" w:space="0" w:color="auto"/>
            <w:bottom w:val="none" w:sz="0" w:space="0" w:color="auto"/>
            <w:right w:val="none" w:sz="0" w:space="0" w:color="auto"/>
          </w:divBdr>
        </w:div>
      </w:divsChild>
    </w:div>
    <w:div w:id="1143352161">
      <w:bodyDiv w:val="1"/>
      <w:marLeft w:val="0"/>
      <w:marRight w:val="0"/>
      <w:marTop w:val="0"/>
      <w:marBottom w:val="0"/>
      <w:divBdr>
        <w:top w:val="none" w:sz="0" w:space="0" w:color="auto"/>
        <w:left w:val="none" w:sz="0" w:space="0" w:color="auto"/>
        <w:bottom w:val="none" w:sz="0" w:space="0" w:color="auto"/>
        <w:right w:val="none" w:sz="0" w:space="0" w:color="auto"/>
      </w:divBdr>
      <w:divsChild>
        <w:div w:id="1835682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B340-BDF7-4318-987B-A3A21391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12B00078.dotm</Template>
  <TotalTime>0</TotalTime>
  <Pages>2</Pages>
  <Words>235</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Universität Zürich</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Fitze Daniel</dc:creator>
  <cp:lastModifiedBy>Flück Martin</cp:lastModifiedBy>
  <cp:revision>4</cp:revision>
  <cp:lastPrinted>2019-01-07T15:37:00Z</cp:lastPrinted>
  <dcterms:created xsi:type="dcterms:W3CDTF">2019-03-05T20:50:00Z</dcterms:created>
  <dcterms:modified xsi:type="dcterms:W3CDTF">2019-03-14T22:47:00Z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 Zürich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