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52270" w14:textId="1AAEE81F" w:rsidR="004B0957" w:rsidRDefault="000E6A80" w:rsidP="00FE0435">
      <w:pPr>
        <w:spacing w:line="360" w:lineRule="auto"/>
        <w:jc w:val="center"/>
      </w:pPr>
      <w:r>
        <w:rPr>
          <w:noProof/>
        </w:rPr>
        <w:drawing>
          <wp:inline distT="0" distB="0" distL="0" distR="0" wp14:anchorId="430B9E44" wp14:editId="5959EF7F">
            <wp:extent cx="6645910" cy="71151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7115175"/>
                    </a:xfrm>
                    <a:prstGeom prst="rect">
                      <a:avLst/>
                    </a:prstGeom>
                  </pic:spPr>
                </pic:pic>
              </a:graphicData>
            </a:graphic>
          </wp:inline>
        </w:drawing>
      </w:r>
    </w:p>
    <w:p w14:paraId="5F38A50A" w14:textId="71FE2AF9" w:rsidR="003C3AFD" w:rsidRDefault="007F5C2F" w:rsidP="003C3AFD">
      <w:pPr>
        <w:pStyle w:val="textbox"/>
        <w:shd w:val="clear" w:color="auto" w:fill="FFFFFF"/>
        <w:spacing w:before="0" w:beforeAutospacing="0" w:after="0" w:afterAutospacing="0" w:line="360" w:lineRule="auto"/>
        <w:rPr>
          <w:rFonts w:ascii="Times New Roman" w:hAnsi="Times New Roman"/>
          <w:szCs w:val="24"/>
        </w:rPr>
        <w:sectPr w:rsidR="003C3AFD" w:rsidSect="009A15B8">
          <w:pgSz w:w="11906" w:h="16838"/>
          <w:pgMar w:top="720" w:right="720" w:bottom="720" w:left="720" w:header="851" w:footer="992" w:gutter="0"/>
          <w:cols w:space="425"/>
          <w:docGrid w:type="lines" w:linePitch="312"/>
        </w:sectPr>
      </w:pPr>
      <w:r w:rsidRPr="002423AE">
        <w:rPr>
          <w:rFonts w:ascii="Times New Roman" w:hAnsi="Times New Roman" w:hint="eastAsia"/>
          <w:b/>
          <w:szCs w:val="24"/>
        </w:rPr>
        <w:t>F</w:t>
      </w:r>
      <w:r w:rsidRPr="002423AE">
        <w:rPr>
          <w:rFonts w:ascii="Times New Roman" w:hAnsi="Times New Roman"/>
          <w:b/>
          <w:szCs w:val="24"/>
        </w:rPr>
        <w:t xml:space="preserve">ig. S1. </w:t>
      </w:r>
      <w:r w:rsidRPr="002423AE">
        <w:rPr>
          <w:rFonts w:ascii="Times New Roman" w:hAnsi="Times New Roman"/>
          <w:szCs w:val="24"/>
        </w:rPr>
        <w:t xml:space="preserve">Relationship between mRNA abundance divergence and TE divergence for tandem duplicates. (a) Scatter plots showing the correlation between the relative divergence in mRNA abundance and the relative divergence in TE. The Pearson’s correlation coefficient and </w:t>
      </w:r>
      <w:r w:rsidRPr="002423AE">
        <w:rPr>
          <w:rFonts w:ascii="Times New Roman" w:hAnsi="Times New Roman"/>
          <w:i/>
          <w:szCs w:val="24"/>
        </w:rPr>
        <w:t>P</w:t>
      </w:r>
      <w:r w:rsidRPr="002423AE">
        <w:rPr>
          <w:rFonts w:ascii="Times New Roman" w:hAnsi="Times New Roman"/>
          <w:szCs w:val="24"/>
        </w:rPr>
        <w:t xml:space="preserve">-value are indicated. The shaded areas represent 95% confidence interval in both plots. (b, c) Numbers of gene pairs whose transcriptional divergence decreases (referred to as “buffered”) or increases (referred to as “reinforced”) at the translational level for all </w:t>
      </w:r>
      <w:r w:rsidR="008828A9">
        <w:rPr>
          <w:rFonts w:ascii="Times New Roman" w:hAnsi="Times New Roman"/>
          <w:szCs w:val="24"/>
        </w:rPr>
        <w:t>tandem</w:t>
      </w:r>
      <w:bookmarkStart w:id="0" w:name="_GoBack"/>
      <w:bookmarkEnd w:id="0"/>
      <w:r w:rsidRPr="002423AE">
        <w:rPr>
          <w:rFonts w:ascii="Times New Roman" w:hAnsi="Times New Roman"/>
          <w:szCs w:val="24"/>
        </w:rPr>
        <w:t xml:space="preserve"> duplicates (b) and those with TE fold difference ≥ 2 (c). </w:t>
      </w:r>
      <w:r w:rsidRPr="002423AE">
        <w:rPr>
          <w:rFonts w:ascii="Times New Roman" w:hAnsi="Times New Roman"/>
          <w:i/>
          <w:szCs w:val="24"/>
        </w:rPr>
        <w:t>P</w:t>
      </w:r>
      <w:r w:rsidRPr="002423AE">
        <w:rPr>
          <w:rFonts w:ascii="Times New Roman" w:hAnsi="Times New Roman"/>
          <w:szCs w:val="24"/>
        </w:rPr>
        <w:t>-values derived from the binomial test are shown above the bar.</w:t>
      </w:r>
    </w:p>
    <w:p w14:paraId="3713D806" w14:textId="2A948481" w:rsidR="007F5C2F" w:rsidRDefault="00304B2B" w:rsidP="00FE0435">
      <w:pPr>
        <w:pStyle w:val="textbox"/>
        <w:shd w:val="clear" w:color="auto" w:fill="FFFFFF"/>
        <w:spacing w:before="0" w:beforeAutospacing="0" w:after="0" w:afterAutospacing="0" w:line="360" w:lineRule="auto"/>
        <w:rPr>
          <w:rFonts w:ascii="Times New Roman" w:hAnsi="Times New Roman"/>
          <w:b/>
          <w:szCs w:val="24"/>
        </w:rPr>
      </w:pPr>
      <w:r>
        <w:rPr>
          <w:noProof/>
        </w:rPr>
        <w:lastRenderedPageBreak/>
        <w:drawing>
          <wp:inline distT="0" distB="0" distL="0" distR="0" wp14:anchorId="1EAC0BED" wp14:editId="55B47CDE">
            <wp:extent cx="6646545" cy="1771015"/>
            <wp:effectExtent l="0" t="0" r="19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6545" cy="1771015"/>
                    </a:xfrm>
                    <a:prstGeom prst="rect">
                      <a:avLst/>
                    </a:prstGeom>
                  </pic:spPr>
                </pic:pic>
              </a:graphicData>
            </a:graphic>
          </wp:inline>
        </w:drawing>
      </w:r>
    </w:p>
    <w:p w14:paraId="08E6662A" w14:textId="4E21EEB3" w:rsidR="003C3AFD" w:rsidRDefault="006A67E8" w:rsidP="00FE0435">
      <w:pPr>
        <w:pStyle w:val="textbox"/>
        <w:shd w:val="clear" w:color="auto" w:fill="FFFFFF"/>
        <w:spacing w:before="0" w:beforeAutospacing="0" w:after="0" w:afterAutospacing="0" w:line="360" w:lineRule="auto"/>
        <w:rPr>
          <w:rFonts w:ascii="Times New Roman" w:hAnsi="Times New Roman"/>
          <w:szCs w:val="24"/>
        </w:rPr>
        <w:sectPr w:rsidR="003C3AFD" w:rsidSect="00814960">
          <w:pgSz w:w="11907" w:h="9072" w:orient="landscape"/>
          <w:pgMar w:top="720" w:right="720" w:bottom="720" w:left="720" w:header="851" w:footer="992" w:gutter="0"/>
          <w:cols w:space="425"/>
          <w:docGrid w:type="lines" w:linePitch="312"/>
        </w:sectPr>
      </w:pPr>
      <w:r w:rsidRPr="002423AE">
        <w:rPr>
          <w:rFonts w:ascii="Times New Roman" w:hAnsi="Times New Roman"/>
          <w:b/>
          <w:szCs w:val="24"/>
        </w:rPr>
        <w:t>Fig. S2.</w:t>
      </w:r>
      <w:r w:rsidRPr="002423AE">
        <w:rPr>
          <w:rFonts w:ascii="Times New Roman" w:hAnsi="Times New Roman"/>
          <w:szCs w:val="24"/>
        </w:rPr>
        <w:t xml:space="preserve"> Relative contributions of transcriptional and translational regulation to RF abundance divergence of tandem duplicates. (a) Fold differences in mRNA abundance and TE between paralogs. Boxes extend from the first quartile (Q1) to the third quartile (Q3). The median is shown by a line inside the box. Whiskers extend to ± 1.5 interquartile range (IQR). </w:t>
      </w:r>
      <w:r w:rsidRPr="002423AE">
        <w:rPr>
          <w:rFonts w:ascii="Times New Roman" w:hAnsi="Times New Roman"/>
          <w:i/>
          <w:szCs w:val="24"/>
        </w:rPr>
        <w:t>P</w:t>
      </w:r>
      <w:r w:rsidRPr="002423AE">
        <w:rPr>
          <w:rFonts w:ascii="Times New Roman" w:hAnsi="Times New Roman"/>
          <w:szCs w:val="24"/>
        </w:rPr>
        <w:t xml:space="preserve">-values derived from the Wilcoxon signed-rank test are shown. (b) Numbers of </w:t>
      </w:r>
      <w:r w:rsidR="008828A9">
        <w:rPr>
          <w:rFonts w:ascii="Times New Roman" w:hAnsi="Times New Roman"/>
          <w:szCs w:val="24"/>
        </w:rPr>
        <w:t>tandem</w:t>
      </w:r>
      <w:r w:rsidRPr="002423AE">
        <w:rPr>
          <w:rFonts w:ascii="Times New Roman" w:hAnsi="Times New Roman"/>
          <w:szCs w:val="24"/>
        </w:rPr>
        <w:t xml:space="preserve"> duplicate pairs with higher fold difference in mRNA abundance than TE and with higher fold difference in TE than mRNA abundance. </w:t>
      </w:r>
      <w:r w:rsidRPr="002423AE">
        <w:rPr>
          <w:rFonts w:ascii="Times New Roman" w:hAnsi="Times New Roman"/>
          <w:i/>
          <w:szCs w:val="24"/>
        </w:rPr>
        <w:t>P</w:t>
      </w:r>
      <w:r w:rsidRPr="002423AE">
        <w:rPr>
          <w:rFonts w:ascii="Times New Roman" w:hAnsi="Times New Roman"/>
          <w:szCs w:val="24"/>
        </w:rPr>
        <w:t>-values derived from the binomial test are indicated.</w:t>
      </w:r>
    </w:p>
    <w:p w14:paraId="5322BB03" w14:textId="0E7E9087" w:rsidR="00EF0D24" w:rsidRDefault="00132E01" w:rsidP="00BE33EC">
      <w:pPr>
        <w:pStyle w:val="textbox"/>
        <w:shd w:val="clear" w:color="auto" w:fill="FFFFFF"/>
        <w:spacing w:before="0" w:beforeAutospacing="0" w:after="0" w:afterAutospacing="0" w:line="360" w:lineRule="auto"/>
        <w:jc w:val="center"/>
        <w:rPr>
          <w:rFonts w:ascii="Times New Roman" w:hAnsi="Times New Roman"/>
          <w:b/>
          <w:szCs w:val="24"/>
        </w:rPr>
      </w:pPr>
      <w:r>
        <w:rPr>
          <w:noProof/>
        </w:rPr>
        <w:lastRenderedPageBreak/>
        <w:drawing>
          <wp:inline distT="0" distB="0" distL="0" distR="0" wp14:anchorId="287B554C" wp14:editId="59FA2E6D">
            <wp:extent cx="6462248" cy="80069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3777" cy="8008859"/>
                    </a:xfrm>
                    <a:prstGeom prst="rect">
                      <a:avLst/>
                    </a:prstGeom>
                  </pic:spPr>
                </pic:pic>
              </a:graphicData>
            </a:graphic>
          </wp:inline>
        </w:drawing>
      </w:r>
    </w:p>
    <w:p w14:paraId="62815CFB" w14:textId="77777777" w:rsidR="00BE33EC" w:rsidRDefault="00BE33EC" w:rsidP="00BE33EC">
      <w:pPr>
        <w:pStyle w:val="textbox"/>
        <w:shd w:val="clear" w:color="auto" w:fill="FFFFFF"/>
        <w:spacing w:before="0" w:beforeAutospacing="0" w:after="0" w:afterAutospacing="0" w:line="360" w:lineRule="auto"/>
        <w:rPr>
          <w:rFonts w:ascii="Times New Roman" w:hAnsi="Times New Roman"/>
          <w:szCs w:val="24"/>
        </w:rPr>
        <w:sectPr w:rsidR="00BE33EC" w:rsidSect="00445784">
          <w:pgSz w:w="11907" w:h="18144"/>
          <w:pgMar w:top="720" w:right="720" w:bottom="720" w:left="720" w:header="851" w:footer="992" w:gutter="0"/>
          <w:cols w:space="425"/>
          <w:docGrid w:type="lines" w:linePitch="312"/>
        </w:sectPr>
      </w:pPr>
      <w:r w:rsidRPr="002423AE">
        <w:rPr>
          <w:rFonts w:ascii="Times New Roman" w:hAnsi="Times New Roman"/>
          <w:b/>
          <w:szCs w:val="24"/>
        </w:rPr>
        <w:t>Fig. S3.</w:t>
      </w:r>
      <w:r w:rsidRPr="002423AE">
        <w:rPr>
          <w:rFonts w:ascii="Times New Roman" w:hAnsi="Times New Roman"/>
          <w:szCs w:val="24"/>
        </w:rPr>
        <w:t xml:space="preserve"> Relationship between RF abundance divergence and amino acid divergence for tandem duplicates. (a) Correlation between the RF abundance divergence and amino acid sequence divergence. The Pearson’s correlation coefficient and </w:t>
      </w:r>
      <w:r w:rsidRPr="002423AE">
        <w:rPr>
          <w:rFonts w:ascii="Times New Roman" w:hAnsi="Times New Roman"/>
          <w:i/>
          <w:szCs w:val="24"/>
        </w:rPr>
        <w:t>P</w:t>
      </w:r>
      <w:r w:rsidRPr="002423AE">
        <w:rPr>
          <w:rFonts w:ascii="Times New Roman" w:hAnsi="Times New Roman"/>
          <w:szCs w:val="24"/>
        </w:rPr>
        <w:t xml:space="preserve">-value are indicated. The shaded areas represent 95% confidence interval in both plots. (b) Proportion of the paralog copy with the higher RF abundance between the slower- and faster-evolving copy in a duplicate pair. The y-axis represents the proportion of the paralog with the higher RF abundance. Bars in blue and yellow denote the slower-evolving and faster-evolving paralog copy, respectively. Numbers of duplicate pairs are given on the bar. </w:t>
      </w:r>
      <w:r w:rsidRPr="002423AE">
        <w:rPr>
          <w:rFonts w:ascii="Times New Roman" w:hAnsi="Times New Roman"/>
          <w:i/>
          <w:szCs w:val="24"/>
        </w:rPr>
        <w:t>P</w:t>
      </w:r>
      <w:r w:rsidRPr="002423AE">
        <w:rPr>
          <w:rFonts w:ascii="Times New Roman" w:hAnsi="Times New Roman"/>
          <w:szCs w:val="24"/>
        </w:rPr>
        <w:t>-values derived from a binomial test are shown above the bar.</w:t>
      </w:r>
    </w:p>
    <w:p w14:paraId="213C0E9D" w14:textId="7654C6F0" w:rsidR="00BE33EC" w:rsidRDefault="000F02BA" w:rsidP="00393434">
      <w:pPr>
        <w:pStyle w:val="textbox"/>
        <w:shd w:val="clear" w:color="auto" w:fill="FFFFFF"/>
        <w:spacing w:before="0" w:beforeAutospacing="0" w:after="0" w:afterAutospacing="0" w:line="360" w:lineRule="auto"/>
        <w:jc w:val="center"/>
        <w:rPr>
          <w:rFonts w:ascii="Times New Roman" w:hAnsi="Times New Roman"/>
          <w:szCs w:val="24"/>
        </w:rPr>
      </w:pPr>
      <w:r>
        <w:rPr>
          <w:noProof/>
        </w:rPr>
        <w:lastRenderedPageBreak/>
        <w:drawing>
          <wp:inline distT="0" distB="0" distL="0" distR="0" wp14:anchorId="2D60ECCF" wp14:editId="00DC041B">
            <wp:extent cx="5696711" cy="8698727"/>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8162" cy="8700943"/>
                    </a:xfrm>
                    <a:prstGeom prst="rect">
                      <a:avLst/>
                    </a:prstGeom>
                  </pic:spPr>
                </pic:pic>
              </a:graphicData>
            </a:graphic>
          </wp:inline>
        </w:drawing>
      </w:r>
    </w:p>
    <w:p w14:paraId="5BE44661" w14:textId="77777777" w:rsidR="00393434" w:rsidRPr="002423AE" w:rsidRDefault="00393434" w:rsidP="00393434">
      <w:pPr>
        <w:pStyle w:val="textbox"/>
        <w:shd w:val="clear" w:color="auto" w:fill="FFFFFF"/>
        <w:spacing w:before="0" w:beforeAutospacing="0" w:after="0" w:afterAutospacing="0" w:line="360" w:lineRule="auto"/>
        <w:rPr>
          <w:rFonts w:ascii="Times New Roman" w:hAnsi="Times New Roman"/>
          <w:b/>
          <w:szCs w:val="24"/>
        </w:rPr>
      </w:pPr>
      <w:r w:rsidRPr="002423AE">
        <w:rPr>
          <w:rFonts w:ascii="Times New Roman" w:hAnsi="Times New Roman" w:hint="eastAsia"/>
          <w:b/>
          <w:szCs w:val="24"/>
        </w:rPr>
        <w:t>F</w:t>
      </w:r>
      <w:r w:rsidRPr="002423AE">
        <w:rPr>
          <w:rFonts w:ascii="Times New Roman" w:hAnsi="Times New Roman"/>
          <w:b/>
          <w:szCs w:val="24"/>
        </w:rPr>
        <w:t>ig. S4.</w:t>
      </w:r>
      <w:r w:rsidRPr="002423AE">
        <w:rPr>
          <w:rFonts w:ascii="Times New Roman" w:hAnsi="Times New Roman"/>
          <w:szCs w:val="24"/>
        </w:rPr>
        <w:t xml:space="preserve"> Distribution of the value of Ka/Ks of the paralog copy with the higher RF abundance for WGD (a) and tandem duplicates (b).</w:t>
      </w:r>
    </w:p>
    <w:p w14:paraId="489D76D3" w14:textId="77777777" w:rsidR="00393434" w:rsidRPr="00393434" w:rsidRDefault="00393434" w:rsidP="00393434">
      <w:pPr>
        <w:pStyle w:val="textbox"/>
        <w:shd w:val="clear" w:color="auto" w:fill="FFFFFF"/>
        <w:spacing w:before="0" w:beforeAutospacing="0" w:after="0" w:afterAutospacing="0" w:line="360" w:lineRule="auto"/>
        <w:jc w:val="center"/>
        <w:rPr>
          <w:rFonts w:ascii="Times New Roman" w:hAnsi="Times New Roman"/>
          <w:szCs w:val="24"/>
        </w:rPr>
      </w:pPr>
    </w:p>
    <w:p w14:paraId="5AD14667" w14:textId="48EC67AB" w:rsidR="00EF0D24" w:rsidRPr="00BE33EC" w:rsidRDefault="00393434" w:rsidP="004E0DE1">
      <w:pPr>
        <w:pStyle w:val="textbox"/>
        <w:shd w:val="clear" w:color="auto" w:fill="FFFFFF"/>
        <w:spacing w:before="0" w:beforeAutospacing="0" w:after="0" w:afterAutospacing="0" w:line="360" w:lineRule="auto"/>
        <w:jc w:val="center"/>
        <w:rPr>
          <w:rFonts w:ascii="Times New Roman" w:hAnsi="Times New Roman"/>
          <w:b/>
          <w:szCs w:val="24"/>
        </w:rPr>
      </w:pPr>
      <w:r>
        <w:rPr>
          <w:noProof/>
        </w:rPr>
        <w:lastRenderedPageBreak/>
        <w:drawing>
          <wp:inline distT="0" distB="0" distL="0" distR="0" wp14:anchorId="3051EDBA" wp14:editId="501A0CD8">
            <wp:extent cx="6366681" cy="8754554"/>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9556" cy="8758507"/>
                    </a:xfrm>
                    <a:prstGeom prst="rect">
                      <a:avLst/>
                    </a:prstGeom>
                  </pic:spPr>
                </pic:pic>
              </a:graphicData>
            </a:graphic>
          </wp:inline>
        </w:drawing>
      </w:r>
    </w:p>
    <w:p w14:paraId="162661BC" w14:textId="05CA9457" w:rsidR="008C5B08" w:rsidRPr="004C510D" w:rsidRDefault="004E0DE1" w:rsidP="007A513B">
      <w:pPr>
        <w:pStyle w:val="textbox"/>
        <w:shd w:val="clear" w:color="auto" w:fill="FFFFFF"/>
        <w:spacing w:before="0" w:beforeAutospacing="0" w:after="0" w:afterAutospacing="0" w:line="360" w:lineRule="auto"/>
      </w:pPr>
      <w:r w:rsidRPr="002423AE">
        <w:rPr>
          <w:rFonts w:ascii="Times New Roman" w:hAnsi="Times New Roman"/>
          <w:b/>
          <w:szCs w:val="24"/>
        </w:rPr>
        <w:t xml:space="preserve">Fig. S5. </w:t>
      </w:r>
      <w:r>
        <w:rPr>
          <w:rFonts w:ascii="Times New Roman" w:hAnsi="Times New Roman"/>
          <w:szCs w:val="24"/>
        </w:rPr>
        <w:t>Th</w:t>
      </w:r>
      <w:r w:rsidRPr="002423AE">
        <w:rPr>
          <w:rFonts w:ascii="Times New Roman" w:hAnsi="Times New Roman"/>
          <w:szCs w:val="24"/>
        </w:rPr>
        <w:t xml:space="preserve">e database for translational divergence of plant duplicate genes. (a) Homepage of the database. (b) The ‘Search’ interface of the database. (c) An </w:t>
      </w:r>
      <w:proofErr w:type="gramStart"/>
      <w:r w:rsidRPr="002423AE">
        <w:rPr>
          <w:rFonts w:ascii="Times New Roman" w:hAnsi="Times New Roman"/>
          <w:szCs w:val="24"/>
        </w:rPr>
        <w:t>examples of the search results</w:t>
      </w:r>
      <w:proofErr w:type="gramEnd"/>
      <w:r w:rsidRPr="002423AE">
        <w:rPr>
          <w:rFonts w:ascii="Times New Roman" w:hAnsi="Times New Roman"/>
          <w:szCs w:val="24"/>
        </w:rPr>
        <w:t>.</w:t>
      </w:r>
    </w:p>
    <w:sectPr w:rsidR="008C5B08" w:rsidRPr="004C510D" w:rsidSect="009A15B8">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09D05" w14:textId="77777777" w:rsidR="00C66B21" w:rsidRDefault="00C66B21" w:rsidP="00932472">
      <w:r>
        <w:separator/>
      </w:r>
    </w:p>
  </w:endnote>
  <w:endnote w:type="continuationSeparator" w:id="0">
    <w:p w14:paraId="0DEDEE6F" w14:textId="77777777" w:rsidR="00C66B21" w:rsidRDefault="00C66B21" w:rsidP="0093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2E95A" w14:textId="77777777" w:rsidR="00C66B21" w:rsidRDefault="00C66B21" w:rsidP="00932472">
      <w:r>
        <w:separator/>
      </w:r>
    </w:p>
  </w:footnote>
  <w:footnote w:type="continuationSeparator" w:id="0">
    <w:p w14:paraId="7E7C1016" w14:textId="77777777" w:rsidR="00C66B21" w:rsidRDefault="00C66B21" w:rsidP="009324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4A"/>
    <w:rsid w:val="0004029F"/>
    <w:rsid w:val="0007295F"/>
    <w:rsid w:val="000E6A80"/>
    <w:rsid w:val="000F02BA"/>
    <w:rsid w:val="00132E01"/>
    <w:rsid w:val="001733E1"/>
    <w:rsid w:val="00304B2B"/>
    <w:rsid w:val="00393434"/>
    <w:rsid w:val="003C3AFD"/>
    <w:rsid w:val="00445784"/>
    <w:rsid w:val="004B0957"/>
    <w:rsid w:val="004C510D"/>
    <w:rsid w:val="004E0DE1"/>
    <w:rsid w:val="006A67E8"/>
    <w:rsid w:val="007A513B"/>
    <w:rsid w:val="007F5C2F"/>
    <w:rsid w:val="00814960"/>
    <w:rsid w:val="0086024A"/>
    <w:rsid w:val="008828A9"/>
    <w:rsid w:val="008C5B08"/>
    <w:rsid w:val="008E6B2C"/>
    <w:rsid w:val="00932472"/>
    <w:rsid w:val="009766CF"/>
    <w:rsid w:val="00980E38"/>
    <w:rsid w:val="00991D05"/>
    <w:rsid w:val="009A15B8"/>
    <w:rsid w:val="009A6659"/>
    <w:rsid w:val="00A535ED"/>
    <w:rsid w:val="00A64A6A"/>
    <w:rsid w:val="00A67D2C"/>
    <w:rsid w:val="00B640BC"/>
    <w:rsid w:val="00BE33EC"/>
    <w:rsid w:val="00C45116"/>
    <w:rsid w:val="00C554A2"/>
    <w:rsid w:val="00C66B21"/>
    <w:rsid w:val="00D873FE"/>
    <w:rsid w:val="00DE7A08"/>
    <w:rsid w:val="00EF0D24"/>
    <w:rsid w:val="00FE0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CBD0B"/>
  <w15:chartTrackingRefBased/>
  <w15:docId w15:val="{ABEFA064-173E-4236-8470-EDCDD854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24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32472"/>
    <w:rPr>
      <w:sz w:val="18"/>
      <w:szCs w:val="18"/>
    </w:rPr>
  </w:style>
  <w:style w:type="paragraph" w:styleId="a5">
    <w:name w:val="footer"/>
    <w:basedOn w:val="a"/>
    <w:link w:val="a6"/>
    <w:uiPriority w:val="99"/>
    <w:unhideWhenUsed/>
    <w:rsid w:val="00932472"/>
    <w:pPr>
      <w:tabs>
        <w:tab w:val="center" w:pos="4153"/>
        <w:tab w:val="right" w:pos="8306"/>
      </w:tabs>
      <w:snapToGrid w:val="0"/>
      <w:jc w:val="left"/>
    </w:pPr>
    <w:rPr>
      <w:sz w:val="18"/>
      <w:szCs w:val="18"/>
    </w:rPr>
  </w:style>
  <w:style w:type="character" w:customStyle="1" w:styleId="a6">
    <w:name w:val="页脚 字符"/>
    <w:basedOn w:val="a0"/>
    <w:link w:val="a5"/>
    <w:uiPriority w:val="99"/>
    <w:rsid w:val="00932472"/>
    <w:rPr>
      <w:sz w:val="18"/>
      <w:szCs w:val="18"/>
    </w:rPr>
  </w:style>
  <w:style w:type="paragraph" w:customStyle="1" w:styleId="textbox">
    <w:name w:val="textbox"/>
    <w:basedOn w:val="a"/>
    <w:link w:val="textbox0"/>
    <w:uiPriority w:val="99"/>
    <w:rsid w:val="007F5C2F"/>
    <w:pPr>
      <w:widowControl/>
      <w:spacing w:before="100" w:beforeAutospacing="1" w:after="100" w:afterAutospacing="1"/>
      <w:jc w:val="left"/>
    </w:pPr>
    <w:rPr>
      <w:rFonts w:ascii="宋体" w:eastAsia="宋体" w:hAnsi="宋体" w:cs="Times New Roman"/>
      <w:kern w:val="0"/>
      <w:sz w:val="24"/>
      <w:szCs w:val="20"/>
    </w:rPr>
  </w:style>
  <w:style w:type="character" w:customStyle="1" w:styleId="textbox0">
    <w:name w:val="textbox 字符"/>
    <w:link w:val="textbox"/>
    <w:uiPriority w:val="99"/>
    <w:locked/>
    <w:rsid w:val="007F5C2F"/>
    <w:rPr>
      <w:rFonts w:ascii="宋体" w:eastAsia="宋体" w:hAnsi="宋体" w:cs="Times New Roman"/>
      <w:kern w:val="0"/>
      <w:sz w:val="24"/>
      <w:szCs w:val="20"/>
    </w:rPr>
  </w:style>
  <w:style w:type="paragraph" w:styleId="a7">
    <w:name w:val="Balloon Text"/>
    <w:basedOn w:val="a"/>
    <w:link w:val="a8"/>
    <w:uiPriority w:val="99"/>
    <w:semiHidden/>
    <w:unhideWhenUsed/>
    <w:rsid w:val="00A67D2C"/>
    <w:rPr>
      <w:sz w:val="18"/>
      <w:szCs w:val="18"/>
    </w:rPr>
  </w:style>
  <w:style w:type="character" w:customStyle="1" w:styleId="a8">
    <w:name w:val="批注框文本 字符"/>
    <w:basedOn w:val="a0"/>
    <w:link w:val="a7"/>
    <w:uiPriority w:val="99"/>
    <w:semiHidden/>
    <w:rsid w:val="00A67D2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353</Words>
  <Characters>2018</Characters>
  <Application>Microsoft Office Word</Application>
  <DocSecurity>0</DocSecurity>
  <Lines>16</Lines>
  <Paragraphs>4</Paragraphs>
  <ScaleCrop>false</ScaleCrop>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SSW</dc:creator>
  <cp:keywords/>
  <dc:description/>
  <cp:lastModifiedBy>SSW</cp:lastModifiedBy>
  <cp:revision>37</cp:revision>
  <dcterms:created xsi:type="dcterms:W3CDTF">2018-11-01T13:15:00Z</dcterms:created>
  <dcterms:modified xsi:type="dcterms:W3CDTF">2019-04-23T23:32:00Z</dcterms:modified>
</cp:coreProperties>
</file>