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DDB2E" w14:textId="0EBEF780" w:rsidR="000E10D6" w:rsidRDefault="00654E8F" w:rsidP="002E4ED9">
      <w:pPr>
        <w:pStyle w:val="SupplementaryMaterial"/>
      </w:pPr>
      <w:r w:rsidRPr="001549D3">
        <w:t>Supplementary Material</w:t>
      </w:r>
    </w:p>
    <w:p w14:paraId="4F2995C8" w14:textId="77777777" w:rsidR="002E4ED9" w:rsidRPr="002E4ED9" w:rsidRDefault="002E4ED9" w:rsidP="002E4ED9">
      <w:pPr>
        <w:pStyle w:val="Cm"/>
      </w:pPr>
    </w:p>
    <w:p w14:paraId="0BBCC6C4" w14:textId="26F401CA" w:rsidR="00EA3A21" w:rsidRDefault="000E10D6" w:rsidP="000E10D6">
      <w:pPr>
        <w:jc w:val="both"/>
      </w:pPr>
      <w:r>
        <w:t>For exploratory purposes, a series of linear regression analys</w:t>
      </w:r>
      <w:r w:rsidR="00005D16">
        <w:t>e</w:t>
      </w:r>
      <w:r>
        <w:t>s</w:t>
      </w:r>
      <w:r w:rsidR="00795756">
        <w:t xml:space="preserve"> was performed to test whether </w:t>
      </w:r>
      <w:r w:rsidR="00EA3A21">
        <w:t xml:space="preserve">gender </w:t>
      </w:r>
      <w:r>
        <w:t xml:space="preserve">moderated the effect of emotion regulation </w:t>
      </w:r>
      <w:r w:rsidR="003B5FC1">
        <w:t xml:space="preserve">(ER) </w:t>
      </w:r>
      <w:r>
        <w:t>strategies (other than rumination) on online</w:t>
      </w:r>
      <w:r w:rsidR="00795756">
        <w:t xml:space="preserve"> problem</w:t>
      </w:r>
      <w:r>
        <w:t xml:space="preserve"> gaming. </w:t>
      </w:r>
      <w:r w:rsidR="00C8143E">
        <w:t xml:space="preserve">Similarly, </w:t>
      </w:r>
      <w:r w:rsidR="00C8143E" w:rsidRPr="00C8143E">
        <w:t>we</w:t>
      </w:r>
      <w:r w:rsidR="00C8143E">
        <w:t xml:space="preserve"> also</w:t>
      </w:r>
      <w:r w:rsidR="00C8143E" w:rsidRPr="00C8143E">
        <w:t xml:space="preserve"> ran a series of analys</w:t>
      </w:r>
      <w:r w:rsidR="00005D16">
        <w:t>e</w:t>
      </w:r>
      <w:bookmarkStart w:id="0" w:name="_GoBack"/>
      <w:bookmarkEnd w:id="0"/>
      <w:r w:rsidR="00C8143E" w:rsidRPr="00C8143E">
        <w:t xml:space="preserve">s to test whether </w:t>
      </w:r>
      <w:r w:rsidR="00C8143E">
        <w:t xml:space="preserve">preferred </w:t>
      </w:r>
      <w:r w:rsidR="00C8143E" w:rsidRPr="00C8143E">
        <w:t xml:space="preserve">game genre moderated the effect of ER </w:t>
      </w:r>
      <w:r w:rsidR="003B5FC1">
        <w:t xml:space="preserve">strategies </w:t>
      </w:r>
      <w:r w:rsidR="00795756">
        <w:t xml:space="preserve">on </w:t>
      </w:r>
      <w:r w:rsidR="00C8143E" w:rsidRPr="00C8143E">
        <w:t>online</w:t>
      </w:r>
      <w:r w:rsidR="00795756">
        <w:t xml:space="preserve"> problem</w:t>
      </w:r>
      <w:r w:rsidR="00C8143E" w:rsidRPr="00C8143E">
        <w:t xml:space="preserve"> gaming</w:t>
      </w:r>
      <w:r w:rsidR="00EA3A21">
        <w:t>.</w:t>
      </w:r>
      <w:r w:rsidR="00C8143E" w:rsidRPr="00C8143E">
        <w:t xml:space="preserve"> </w:t>
      </w:r>
      <w:r w:rsidR="003B5FC1">
        <w:t xml:space="preserve">In all models age, gender, preferred game genre and the main effects of all ER strategies were included. </w:t>
      </w:r>
      <w:r w:rsidR="00887E94">
        <w:t>O</w:t>
      </w:r>
      <w:r w:rsidR="00887E94" w:rsidRPr="00887E94">
        <w:t xml:space="preserve">nly one interaction term was included in the regression model each time. </w:t>
      </w:r>
      <w:r>
        <w:t>Standardized betas and related significance level</w:t>
      </w:r>
      <w:r w:rsidR="00EA3A21">
        <w:t>s</w:t>
      </w:r>
      <w:r>
        <w:t xml:space="preserve"> are presented in Supplementary Table 1. </w:t>
      </w:r>
    </w:p>
    <w:p w14:paraId="1FDAB705" w14:textId="691D19B5" w:rsidR="000E10D6" w:rsidRDefault="00EA3A21" w:rsidP="00EA3A21">
      <w:pPr>
        <w:jc w:val="both"/>
      </w:pPr>
      <w:r>
        <w:t xml:space="preserve">Table S1. </w:t>
      </w:r>
      <w:r w:rsidRPr="00EA3A21">
        <w:t>Standardized regression weights</w:t>
      </w:r>
      <w:r>
        <w:t xml:space="preserve"> of interaction terms</w:t>
      </w:r>
      <w:r w:rsidR="008202B7">
        <w:t xml:space="preserve"> (gender x emotion regulation strategies and preferred game genre x emotion regulation strateg</w:t>
      </w:r>
      <w:r w:rsidR="00B93955">
        <w:t xml:space="preserve">ies) </w:t>
      </w:r>
      <w:r w:rsidR="00795756">
        <w:t xml:space="preserve">explaining </w:t>
      </w:r>
      <w:r w:rsidR="008202B7">
        <w:t>online</w:t>
      </w:r>
      <w:r w:rsidR="00795756">
        <w:t xml:space="preserve"> problem</w:t>
      </w:r>
      <w:r w:rsidR="008202B7">
        <w:t xml:space="preserve"> gaming</w:t>
      </w:r>
      <w:r w:rsidR="00B93955">
        <w:t xml:space="preserve"> score</w:t>
      </w:r>
      <w:r w:rsidR="008202B7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5"/>
        <w:gridCol w:w="1628"/>
        <w:gridCol w:w="1628"/>
        <w:gridCol w:w="1628"/>
        <w:gridCol w:w="1628"/>
      </w:tblGrid>
      <w:tr w:rsidR="000E10D6" w14:paraId="204F1537" w14:textId="77777777" w:rsidTr="00877631">
        <w:tc>
          <w:tcPr>
            <w:tcW w:w="3255" w:type="dxa"/>
            <w:vMerge w:val="restart"/>
          </w:tcPr>
          <w:p w14:paraId="799B60E6" w14:textId="77777777" w:rsidR="000E10D6" w:rsidRDefault="000E10D6" w:rsidP="000E10D6">
            <w:pPr>
              <w:spacing w:before="0" w:after="0"/>
            </w:pPr>
          </w:p>
        </w:tc>
        <w:tc>
          <w:tcPr>
            <w:tcW w:w="3256" w:type="dxa"/>
            <w:gridSpan w:val="2"/>
          </w:tcPr>
          <w:p w14:paraId="579A431A" w14:textId="3C3CC508" w:rsidR="000E10D6" w:rsidRDefault="000E10D6" w:rsidP="00DD276C">
            <w:pPr>
              <w:spacing w:before="0" w:after="0"/>
              <w:jc w:val="center"/>
            </w:pPr>
            <w:r>
              <w:t>interaction with gender</w:t>
            </w:r>
          </w:p>
        </w:tc>
        <w:tc>
          <w:tcPr>
            <w:tcW w:w="3256" w:type="dxa"/>
            <w:gridSpan w:val="2"/>
          </w:tcPr>
          <w:p w14:paraId="175E8633" w14:textId="496D1986" w:rsidR="000E10D6" w:rsidRDefault="000E10D6" w:rsidP="00DD276C">
            <w:pPr>
              <w:spacing w:before="0" w:after="0"/>
              <w:jc w:val="center"/>
            </w:pPr>
            <w:r>
              <w:t>interaction with preferred game genre</w:t>
            </w:r>
          </w:p>
        </w:tc>
      </w:tr>
      <w:tr w:rsidR="000E10D6" w14:paraId="12BA4DF4" w14:textId="77777777" w:rsidTr="00877631">
        <w:tc>
          <w:tcPr>
            <w:tcW w:w="3255" w:type="dxa"/>
            <w:vMerge/>
          </w:tcPr>
          <w:p w14:paraId="56546CB1" w14:textId="77777777" w:rsidR="000E10D6" w:rsidRDefault="000E10D6" w:rsidP="000E10D6">
            <w:pPr>
              <w:spacing w:before="0" w:after="0"/>
            </w:pPr>
          </w:p>
        </w:tc>
        <w:tc>
          <w:tcPr>
            <w:tcW w:w="1628" w:type="dxa"/>
          </w:tcPr>
          <w:p w14:paraId="7FDAB41D" w14:textId="26646B71" w:rsidR="000E10D6" w:rsidRDefault="000E10D6" w:rsidP="00DD276C">
            <w:pPr>
              <w:spacing w:before="0" w:after="0"/>
              <w:jc w:val="center"/>
            </w:pPr>
            <w:r w:rsidRPr="00DD7862">
              <w:rPr>
                <w:rFonts w:eastAsia="Calibri" w:cs="Times New Roman"/>
                <w:szCs w:val="24"/>
              </w:rPr>
              <w:t>Standardized beta</w:t>
            </w:r>
          </w:p>
        </w:tc>
        <w:tc>
          <w:tcPr>
            <w:tcW w:w="1628" w:type="dxa"/>
          </w:tcPr>
          <w:p w14:paraId="043CB95F" w14:textId="757A9CB9" w:rsidR="000E10D6" w:rsidRDefault="000E10D6" w:rsidP="00DD276C">
            <w:pPr>
              <w:spacing w:before="0" w:after="0"/>
              <w:jc w:val="center"/>
            </w:pPr>
            <w:r w:rsidRPr="00DD7862">
              <w:rPr>
                <w:rFonts w:eastAsia="Calibri" w:cs="Times New Roman"/>
                <w:szCs w:val="24"/>
              </w:rPr>
              <w:t>Significance</w:t>
            </w:r>
          </w:p>
        </w:tc>
        <w:tc>
          <w:tcPr>
            <w:tcW w:w="1628" w:type="dxa"/>
          </w:tcPr>
          <w:p w14:paraId="28A0164E" w14:textId="678DB945" w:rsidR="000E10D6" w:rsidRDefault="000E10D6" w:rsidP="00DD276C">
            <w:pPr>
              <w:spacing w:before="0" w:after="0"/>
              <w:jc w:val="center"/>
            </w:pPr>
            <w:r w:rsidRPr="00DD7862">
              <w:rPr>
                <w:rFonts w:eastAsia="Calibri" w:cs="Times New Roman"/>
                <w:szCs w:val="24"/>
              </w:rPr>
              <w:t>Standardized beta</w:t>
            </w:r>
          </w:p>
        </w:tc>
        <w:tc>
          <w:tcPr>
            <w:tcW w:w="1628" w:type="dxa"/>
          </w:tcPr>
          <w:p w14:paraId="208468EF" w14:textId="43096F7F" w:rsidR="000E10D6" w:rsidRDefault="000E10D6" w:rsidP="00DD276C">
            <w:pPr>
              <w:spacing w:before="0" w:after="0"/>
              <w:jc w:val="center"/>
            </w:pPr>
            <w:r w:rsidRPr="00DD7862">
              <w:rPr>
                <w:rFonts w:eastAsia="Calibri" w:cs="Times New Roman"/>
                <w:szCs w:val="24"/>
              </w:rPr>
              <w:t>Significance</w:t>
            </w:r>
          </w:p>
        </w:tc>
      </w:tr>
      <w:tr w:rsidR="000E10D6" w14:paraId="5635AF6F" w14:textId="77777777" w:rsidTr="00E93712">
        <w:tc>
          <w:tcPr>
            <w:tcW w:w="3255" w:type="dxa"/>
          </w:tcPr>
          <w:p w14:paraId="7CEF67EC" w14:textId="131C4CE7" w:rsidR="000E10D6" w:rsidRDefault="000E10D6" w:rsidP="000E10D6">
            <w:pPr>
              <w:spacing w:before="0" w:after="0"/>
            </w:pPr>
            <w:r w:rsidRPr="00DD7862">
              <w:rPr>
                <w:rFonts w:eastAsia="Calibri" w:cs="Times New Roman"/>
                <w:szCs w:val="24"/>
              </w:rPr>
              <w:t>CERQ Self-blame</w:t>
            </w:r>
          </w:p>
        </w:tc>
        <w:tc>
          <w:tcPr>
            <w:tcW w:w="1628" w:type="dxa"/>
          </w:tcPr>
          <w:p w14:paraId="0772C592" w14:textId="53E9FE70" w:rsidR="000E10D6" w:rsidRDefault="00C8143E" w:rsidP="00DD276C">
            <w:pPr>
              <w:spacing w:before="0" w:after="0"/>
              <w:jc w:val="center"/>
            </w:pPr>
            <w:r>
              <w:t>-</w:t>
            </w:r>
            <w:r w:rsidR="000E10D6" w:rsidRPr="000E10D6">
              <w:t>.073</w:t>
            </w:r>
          </w:p>
        </w:tc>
        <w:tc>
          <w:tcPr>
            <w:tcW w:w="1628" w:type="dxa"/>
          </w:tcPr>
          <w:p w14:paraId="591216D4" w14:textId="04D6C25B" w:rsidR="000E10D6" w:rsidRDefault="000E10D6" w:rsidP="00DD276C">
            <w:pPr>
              <w:spacing w:before="0" w:after="0"/>
              <w:jc w:val="center"/>
            </w:pPr>
            <w:r w:rsidRPr="000E10D6">
              <w:t>.353</w:t>
            </w:r>
          </w:p>
        </w:tc>
        <w:tc>
          <w:tcPr>
            <w:tcW w:w="1628" w:type="dxa"/>
          </w:tcPr>
          <w:p w14:paraId="2602A3FA" w14:textId="030AFA00" w:rsidR="000E10D6" w:rsidRDefault="00C8143E" w:rsidP="00DD276C">
            <w:pPr>
              <w:spacing w:before="0" w:after="0"/>
              <w:jc w:val="center"/>
            </w:pPr>
            <w:r>
              <w:t>-</w:t>
            </w:r>
            <w:r w:rsidRPr="00C8143E">
              <w:t>.150</w:t>
            </w:r>
          </w:p>
        </w:tc>
        <w:tc>
          <w:tcPr>
            <w:tcW w:w="1628" w:type="dxa"/>
          </w:tcPr>
          <w:p w14:paraId="4E5962F2" w14:textId="4297CA55" w:rsidR="000E10D6" w:rsidRDefault="00C8143E" w:rsidP="00DD276C">
            <w:pPr>
              <w:spacing w:before="0" w:after="0"/>
              <w:jc w:val="center"/>
            </w:pPr>
            <w:r w:rsidRPr="00C8143E">
              <w:t>.048</w:t>
            </w:r>
          </w:p>
        </w:tc>
      </w:tr>
      <w:tr w:rsidR="000E10D6" w14:paraId="3DC0D4C6" w14:textId="77777777" w:rsidTr="00D82127">
        <w:tc>
          <w:tcPr>
            <w:tcW w:w="3255" w:type="dxa"/>
          </w:tcPr>
          <w:p w14:paraId="3C22668C" w14:textId="3FBF00CD" w:rsidR="000E10D6" w:rsidRDefault="000E10D6" w:rsidP="000E10D6">
            <w:pPr>
              <w:spacing w:before="0" w:after="0"/>
            </w:pPr>
            <w:r w:rsidRPr="00DD7862">
              <w:rPr>
                <w:rFonts w:eastAsia="Calibri" w:cs="Times New Roman"/>
                <w:szCs w:val="24"/>
              </w:rPr>
              <w:t>CERQ Acceptance</w:t>
            </w:r>
          </w:p>
        </w:tc>
        <w:tc>
          <w:tcPr>
            <w:tcW w:w="1628" w:type="dxa"/>
          </w:tcPr>
          <w:p w14:paraId="0EC4D3DE" w14:textId="0312137B" w:rsidR="000E10D6" w:rsidRDefault="000E10D6" w:rsidP="00DD276C">
            <w:pPr>
              <w:spacing w:before="0" w:after="0"/>
              <w:jc w:val="center"/>
            </w:pPr>
            <w:r w:rsidRPr="000E10D6">
              <w:t>.013</w:t>
            </w:r>
          </w:p>
        </w:tc>
        <w:tc>
          <w:tcPr>
            <w:tcW w:w="1628" w:type="dxa"/>
          </w:tcPr>
          <w:p w14:paraId="3000984F" w14:textId="723E013C" w:rsidR="000E10D6" w:rsidRDefault="000E10D6" w:rsidP="00DD276C">
            <w:pPr>
              <w:spacing w:before="0" w:after="0"/>
              <w:jc w:val="center"/>
            </w:pPr>
            <w:r w:rsidRPr="000E10D6">
              <w:t>.884</w:t>
            </w:r>
          </w:p>
        </w:tc>
        <w:tc>
          <w:tcPr>
            <w:tcW w:w="1628" w:type="dxa"/>
          </w:tcPr>
          <w:p w14:paraId="21DFCC11" w14:textId="5686DF18" w:rsidR="000E10D6" w:rsidRDefault="00C8143E" w:rsidP="00DD276C">
            <w:pPr>
              <w:spacing w:before="0" w:after="0"/>
              <w:jc w:val="center"/>
            </w:pPr>
            <w:r w:rsidRPr="00C8143E">
              <w:t>.007</w:t>
            </w:r>
          </w:p>
        </w:tc>
        <w:tc>
          <w:tcPr>
            <w:tcW w:w="1628" w:type="dxa"/>
          </w:tcPr>
          <w:p w14:paraId="21A478F3" w14:textId="4C3E9C97" w:rsidR="000E10D6" w:rsidRDefault="00C8143E" w:rsidP="00DD276C">
            <w:pPr>
              <w:spacing w:before="0" w:after="0"/>
              <w:jc w:val="center"/>
            </w:pPr>
            <w:r w:rsidRPr="00C8143E">
              <w:t>.935</w:t>
            </w:r>
          </w:p>
        </w:tc>
      </w:tr>
      <w:tr w:rsidR="00EA3A21" w14:paraId="2CF60423" w14:textId="77777777" w:rsidTr="00892D50">
        <w:tc>
          <w:tcPr>
            <w:tcW w:w="3255" w:type="dxa"/>
          </w:tcPr>
          <w:p w14:paraId="1BA3A1DA" w14:textId="135A0690" w:rsidR="00EA3A21" w:rsidRPr="00DD7862" w:rsidRDefault="00EA3A21" w:rsidP="00EA3A21">
            <w:pPr>
              <w:spacing w:before="0"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CERQ Rumination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F332" w14:textId="5F8769DB" w:rsidR="00EA3A21" w:rsidRPr="00EA3A21" w:rsidRDefault="00EA3A21" w:rsidP="00DD276C">
            <w:pPr>
              <w:spacing w:before="0" w:after="0"/>
              <w:jc w:val="center"/>
              <w:rPr>
                <w:vertAlign w:val="superscript"/>
              </w:rPr>
            </w:pPr>
            <w:r w:rsidRPr="00DD7862">
              <w:rPr>
                <w:rFonts w:cs="Times New Roman"/>
                <w:szCs w:val="24"/>
              </w:rPr>
              <w:t>-.240</w:t>
            </w:r>
            <w:r w:rsidR="009B7AF2" w:rsidRPr="009B7AF2">
              <w:rPr>
                <w:rFonts w:cs="Times New Roman"/>
                <w:szCs w:val="24"/>
                <w:vertAlign w:val="superscript"/>
              </w:rPr>
              <w:t>*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72BE8C" w14:textId="23AC29D6" w:rsidR="00EA3A21" w:rsidRPr="000E10D6" w:rsidRDefault="00EA3A21" w:rsidP="00DD276C">
            <w:pPr>
              <w:spacing w:before="0" w:after="0"/>
              <w:jc w:val="center"/>
            </w:pPr>
            <w:r w:rsidRPr="00DD7862">
              <w:rPr>
                <w:rFonts w:cs="Times New Roman"/>
                <w:szCs w:val="24"/>
              </w:rPr>
              <w:t>.005</w:t>
            </w:r>
          </w:p>
        </w:tc>
        <w:tc>
          <w:tcPr>
            <w:tcW w:w="1628" w:type="dxa"/>
          </w:tcPr>
          <w:p w14:paraId="7F04E496" w14:textId="489D71EF" w:rsidR="00EA3A21" w:rsidRPr="00C8143E" w:rsidRDefault="00EA3A21" w:rsidP="00DD276C">
            <w:pPr>
              <w:spacing w:before="0" w:after="0"/>
              <w:jc w:val="center"/>
            </w:pPr>
            <w:r>
              <w:t>-</w:t>
            </w:r>
            <w:r w:rsidRPr="00C8143E">
              <w:t>.178</w:t>
            </w:r>
          </w:p>
        </w:tc>
        <w:tc>
          <w:tcPr>
            <w:tcW w:w="1628" w:type="dxa"/>
          </w:tcPr>
          <w:p w14:paraId="79C245A0" w14:textId="335924E9" w:rsidR="00EA3A21" w:rsidRPr="00C8143E" w:rsidRDefault="00EA3A21" w:rsidP="00DD276C">
            <w:pPr>
              <w:spacing w:before="0" w:after="0"/>
              <w:jc w:val="center"/>
            </w:pPr>
            <w:r w:rsidRPr="00C8143E">
              <w:t>.028</w:t>
            </w:r>
          </w:p>
        </w:tc>
      </w:tr>
      <w:tr w:rsidR="00EA3A21" w14:paraId="0FAF4B68" w14:textId="77777777" w:rsidTr="008A13D2">
        <w:tc>
          <w:tcPr>
            <w:tcW w:w="3255" w:type="dxa"/>
          </w:tcPr>
          <w:p w14:paraId="4E30FD25" w14:textId="2E494286" w:rsidR="00EA3A21" w:rsidRDefault="00EA3A21" w:rsidP="00EA3A21">
            <w:pPr>
              <w:spacing w:before="0" w:after="0"/>
            </w:pPr>
            <w:r w:rsidRPr="00DD7862">
              <w:rPr>
                <w:rFonts w:eastAsia="Calibri" w:cs="Times New Roman"/>
                <w:szCs w:val="24"/>
              </w:rPr>
              <w:t>CERQ Positive Refocusing</w:t>
            </w:r>
          </w:p>
        </w:tc>
        <w:tc>
          <w:tcPr>
            <w:tcW w:w="1628" w:type="dxa"/>
          </w:tcPr>
          <w:p w14:paraId="486C4451" w14:textId="44D0193E" w:rsidR="00EA3A21" w:rsidRDefault="00EA3A21" w:rsidP="00DD276C">
            <w:pPr>
              <w:spacing w:before="0" w:after="0"/>
              <w:jc w:val="center"/>
            </w:pPr>
            <w:r>
              <w:t>-</w:t>
            </w:r>
            <w:r w:rsidRPr="000E10D6">
              <w:t>.100</w:t>
            </w:r>
          </w:p>
        </w:tc>
        <w:tc>
          <w:tcPr>
            <w:tcW w:w="1628" w:type="dxa"/>
          </w:tcPr>
          <w:p w14:paraId="7C85A306" w14:textId="6CBFB10A" w:rsidR="00EA3A21" w:rsidRDefault="00EA3A21" w:rsidP="00DD276C">
            <w:pPr>
              <w:spacing w:before="0" w:after="0"/>
              <w:jc w:val="center"/>
            </w:pPr>
            <w:r w:rsidRPr="000E10D6">
              <w:t>.152</w:t>
            </w:r>
          </w:p>
        </w:tc>
        <w:tc>
          <w:tcPr>
            <w:tcW w:w="1628" w:type="dxa"/>
          </w:tcPr>
          <w:p w14:paraId="2DCC27F3" w14:textId="454E5897" w:rsidR="00EA3A21" w:rsidRDefault="00EA3A21" w:rsidP="00DD276C">
            <w:pPr>
              <w:spacing w:before="0" w:after="0"/>
              <w:jc w:val="center"/>
            </w:pPr>
            <w:r>
              <w:t>-</w:t>
            </w:r>
            <w:r w:rsidRPr="00C8143E">
              <w:t>.132</w:t>
            </w:r>
          </w:p>
        </w:tc>
        <w:tc>
          <w:tcPr>
            <w:tcW w:w="1628" w:type="dxa"/>
          </w:tcPr>
          <w:p w14:paraId="0C25580B" w14:textId="0BAD868E" w:rsidR="00EA3A21" w:rsidRDefault="00EA3A21" w:rsidP="00DD276C">
            <w:pPr>
              <w:spacing w:before="0" w:after="0"/>
              <w:jc w:val="center"/>
            </w:pPr>
            <w:r w:rsidRPr="00C8143E">
              <w:t>.057</w:t>
            </w:r>
          </w:p>
        </w:tc>
      </w:tr>
      <w:tr w:rsidR="00EA3A21" w14:paraId="1B007C90" w14:textId="77777777" w:rsidTr="002D788C">
        <w:tc>
          <w:tcPr>
            <w:tcW w:w="3255" w:type="dxa"/>
          </w:tcPr>
          <w:p w14:paraId="57A158BC" w14:textId="4B89CC32" w:rsidR="00EA3A21" w:rsidRDefault="00EA3A21" w:rsidP="00EA3A21">
            <w:pPr>
              <w:spacing w:before="0" w:after="0"/>
            </w:pPr>
            <w:r w:rsidRPr="00DD7862">
              <w:rPr>
                <w:rFonts w:eastAsia="Calibri" w:cs="Times New Roman"/>
                <w:szCs w:val="24"/>
              </w:rPr>
              <w:t>CERQ Planning</w:t>
            </w:r>
          </w:p>
        </w:tc>
        <w:tc>
          <w:tcPr>
            <w:tcW w:w="1628" w:type="dxa"/>
          </w:tcPr>
          <w:p w14:paraId="63D5FA8A" w14:textId="0E4A9FF5" w:rsidR="00EA3A21" w:rsidRDefault="00EA3A21" w:rsidP="00DD276C">
            <w:pPr>
              <w:spacing w:before="0" w:after="0"/>
              <w:jc w:val="center"/>
            </w:pPr>
            <w:r>
              <w:t>-</w:t>
            </w:r>
            <w:r w:rsidRPr="000E10D6">
              <w:t>.045</w:t>
            </w:r>
          </w:p>
        </w:tc>
        <w:tc>
          <w:tcPr>
            <w:tcW w:w="1628" w:type="dxa"/>
          </w:tcPr>
          <w:p w14:paraId="22F95C99" w14:textId="0BC7F2F2" w:rsidR="00EA3A21" w:rsidRDefault="00EA3A21" w:rsidP="00DD276C">
            <w:pPr>
              <w:spacing w:before="0" w:after="0"/>
              <w:jc w:val="center"/>
            </w:pPr>
            <w:r w:rsidRPr="000E10D6">
              <w:t>.600</w:t>
            </w:r>
          </w:p>
        </w:tc>
        <w:tc>
          <w:tcPr>
            <w:tcW w:w="1628" w:type="dxa"/>
          </w:tcPr>
          <w:p w14:paraId="5362129A" w14:textId="2779279E" w:rsidR="00EA3A21" w:rsidRDefault="00EA3A21" w:rsidP="00DD276C">
            <w:pPr>
              <w:spacing w:before="0" w:after="0"/>
              <w:jc w:val="center"/>
            </w:pPr>
            <w:r>
              <w:t>-</w:t>
            </w:r>
            <w:r w:rsidRPr="00C8143E">
              <w:t>.150</w:t>
            </w:r>
          </w:p>
        </w:tc>
        <w:tc>
          <w:tcPr>
            <w:tcW w:w="1628" w:type="dxa"/>
          </w:tcPr>
          <w:p w14:paraId="7470808C" w14:textId="1B0FAC10" w:rsidR="00EA3A21" w:rsidRDefault="00EA3A21" w:rsidP="00DD276C">
            <w:pPr>
              <w:spacing w:before="0" w:after="0"/>
              <w:jc w:val="center"/>
            </w:pPr>
            <w:r w:rsidRPr="00C8143E">
              <w:t>.075</w:t>
            </w:r>
          </w:p>
        </w:tc>
      </w:tr>
      <w:tr w:rsidR="00EA3A21" w14:paraId="34842713" w14:textId="77777777" w:rsidTr="007107B5">
        <w:tc>
          <w:tcPr>
            <w:tcW w:w="3255" w:type="dxa"/>
          </w:tcPr>
          <w:p w14:paraId="2283221F" w14:textId="006B78E1" w:rsidR="00EA3A21" w:rsidRDefault="00EA3A21" w:rsidP="00EA3A21">
            <w:pPr>
              <w:spacing w:before="0" w:after="0"/>
            </w:pPr>
            <w:r w:rsidRPr="00DD7862">
              <w:rPr>
                <w:rFonts w:eastAsia="Calibri" w:cs="Times New Roman"/>
                <w:szCs w:val="24"/>
              </w:rPr>
              <w:t>CERQ Positive Reappraisal</w:t>
            </w:r>
          </w:p>
        </w:tc>
        <w:tc>
          <w:tcPr>
            <w:tcW w:w="1628" w:type="dxa"/>
          </w:tcPr>
          <w:p w14:paraId="1BC0D103" w14:textId="447D85B3" w:rsidR="00EA3A21" w:rsidRDefault="00EA3A21" w:rsidP="00DD276C">
            <w:pPr>
              <w:spacing w:before="0" w:after="0"/>
              <w:jc w:val="center"/>
            </w:pPr>
            <w:r>
              <w:t>-</w:t>
            </w:r>
            <w:r w:rsidRPr="000E10D6">
              <w:t>.018</w:t>
            </w:r>
          </w:p>
        </w:tc>
        <w:tc>
          <w:tcPr>
            <w:tcW w:w="1628" w:type="dxa"/>
          </w:tcPr>
          <w:p w14:paraId="4F1F1A15" w14:textId="2D6A1D2A" w:rsidR="00EA3A21" w:rsidRDefault="00EA3A21" w:rsidP="00DD276C">
            <w:pPr>
              <w:spacing w:before="0" w:after="0"/>
              <w:jc w:val="center"/>
            </w:pPr>
            <w:r w:rsidRPr="000E10D6">
              <w:t>.833</w:t>
            </w:r>
          </w:p>
        </w:tc>
        <w:tc>
          <w:tcPr>
            <w:tcW w:w="1628" w:type="dxa"/>
          </w:tcPr>
          <w:p w14:paraId="77388818" w14:textId="6B38CC60" w:rsidR="00EA3A21" w:rsidRDefault="00EA3A21" w:rsidP="00DD276C">
            <w:pPr>
              <w:spacing w:before="0" w:after="0"/>
              <w:jc w:val="center"/>
            </w:pPr>
            <w:r>
              <w:t>-</w:t>
            </w:r>
            <w:r w:rsidRPr="00C8143E">
              <w:t>.012</w:t>
            </w:r>
          </w:p>
        </w:tc>
        <w:tc>
          <w:tcPr>
            <w:tcW w:w="1628" w:type="dxa"/>
          </w:tcPr>
          <w:p w14:paraId="4EC9F335" w14:textId="52E1A610" w:rsidR="00EA3A21" w:rsidRDefault="00EA3A21" w:rsidP="00DD276C">
            <w:pPr>
              <w:spacing w:before="0" w:after="0"/>
              <w:jc w:val="center"/>
            </w:pPr>
            <w:r w:rsidRPr="00C8143E">
              <w:t>.891</w:t>
            </w:r>
          </w:p>
        </w:tc>
      </w:tr>
      <w:tr w:rsidR="00EA3A21" w14:paraId="6785F395" w14:textId="77777777" w:rsidTr="00F75AAE">
        <w:tc>
          <w:tcPr>
            <w:tcW w:w="3255" w:type="dxa"/>
          </w:tcPr>
          <w:p w14:paraId="27CE4B1B" w14:textId="3608F3A1" w:rsidR="00EA3A21" w:rsidRDefault="00EA3A21" w:rsidP="00EA3A21">
            <w:pPr>
              <w:spacing w:before="0" w:after="0"/>
            </w:pPr>
            <w:r w:rsidRPr="00DD7862">
              <w:rPr>
                <w:rFonts w:eastAsia="Calibri" w:cs="Times New Roman"/>
                <w:szCs w:val="24"/>
              </w:rPr>
              <w:t>CERQ Putting into perspective</w:t>
            </w:r>
          </w:p>
        </w:tc>
        <w:tc>
          <w:tcPr>
            <w:tcW w:w="1628" w:type="dxa"/>
          </w:tcPr>
          <w:p w14:paraId="30240ED8" w14:textId="06E9D5D4" w:rsidR="00EA3A21" w:rsidRDefault="00EA3A21" w:rsidP="00DD276C">
            <w:pPr>
              <w:spacing w:before="0" w:after="0"/>
              <w:jc w:val="center"/>
            </w:pPr>
            <w:r>
              <w:t>-</w:t>
            </w:r>
            <w:r w:rsidRPr="000E10D6">
              <w:t>.056</w:t>
            </w:r>
          </w:p>
        </w:tc>
        <w:tc>
          <w:tcPr>
            <w:tcW w:w="1628" w:type="dxa"/>
          </w:tcPr>
          <w:p w14:paraId="725A4B9C" w14:textId="6854483F" w:rsidR="00EA3A21" w:rsidRDefault="00EA3A21" w:rsidP="00DD276C">
            <w:pPr>
              <w:spacing w:before="0" w:after="0"/>
              <w:jc w:val="center"/>
            </w:pPr>
            <w:r w:rsidRPr="000E10D6">
              <w:t>.484</w:t>
            </w:r>
          </w:p>
        </w:tc>
        <w:tc>
          <w:tcPr>
            <w:tcW w:w="1628" w:type="dxa"/>
          </w:tcPr>
          <w:p w14:paraId="0D138308" w14:textId="5384DB11" w:rsidR="00EA3A21" w:rsidRDefault="00EA3A21" w:rsidP="00DD276C">
            <w:pPr>
              <w:spacing w:before="0" w:after="0"/>
              <w:jc w:val="center"/>
            </w:pPr>
            <w:r>
              <w:t>-</w:t>
            </w:r>
            <w:r w:rsidRPr="00C8143E">
              <w:t>.090</w:t>
            </w:r>
          </w:p>
        </w:tc>
        <w:tc>
          <w:tcPr>
            <w:tcW w:w="1628" w:type="dxa"/>
          </w:tcPr>
          <w:p w14:paraId="409677FD" w14:textId="38446B85" w:rsidR="00EA3A21" w:rsidRDefault="00EA3A21" w:rsidP="00DD276C">
            <w:pPr>
              <w:spacing w:before="0" w:after="0"/>
              <w:jc w:val="center"/>
            </w:pPr>
            <w:r w:rsidRPr="00C8143E">
              <w:t>.258</w:t>
            </w:r>
          </w:p>
        </w:tc>
      </w:tr>
      <w:tr w:rsidR="00EA3A21" w14:paraId="216BAD9E" w14:textId="77777777" w:rsidTr="00B026BC">
        <w:tc>
          <w:tcPr>
            <w:tcW w:w="3255" w:type="dxa"/>
          </w:tcPr>
          <w:p w14:paraId="2D61AFEB" w14:textId="1077418E" w:rsidR="00EA3A21" w:rsidRDefault="00EA3A21" w:rsidP="00EA3A21">
            <w:pPr>
              <w:spacing w:before="0" w:after="0"/>
            </w:pPr>
            <w:r w:rsidRPr="00DD7862">
              <w:rPr>
                <w:rFonts w:eastAsia="Calibri" w:cs="Times New Roman"/>
                <w:szCs w:val="24"/>
              </w:rPr>
              <w:t>CERQ Catastrophizing</w:t>
            </w:r>
          </w:p>
        </w:tc>
        <w:tc>
          <w:tcPr>
            <w:tcW w:w="1628" w:type="dxa"/>
          </w:tcPr>
          <w:p w14:paraId="17A68724" w14:textId="0D191DA8" w:rsidR="00EA3A21" w:rsidRDefault="00EA3A21" w:rsidP="00DD276C">
            <w:pPr>
              <w:spacing w:before="0" w:after="0"/>
              <w:jc w:val="center"/>
            </w:pPr>
            <w:r>
              <w:t>-</w:t>
            </w:r>
            <w:r w:rsidRPr="000E10D6">
              <w:t>.150</w:t>
            </w:r>
          </w:p>
        </w:tc>
        <w:tc>
          <w:tcPr>
            <w:tcW w:w="1628" w:type="dxa"/>
          </w:tcPr>
          <w:p w14:paraId="6A9B2F77" w14:textId="213B0593" w:rsidR="00EA3A21" w:rsidRDefault="00EA3A21" w:rsidP="00DD276C">
            <w:pPr>
              <w:spacing w:before="0" w:after="0"/>
              <w:jc w:val="center"/>
            </w:pPr>
            <w:r w:rsidRPr="000E10D6">
              <w:t>.023</w:t>
            </w:r>
          </w:p>
        </w:tc>
        <w:tc>
          <w:tcPr>
            <w:tcW w:w="1628" w:type="dxa"/>
          </w:tcPr>
          <w:p w14:paraId="5E78DBB2" w14:textId="4A4F0384" w:rsidR="00EA3A21" w:rsidRDefault="00EA3A21" w:rsidP="00DD276C">
            <w:pPr>
              <w:spacing w:before="0" w:after="0"/>
              <w:jc w:val="center"/>
            </w:pPr>
            <w:r>
              <w:t>-</w:t>
            </w:r>
            <w:r w:rsidRPr="00C8143E">
              <w:t>.214</w:t>
            </w:r>
          </w:p>
        </w:tc>
        <w:tc>
          <w:tcPr>
            <w:tcW w:w="1628" w:type="dxa"/>
          </w:tcPr>
          <w:p w14:paraId="5D9111FB" w14:textId="5A4590FC" w:rsidR="00EA3A21" w:rsidRDefault="00EA3A21" w:rsidP="00DD276C">
            <w:pPr>
              <w:spacing w:before="0" w:after="0"/>
              <w:jc w:val="center"/>
            </w:pPr>
            <w:r w:rsidRPr="00C8143E">
              <w:t>.001</w:t>
            </w:r>
          </w:p>
        </w:tc>
      </w:tr>
      <w:tr w:rsidR="00EA3A21" w14:paraId="3E3784FC" w14:textId="77777777" w:rsidTr="00B026BC">
        <w:tc>
          <w:tcPr>
            <w:tcW w:w="3255" w:type="dxa"/>
          </w:tcPr>
          <w:p w14:paraId="02FE9E46" w14:textId="4A1AB043" w:rsidR="00EA3A21" w:rsidRDefault="00EA3A21" w:rsidP="00EA3A21">
            <w:pPr>
              <w:spacing w:before="0" w:after="0"/>
            </w:pPr>
            <w:r w:rsidRPr="00DD7862">
              <w:rPr>
                <w:rFonts w:eastAsia="Calibri" w:cs="Times New Roman"/>
                <w:szCs w:val="24"/>
              </w:rPr>
              <w:t>CERQ Other blame</w:t>
            </w:r>
          </w:p>
        </w:tc>
        <w:tc>
          <w:tcPr>
            <w:tcW w:w="1628" w:type="dxa"/>
          </w:tcPr>
          <w:p w14:paraId="7D0A8CDD" w14:textId="10BE89D0" w:rsidR="00EA3A21" w:rsidRDefault="00EA3A21" w:rsidP="00DD276C">
            <w:pPr>
              <w:spacing w:before="0" w:after="0"/>
              <w:jc w:val="center"/>
            </w:pPr>
            <w:r>
              <w:t>-</w:t>
            </w:r>
            <w:r w:rsidRPr="000E10D6">
              <w:t>.121</w:t>
            </w:r>
          </w:p>
        </w:tc>
        <w:tc>
          <w:tcPr>
            <w:tcW w:w="1628" w:type="dxa"/>
          </w:tcPr>
          <w:p w14:paraId="18CAE54A" w14:textId="05C8CD63" w:rsidR="00EA3A21" w:rsidRDefault="00EA3A21" w:rsidP="00DD276C">
            <w:pPr>
              <w:spacing w:before="0" w:after="0"/>
              <w:jc w:val="center"/>
            </w:pPr>
            <w:r w:rsidRPr="000E10D6">
              <w:t>.056</w:t>
            </w:r>
          </w:p>
        </w:tc>
        <w:tc>
          <w:tcPr>
            <w:tcW w:w="1628" w:type="dxa"/>
          </w:tcPr>
          <w:p w14:paraId="3ACAFAC3" w14:textId="39A78459" w:rsidR="00EA3A21" w:rsidRDefault="00EA3A21" w:rsidP="00DD276C">
            <w:pPr>
              <w:spacing w:before="0" w:after="0"/>
              <w:jc w:val="center"/>
            </w:pPr>
            <w:r>
              <w:t>-</w:t>
            </w:r>
            <w:r w:rsidRPr="00C8143E">
              <w:t>.243</w:t>
            </w:r>
          </w:p>
        </w:tc>
        <w:tc>
          <w:tcPr>
            <w:tcW w:w="1628" w:type="dxa"/>
          </w:tcPr>
          <w:p w14:paraId="1802CB22" w14:textId="2E9D7F67" w:rsidR="00EA3A21" w:rsidRDefault="00EA3A21" w:rsidP="00DD276C">
            <w:pPr>
              <w:spacing w:before="0" w:after="0"/>
              <w:jc w:val="center"/>
            </w:pPr>
            <w:r>
              <w:t>&lt;</w:t>
            </w:r>
            <w:r w:rsidRPr="00C8143E">
              <w:t>.001</w:t>
            </w:r>
          </w:p>
        </w:tc>
      </w:tr>
    </w:tbl>
    <w:p w14:paraId="54886DD5" w14:textId="3531A67B" w:rsidR="002E4ED9" w:rsidRDefault="00EA3A21" w:rsidP="00881260">
      <w:pPr>
        <w:rPr>
          <w:sz w:val="22"/>
        </w:rPr>
      </w:pPr>
      <w:r w:rsidRPr="00EA3A21">
        <w:rPr>
          <w:sz w:val="22"/>
        </w:rPr>
        <w:t xml:space="preserve">Note: </w:t>
      </w:r>
      <w:r w:rsidR="00DD276C">
        <w:rPr>
          <w:sz w:val="22"/>
        </w:rPr>
        <w:t xml:space="preserve">dependent variable was </w:t>
      </w:r>
      <w:r w:rsidR="003B5FC1">
        <w:rPr>
          <w:sz w:val="22"/>
        </w:rPr>
        <w:t>online</w:t>
      </w:r>
      <w:r w:rsidR="00DD276C">
        <w:rPr>
          <w:sz w:val="22"/>
        </w:rPr>
        <w:t xml:space="preserve"> problem</w:t>
      </w:r>
      <w:r w:rsidR="003B5FC1">
        <w:rPr>
          <w:sz w:val="22"/>
        </w:rPr>
        <w:t xml:space="preserve"> gaming score. </w:t>
      </w:r>
      <w:r w:rsidRPr="00EA3A21">
        <w:rPr>
          <w:sz w:val="22"/>
        </w:rPr>
        <w:t xml:space="preserve">CERQ: Cognitive Emotion Regulation Questionnaire; Gender: 0-boys, 1-girls; Game genre preference: 0 indicated preference for either shooter, role-player or MOBA games, and </w:t>
      </w:r>
      <w:r w:rsidR="00DD276C">
        <w:rPr>
          <w:sz w:val="22"/>
        </w:rPr>
        <w:t>1</w:t>
      </w:r>
      <w:r w:rsidRPr="00EA3A21">
        <w:rPr>
          <w:sz w:val="22"/>
        </w:rPr>
        <w:t xml:space="preserve"> indicated preference for any other games</w:t>
      </w:r>
      <w:r w:rsidR="009B7AF2">
        <w:rPr>
          <w:sz w:val="22"/>
        </w:rPr>
        <w:t>;</w:t>
      </w:r>
      <w:r w:rsidR="009B7AF2" w:rsidRPr="009B7AF2">
        <w:t xml:space="preserve"> </w:t>
      </w:r>
      <w:r w:rsidR="009B7AF2" w:rsidRPr="009B7AF2">
        <w:rPr>
          <w:sz w:val="22"/>
        </w:rPr>
        <w:t>*this interaction was included in our main analysis based on theoretical consideration and empirical findings presented in the main text of the manuscript</w:t>
      </w:r>
    </w:p>
    <w:p w14:paraId="4CCC9420" w14:textId="5F5B687D" w:rsidR="00881260" w:rsidRDefault="00881260" w:rsidP="00881260">
      <w:pPr>
        <w:rPr>
          <w:sz w:val="22"/>
        </w:rPr>
      </w:pPr>
    </w:p>
    <w:p w14:paraId="50C46D95" w14:textId="0B03A9F4" w:rsidR="00881260" w:rsidRDefault="00881260" w:rsidP="00881260">
      <w:pPr>
        <w:rPr>
          <w:sz w:val="22"/>
        </w:rPr>
      </w:pPr>
    </w:p>
    <w:p w14:paraId="269BB003" w14:textId="22090047" w:rsidR="00881260" w:rsidRDefault="00881260" w:rsidP="00881260">
      <w:pPr>
        <w:rPr>
          <w:sz w:val="22"/>
        </w:rPr>
      </w:pPr>
    </w:p>
    <w:p w14:paraId="4E5C67FA" w14:textId="12340763" w:rsidR="00881260" w:rsidRDefault="00881260" w:rsidP="00881260">
      <w:pPr>
        <w:rPr>
          <w:sz w:val="22"/>
        </w:rPr>
      </w:pPr>
    </w:p>
    <w:p w14:paraId="710C1D81" w14:textId="77777777" w:rsidR="00881260" w:rsidRPr="00881260" w:rsidRDefault="00881260" w:rsidP="00881260">
      <w:pPr>
        <w:rPr>
          <w:sz w:val="22"/>
        </w:rPr>
      </w:pPr>
    </w:p>
    <w:p w14:paraId="7E487131" w14:textId="42108904" w:rsidR="00A22E58" w:rsidRDefault="00C300CF" w:rsidP="002E4ED9">
      <w:pPr>
        <w:jc w:val="both"/>
        <w:rPr>
          <w:szCs w:val="24"/>
        </w:rPr>
      </w:pPr>
      <w:r w:rsidRPr="00C300CF">
        <w:rPr>
          <w:szCs w:val="24"/>
        </w:rPr>
        <w:lastRenderedPageBreak/>
        <w:t xml:space="preserve">In the next step </w:t>
      </w:r>
      <w:r>
        <w:rPr>
          <w:szCs w:val="24"/>
        </w:rPr>
        <w:t>we added the significant</w:t>
      </w:r>
      <w:r w:rsidRPr="00C300CF">
        <w:rPr>
          <w:szCs w:val="24"/>
        </w:rPr>
        <w:t xml:space="preserve"> interaction terms to our </w:t>
      </w:r>
      <w:r>
        <w:rPr>
          <w:szCs w:val="24"/>
        </w:rPr>
        <w:t xml:space="preserve">original </w:t>
      </w:r>
      <w:r w:rsidRPr="00C300CF">
        <w:rPr>
          <w:szCs w:val="24"/>
        </w:rPr>
        <w:t>model</w:t>
      </w:r>
      <w:r>
        <w:rPr>
          <w:szCs w:val="24"/>
        </w:rPr>
        <w:t xml:space="preserve"> (M</w:t>
      </w:r>
      <w:r w:rsidR="00A22E58">
        <w:rPr>
          <w:szCs w:val="24"/>
        </w:rPr>
        <w:t>1</w:t>
      </w:r>
      <w:r>
        <w:rPr>
          <w:szCs w:val="24"/>
        </w:rPr>
        <w:t>) including</w:t>
      </w:r>
      <w:r w:rsidRPr="00C300CF">
        <w:t xml:space="preserve"> </w:t>
      </w:r>
      <w:r w:rsidRPr="00C300CF">
        <w:rPr>
          <w:szCs w:val="24"/>
        </w:rPr>
        <w:t>age, gender, preferred game genre and the main effects of all ER strategies</w:t>
      </w:r>
      <w:r>
        <w:rPr>
          <w:szCs w:val="24"/>
        </w:rPr>
        <w:t>, and the interaction term of gender X rumination. We tested how the new independent variable would modify adjusted R-squared and AIC (</w:t>
      </w:r>
      <w:proofErr w:type="spellStart"/>
      <w:r>
        <w:rPr>
          <w:szCs w:val="24"/>
        </w:rPr>
        <w:t>Akaike’s</w:t>
      </w:r>
      <w:proofErr w:type="spellEnd"/>
      <w:r>
        <w:rPr>
          <w:szCs w:val="24"/>
        </w:rPr>
        <w:t xml:space="preserve"> Information Criteria) values</w:t>
      </w:r>
      <w:r w:rsidR="00A22E58">
        <w:rPr>
          <w:szCs w:val="24"/>
        </w:rPr>
        <w:t xml:space="preserve"> (M2-M6)</w:t>
      </w:r>
      <w:r>
        <w:rPr>
          <w:szCs w:val="24"/>
        </w:rPr>
        <w:t xml:space="preserve">. Both indices can guide the model choice when additional variables are included in the model. In Supplementary Table 2 these indices are shown. </w:t>
      </w:r>
    </w:p>
    <w:p w14:paraId="0F654961" w14:textId="77777777" w:rsidR="002E4ED9" w:rsidRDefault="002E4ED9" w:rsidP="002E4ED9">
      <w:pPr>
        <w:jc w:val="both"/>
        <w:rPr>
          <w:szCs w:val="24"/>
        </w:rPr>
      </w:pPr>
    </w:p>
    <w:p w14:paraId="3C2B618F" w14:textId="40D37CED" w:rsidR="00A22E58" w:rsidRDefault="00D04B4A" w:rsidP="000E10D6">
      <w:pPr>
        <w:rPr>
          <w:szCs w:val="24"/>
        </w:rPr>
      </w:pPr>
      <w:r w:rsidRPr="00D04B4A">
        <w:rPr>
          <w:szCs w:val="24"/>
        </w:rPr>
        <w:t>Table S</w:t>
      </w:r>
      <w:r>
        <w:rPr>
          <w:szCs w:val="24"/>
        </w:rPr>
        <w:t>2</w:t>
      </w:r>
      <w:r w:rsidRPr="00D04B4A">
        <w:rPr>
          <w:szCs w:val="24"/>
        </w:rPr>
        <w:t xml:space="preserve">. </w:t>
      </w:r>
      <w:r>
        <w:rPr>
          <w:szCs w:val="24"/>
        </w:rPr>
        <w:t>Regression model metrics</w:t>
      </w:r>
      <w:r w:rsidRPr="00D04B4A">
        <w:rPr>
          <w:szCs w:val="24"/>
        </w:rPr>
        <w:t>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40"/>
        <w:gridCol w:w="1559"/>
        <w:gridCol w:w="1312"/>
      </w:tblGrid>
      <w:tr w:rsidR="00A22E58" w14:paraId="4C04ABE8" w14:textId="77777777" w:rsidTr="00A22E58">
        <w:trPr>
          <w:jc w:val="center"/>
        </w:trPr>
        <w:tc>
          <w:tcPr>
            <w:tcW w:w="3640" w:type="dxa"/>
          </w:tcPr>
          <w:p w14:paraId="3E517125" w14:textId="77777777" w:rsidR="00A22E58" w:rsidRPr="00DD7862" w:rsidRDefault="00A22E58" w:rsidP="005E1860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14:paraId="4AF06618" w14:textId="62F7F51E" w:rsidR="00A22E58" w:rsidRDefault="00A22E58" w:rsidP="005E1860">
            <w:pPr>
              <w:spacing w:before="0" w:after="0"/>
              <w:jc w:val="center"/>
            </w:pPr>
            <w:r>
              <w:t>adjusted R-squared</w:t>
            </w:r>
          </w:p>
        </w:tc>
        <w:tc>
          <w:tcPr>
            <w:tcW w:w="1312" w:type="dxa"/>
          </w:tcPr>
          <w:p w14:paraId="03897972" w14:textId="5D835B4F" w:rsidR="00A22E58" w:rsidRPr="00C8143E" w:rsidRDefault="00A22E58" w:rsidP="005E1860">
            <w:pPr>
              <w:spacing w:before="0" w:after="0"/>
              <w:jc w:val="center"/>
            </w:pPr>
            <w:r>
              <w:t>AIC</w:t>
            </w:r>
          </w:p>
        </w:tc>
      </w:tr>
      <w:tr w:rsidR="00A22E58" w14:paraId="6E2EC36F" w14:textId="77777777" w:rsidTr="00A22E58">
        <w:trPr>
          <w:jc w:val="center"/>
        </w:trPr>
        <w:tc>
          <w:tcPr>
            <w:tcW w:w="3640" w:type="dxa"/>
          </w:tcPr>
          <w:p w14:paraId="6CA9ABB8" w14:textId="130C5C4F" w:rsidR="00A22E58" w:rsidRDefault="00A22E58" w:rsidP="005E1860">
            <w:pPr>
              <w:spacing w:before="0" w:after="0"/>
            </w:pPr>
            <w:r>
              <w:t>M0</w:t>
            </w:r>
          </w:p>
        </w:tc>
        <w:tc>
          <w:tcPr>
            <w:tcW w:w="1559" w:type="dxa"/>
          </w:tcPr>
          <w:p w14:paraId="442DAE86" w14:textId="5AA64E0C" w:rsidR="00A22E58" w:rsidRDefault="00A22E58" w:rsidP="005E1860">
            <w:pPr>
              <w:spacing w:before="0" w:after="0"/>
              <w:jc w:val="center"/>
            </w:pPr>
            <w:r>
              <w:t>.198</w:t>
            </w:r>
          </w:p>
        </w:tc>
        <w:tc>
          <w:tcPr>
            <w:tcW w:w="1312" w:type="dxa"/>
          </w:tcPr>
          <w:p w14:paraId="278D2E1D" w14:textId="4FCF3162" w:rsidR="00A22E58" w:rsidRDefault="00A22E58" w:rsidP="005E1860">
            <w:pPr>
              <w:spacing w:before="0" w:after="0"/>
              <w:jc w:val="center"/>
            </w:pPr>
            <w:r>
              <w:t>5247.259</w:t>
            </w:r>
          </w:p>
        </w:tc>
      </w:tr>
      <w:tr w:rsidR="00A22E58" w14:paraId="32ADAFFC" w14:textId="77777777" w:rsidTr="00A22E58">
        <w:trPr>
          <w:jc w:val="center"/>
        </w:trPr>
        <w:tc>
          <w:tcPr>
            <w:tcW w:w="3640" w:type="dxa"/>
          </w:tcPr>
          <w:p w14:paraId="56244098" w14:textId="35E7ACD0" w:rsidR="00A22E58" w:rsidRDefault="00A22E58" w:rsidP="005E1860">
            <w:pPr>
              <w:spacing w:before="0" w:after="0"/>
            </w:pPr>
            <w:r>
              <w:t>M1</w:t>
            </w:r>
          </w:p>
        </w:tc>
        <w:tc>
          <w:tcPr>
            <w:tcW w:w="1559" w:type="dxa"/>
          </w:tcPr>
          <w:p w14:paraId="149E8329" w14:textId="252C77FF" w:rsidR="00A22E58" w:rsidRDefault="00A22E58" w:rsidP="005E1860">
            <w:pPr>
              <w:spacing w:before="0" w:after="0"/>
              <w:jc w:val="center"/>
            </w:pPr>
            <w:r>
              <w:t>.202</w:t>
            </w:r>
          </w:p>
        </w:tc>
        <w:tc>
          <w:tcPr>
            <w:tcW w:w="1312" w:type="dxa"/>
          </w:tcPr>
          <w:p w14:paraId="201A7957" w14:textId="36042BEF" w:rsidR="00A22E58" w:rsidRDefault="00A22E58" w:rsidP="005E1860">
            <w:pPr>
              <w:spacing w:before="0" w:after="0"/>
              <w:jc w:val="center"/>
            </w:pPr>
            <w:r>
              <w:t>5241.314</w:t>
            </w:r>
          </w:p>
        </w:tc>
      </w:tr>
      <w:tr w:rsidR="00A22E58" w14:paraId="0A2157EC" w14:textId="77777777" w:rsidTr="00A22E58">
        <w:trPr>
          <w:jc w:val="center"/>
        </w:trPr>
        <w:tc>
          <w:tcPr>
            <w:tcW w:w="3640" w:type="dxa"/>
          </w:tcPr>
          <w:p w14:paraId="4C4524EC" w14:textId="79114356" w:rsidR="00A22E58" w:rsidRDefault="00A22E58" w:rsidP="005E1860">
            <w:pPr>
              <w:spacing w:before="0" w:after="0"/>
            </w:pPr>
            <w:r>
              <w:t>M2 (gender x catastrophizing)</w:t>
            </w:r>
          </w:p>
        </w:tc>
        <w:tc>
          <w:tcPr>
            <w:tcW w:w="1559" w:type="dxa"/>
          </w:tcPr>
          <w:p w14:paraId="6E519682" w14:textId="1552F821" w:rsidR="00A22E58" w:rsidRDefault="00A22E58" w:rsidP="005E1860">
            <w:pPr>
              <w:spacing w:before="0" w:after="0"/>
              <w:jc w:val="center"/>
            </w:pPr>
            <w:r>
              <w:t>.202</w:t>
            </w:r>
          </w:p>
        </w:tc>
        <w:tc>
          <w:tcPr>
            <w:tcW w:w="1312" w:type="dxa"/>
          </w:tcPr>
          <w:p w14:paraId="4B07ED24" w14:textId="2B05C961" w:rsidR="00A22E58" w:rsidRDefault="00A22E58" w:rsidP="005E1860">
            <w:pPr>
              <w:spacing w:before="0" w:after="0"/>
              <w:jc w:val="center"/>
            </w:pPr>
            <w:r>
              <w:t>5242.124</w:t>
            </w:r>
          </w:p>
        </w:tc>
      </w:tr>
      <w:tr w:rsidR="00A22E58" w:rsidRPr="00C8143E" w14:paraId="319A8E32" w14:textId="77777777" w:rsidTr="00A22E58">
        <w:trPr>
          <w:jc w:val="center"/>
        </w:trPr>
        <w:tc>
          <w:tcPr>
            <w:tcW w:w="3640" w:type="dxa"/>
          </w:tcPr>
          <w:p w14:paraId="3C36A40B" w14:textId="180B5B58" w:rsidR="00A22E58" w:rsidRPr="00DD7862" w:rsidRDefault="00A22E58" w:rsidP="005E1860">
            <w:pPr>
              <w:spacing w:before="0"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M3 (game genre x rumination)</w:t>
            </w:r>
          </w:p>
        </w:tc>
        <w:tc>
          <w:tcPr>
            <w:tcW w:w="1559" w:type="dxa"/>
          </w:tcPr>
          <w:p w14:paraId="4ACCA28E" w14:textId="06BBEEED" w:rsidR="00A22E58" w:rsidRPr="00C8143E" w:rsidRDefault="00A22E58" w:rsidP="005E1860">
            <w:pPr>
              <w:spacing w:before="0" w:after="0"/>
              <w:jc w:val="center"/>
            </w:pPr>
            <w:r>
              <w:t>.202</w:t>
            </w:r>
          </w:p>
        </w:tc>
        <w:tc>
          <w:tcPr>
            <w:tcW w:w="1312" w:type="dxa"/>
          </w:tcPr>
          <w:p w14:paraId="2784ED91" w14:textId="72C9B729" w:rsidR="00A22E58" w:rsidRPr="00C8143E" w:rsidRDefault="00A22E58" w:rsidP="005E1860">
            <w:pPr>
              <w:spacing w:before="0" w:after="0"/>
              <w:jc w:val="center"/>
            </w:pPr>
            <w:r>
              <w:t>5242.081</w:t>
            </w:r>
          </w:p>
        </w:tc>
      </w:tr>
      <w:tr w:rsidR="00A22E58" w14:paraId="6B2B2D39" w14:textId="77777777" w:rsidTr="00A22E58">
        <w:trPr>
          <w:jc w:val="center"/>
        </w:trPr>
        <w:tc>
          <w:tcPr>
            <w:tcW w:w="3640" w:type="dxa"/>
          </w:tcPr>
          <w:p w14:paraId="114DE8B0" w14:textId="28B51D19" w:rsidR="00A22E58" w:rsidRDefault="00A22E58" w:rsidP="005E1860">
            <w:pPr>
              <w:spacing w:before="0" w:after="0"/>
            </w:pPr>
            <w:r>
              <w:t>M4 (game genre x catastrophizing)</w:t>
            </w:r>
          </w:p>
        </w:tc>
        <w:tc>
          <w:tcPr>
            <w:tcW w:w="1559" w:type="dxa"/>
          </w:tcPr>
          <w:p w14:paraId="5B4C6B5F" w14:textId="47EE37FB" w:rsidR="00A22E58" w:rsidRDefault="00A22E58" w:rsidP="005E1860">
            <w:pPr>
              <w:spacing w:before="0" w:after="0"/>
              <w:jc w:val="center"/>
            </w:pPr>
            <w:r>
              <w:t>.206</w:t>
            </w:r>
          </w:p>
        </w:tc>
        <w:tc>
          <w:tcPr>
            <w:tcW w:w="1312" w:type="dxa"/>
          </w:tcPr>
          <w:p w14:paraId="1DC00922" w14:textId="18E67C4A" w:rsidR="00A22E58" w:rsidRDefault="00A22E58" w:rsidP="005E1860">
            <w:pPr>
              <w:spacing w:before="0" w:after="0"/>
              <w:jc w:val="center"/>
            </w:pPr>
            <w:r>
              <w:t>5235.339</w:t>
            </w:r>
          </w:p>
        </w:tc>
      </w:tr>
      <w:tr w:rsidR="00A22E58" w14:paraId="107D8F10" w14:textId="77777777" w:rsidTr="00A22E58">
        <w:trPr>
          <w:jc w:val="center"/>
        </w:trPr>
        <w:tc>
          <w:tcPr>
            <w:tcW w:w="3640" w:type="dxa"/>
          </w:tcPr>
          <w:p w14:paraId="7272D5AC" w14:textId="628B117F" w:rsidR="00A22E58" w:rsidRDefault="00A22E58" w:rsidP="005E1860">
            <w:pPr>
              <w:spacing w:before="0" w:after="0"/>
            </w:pPr>
            <w:r>
              <w:t>M5 (game genre x other blame)</w:t>
            </w:r>
          </w:p>
        </w:tc>
        <w:tc>
          <w:tcPr>
            <w:tcW w:w="1559" w:type="dxa"/>
          </w:tcPr>
          <w:p w14:paraId="152A7A64" w14:textId="6B3DBABD" w:rsidR="00A22E58" w:rsidRDefault="00A22E58" w:rsidP="005E1860">
            <w:pPr>
              <w:spacing w:before="0" w:after="0"/>
              <w:jc w:val="center"/>
            </w:pPr>
            <w:r>
              <w:t>.209</w:t>
            </w:r>
          </w:p>
        </w:tc>
        <w:tc>
          <w:tcPr>
            <w:tcW w:w="1312" w:type="dxa"/>
          </w:tcPr>
          <w:p w14:paraId="19A600E8" w14:textId="3A31DFFE" w:rsidR="00A22E58" w:rsidRDefault="00A22E58" w:rsidP="005E1860">
            <w:pPr>
              <w:spacing w:before="0" w:after="0"/>
              <w:jc w:val="center"/>
            </w:pPr>
            <w:r>
              <w:t>5230.381</w:t>
            </w:r>
          </w:p>
        </w:tc>
      </w:tr>
      <w:tr w:rsidR="00A22E58" w14:paraId="0F6689F9" w14:textId="77777777" w:rsidTr="00A22E58">
        <w:trPr>
          <w:jc w:val="center"/>
        </w:trPr>
        <w:tc>
          <w:tcPr>
            <w:tcW w:w="3640" w:type="dxa"/>
          </w:tcPr>
          <w:p w14:paraId="3BE616EE" w14:textId="266AEC84" w:rsidR="00A22E58" w:rsidRDefault="00A22E58" w:rsidP="005E1860">
            <w:pPr>
              <w:spacing w:before="0" w:after="0"/>
            </w:pPr>
            <w:r>
              <w:t>M6 (game genre x self-blame)</w:t>
            </w:r>
          </w:p>
        </w:tc>
        <w:tc>
          <w:tcPr>
            <w:tcW w:w="1559" w:type="dxa"/>
          </w:tcPr>
          <w:p w14:paraId="2897C5D7" w14:textId="7846D284" w:rsidR="00A22E58" w:rsidRDefault="00A22E58" w:rsidP="005E1860">
            <w:pPr>
              <w:spacing w:before="0" w:after="0"/>
              <w:jc w:val="center"/>
            </w:pPr>
            <w:r>
              <w:t>.203</w:t>
            </w:r>
          </w:p>
        </w:tc>
        <w:tc>
          <w:tcPr>
            <w:tcW w:w="1312" w:type="dxa"/>
          </w:tcPr>
          <w:p w14:paraId="618D93A8" w14:textId="5007039E" w:rsidR="00A22E58" w:rsidRDefault="00A22E58" w:rsidP="005E1860">
            <w:pPr>
              <w:spacing w:before="0" w:after="0"/>
              <w:jc w:val="center"/>
            </w:pPr>
            <w:r>
              <w:t>5241.237</w:t>
            </w:r>
          </w:p>
        </w:tc>
      </w:tr>
    </w:tbl>
    <w:p w14:paraId="2AC0E27C" w14:textId="2C2B4F81" w:rsidR="00C300CF" w:rsidRPr="00D04B4A" w:rsidRDefault="00D04B4A" w:rsidP="000E10D6">
      <w:pPr>
        <w:rPr>
          <w:sz w:val="22"/>
        </w:rPr>
      </w:pPr>
      <w:r w:rsidRPr="00D04B4A">
        <w:rPr>
          <w:sz w:val="22"/>
        </w:rPr>
        <w:t>Note:</w:t>
      </w:r>
      <w:r>
        <w:rPr>
          <w:sz w:val="22"/>
        </w:rPr>
        <w:t xml:space="preserve"> M0: regression model including </w:t>
      </w:r>
      <w:r w:rsidRPr="00D04B4A">
        <w:rPr>
          <w:sz w:val="22"/>
        </w:rPr>
        <w:t>age, gender, preferred game genre and the main effects of all ER strategies</w:t>
      </w:r>
      <w:r>
        <w:rPr>
          <w:sz w:val="22"/>
        </w:rPr>
        <w:t>; M</w:t>
      </w:r>
      <w:r w:rsidR="00332B5A">
        <w:rPr>
          <w:sz w:val="22"/>
        </w:rPr>
        <w:t>1: all variables included in M0</w:t>
      </w:r>
      <w:r>
        <w:rPr>
          <w:sz w:val="22"/>
        </w:rPr>
        <w:t xml:space="preserve"> plus gender x rumination interaction term; IAC: </w:t>
      </w:r>
      <w:proofErr w:type="spellStart"/>
      <w:r>
        <w:rPr>
          <w:sz w:val="22"/>
        </w:rPr>
        <w:t>Akaike’s</w:t>
      </w:r>
      <w:proofErr w:type="spellEnd"/>
      <w:r>
        <w:rPr>
          <w:sz w:val="22"/>
        </w:rPr>
        <w:t xml:space="preserve"> Information Criteria. </w:t>
      </w:r>
    </w:p>
    <w:p w14:paraId="18083FBF" w14:textId="77777777" w:rsidR="00D04B4A" w:rsidRDefault="00D04B4A" w:rsidP="000E10D6">
      <w:pPr>
        <w:rPr>
          <w:szCs w:val="24"/>
        </w:rPr>
      </w:pPr>
    </w:p>
    <w:p w14:paraId="18F9305B" w14:textId="4C8C57AA" w:rsidR="00C300CF" w:rsidRPr="00C300CF" w:rsidRDefault="00A22E58" w:rsidP="002E4ED9">
      <w:pPr>
        <w:jc w:val="both"/>
        <w:rPr>
          <w:szCs w:val="24"/>
        </w:rPr>
      </w:pPr>
      <w:r>
        <w:rPr>
          <w:szCs w:val="24"/>
        </w:rPr>
        <w:t xml:space="preserve">Based on these additional analyses two interaction terms (game genre x catastrophizing and game genre x other blame) proved to be significant (standardized beta: </w:t>
      </w:r>
      <w:r w:rsidR="00D04B4A">
        <w:rPr>
          <w:szCs w:val="24"/>
        </w:rPr>
        <w:t xml:space="preserve">-0.186 </w:t>
      </w:r>
      <w:r w:rsidR="002E4ED9">
        <w:rPr>
          <w:szCs w:val="24"/>
        </w:rPr>
        <w:t xml:space="preserve">p=0.005 </w:t>
      </w:r>
      <w:r w:rsidR="00D04B4A">
        <w:rPr>
          <w:szCs w:val="24"/>
        </w:rPr>
        <w:t>and -0.233</w:t>
      </w:r>
      <w:r w:rsidR="002E4ED9">
        <w:rPr>
          <w:szCs w:val="24"/>
        </w:rPr>
        <w:t xml:space="preserve"> p=0.000</w:t>
      </w:r>
      <w:r w:rsidR="00D04B4A">
        <w:rPr>
          <w:szCs w:val="24"/>
        </w:rPr>
        <w:t>, respectively)</w:t>
      </w:r>
      <w:r w:rsidR="000E6D4A">
        <w:rPr>
          <w:szCs w:val="24"/>
        </w:rPr>
        <w:t xml:space="preserve"> and the AIC values for these models also decreased</w:t>
      </w:r>
      <w:r w:rsidR="00E97777">
        <w:rPr>
          <w:szCs w:val="24"/>
        </w:rPr>
        <w:t>, however adjusted R-squared values just slightly increased</w:t>
      </w:r>
      <w:r w:rsidR="00D04B4A">
        <w:rPr>
          <w:szCs w:val="24"/>
        </w:rPr>
        <w:t>. Thus</w:t>
      </w:r>
      <w:r w:rsidR="00E97777">
        <w:rPr>
          <w:szCs w:val="24"/>
        </w:rPr>
        <w:t>, we added these interaction terms</w:t>
      </w:r>
      <w:r w:rsidR="00D04B4A">
        <w:rPr>
          <w:szCs w:val="24"/>
        </w:rPr>
        <w:t xml:space="preserve"> to </w:t>
      </w:r>
      <w:r w:rsidR="00E97777">
        <w:rPr>
          <w:szCs w:val="24"/>
        </w:rPr>
        <w:t xml:space="preserve">our </w:t>
      </w:r>
      <w:r w:rsidR="00D04B4A">
        <w:rPr>
          <w:szCs w:val="24"/>
        </w:rPr>
        <w:t xml:space="preserve">M1 model. </w:t>
      </w:r>
      <w:r w:rsidR="002E4ED9">
        <w:rPr>
          <w:szCs w:val="24"/>
        </w:rPr>
        <w:t>In this case</w:t>
      </w:r>
      <w:r w:rsidR="00E97222">
        <w:rPr>
          <w:szCs w:val="24"/>
        </w:rPr>
        <w:t>,</w:t>
      </w:r>
      <w:r w:rsidR="002E4ED9">
        <w:rPr>
          <w:szCs w:val="24"/>
        </w:rPr>
        <w:t xml:space="preserve"> </w:t>
      </w:r>
      <w:r w:rsidR="00E97222">
        <w:rPr>
          <w:szCs w:val="24"/>
        </w:rPr>
        <w:t xml:space="preserve">the </w:t>
      </w:r>
      <w:r w:rsidR="002E4ED9">
        <w:rPr>
          <w:szCs w:val="24"/>
        </w:rPr>
        <w:t xml:space="preserve">game genre x self-blame </w:t>
      </w:r>
      <w:r w:rsidR="00E97222">
        <w:rPr>
          <w:szCs w:val="24"/>
        </w:rPr>
        <w:t xml:space="preserve">interaction </w:t>
      </w:r>
      <w:r w:rsidR="002E4ED9">
        <w:rPr>
          <w:szCs w:val="24"/>
        </w:rPr>
        <w:t>proved to be significant (</w:t>
      </w:r>
      <w:r w:rsidR="002E4ED9" w:rsidRPr="002E4ED9">
        <w:rPr>
          <w:szCs w:val="24"/>
        </w:rPr>
        <w:t>standardized beta: -0.186</w:t>
      </w:r>
      <w:r w:rsidR="002E4ED9">
        <w:rPr>
          <w:szCs w:val="24"/>
        </w:rPr>
        <w:t xml:space="preserve"> p=0.008), but </w:t>
      </w:r>
      <w:r w:rsidR="00E97222">
        <w:rPr>
          <w:szCs w:val="24"/>
        </w:rPr>
        <w:t xml:space="preserve">the </w:t>
      </w:r>
      <w:r w:rsidR="002E4ED9">
        <w:rPr>
          <w:szCs w:val="24"/>
        </w:rPr>
        <w:t>game genre x catastrophizing was a non-significant predictor (standardized beta: -0.106 p=0.142).</w:t>
      </w:r>
      <w:r w:rsidR="00E97222">
        <w:rPr>
          <w:szCs w:val="24"/>
        </w:rPr>
        <w:t xml:space="preserve"> </w:t>
      </w:r>
      <w:r w:rsidR="008A03E6">
        <w:rPr>
          <w:szCs w:val="24"/>
        </w:rPr>
        <w:t>Based on the result, we decided to add</w:t>
      </w:r>
      <w:r w:rsidR="00E97222">
        <w:rPr>
          <w:szCs w:val="24"/>
        </w:rPr>
        <w:t xml:space="preserve"> only </w:t>
      </w:r>
      <w:r w:rsidR="00E97222" w:rsidRPr="00E97222">
        <w:rPr>
          <w:szCs w:val="24"/>
        </w:rPr>
        <w:t>the game genre x self-blame interaction</w:t>
      </w:r>
      <w:r w:rsidR="00E97222">
        <w:rPr>
          <w:szCs w:val="24"/>
        </w:rPr>
        <w:t xml:space="preserve"> to our M1 model (see the main text for further information). </w:t>
      </w:r>
    </w:p>
    <w:p w14:paraId="24F92D57" w14:textId="77777777" w:rsidR="00887E94" w:rsidRDefault="00887E94" w:rsidP="000E10D6">
      <w:pPr>
        <w:rPr>
          <w:sz w:val="22"/>
        </w:rPr>
      </w:pPr>
    </w:p>
    <w:p w14:paraId="064D285E" w14:textId="77777777" w:rsidR="00887E94" w:rsidRPr="00EA3A21" w:rsidRDefault="00887E94" w:rsidP="000E10D6">
      <w:pPr>
        <w:rPr>
          <w:sz w:val="22"/>
        </w:rPr>
      </w:pPr>
    </w:p>
    <w:sectPr w:rsidR="00887E94" w:rsidRPr="00EA3A21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5DA81" w14:textId="77777777" w:rsidR="00B624D1" w:rsidRDefault="00B624D1" w:rsidP="00117666">
      <w:pPr>
        <w:spacing w:after="0"/>
      </w:pPr>
      <w:r>
        <w:separator/>
      </w:r>
    </w:p>
  </w:endnote>
  <w:endnote w:type="continuationSeparator" w:id="0">
    <w:p w14:paraId="0D45CD44" w14:textId="77777777" w:rsidR="00B624D1" w:rsidRDefault="00B624D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EC86764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05D1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EC86764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05D1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70712" w14:textId="77777777" w:rsidR="00B624D1" w:rsidRDefault="00B624D1" w:rsidP="00117666">
      <w:pPr>
        <w:spacing w:after="0"/>
      </w:pPr>
      <w:r>
        <w:separator/>
      </w:r>
    </w:p>
  </w:footnote>
  <w:footnote w:type="continuationSeparator" w:id="0">
    <w:p w14:paraId="74225ED5" w14:textId="77777777" w:rsidR="00B624D1" w:rsidRDefault="00B624D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hu-HU" w:eastAsia="hu-HU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Cmsor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aszerbekezd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05D16"/>
    <w:rsid w:val="0001436A"/>
    <w:rsid w:val="00034304"/>
    <w:rsid w:val="00035434"/>
    <w:rsid w:val="00052A14"/>
    <w:rsid w:val="00077D53"/>
    <w:rsid w:val="000E10D6"/>
    <w:rsid w:val="000E6D4A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E4ED9"/>
    <w:rsid w:val="003123F4"/>
    <w:rsid w:val="00332B5A"/>
    <w:rsid w:val="003544FB"/>
    <w:rsid w:val="003B5FC1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C05AB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95756"/>
    <w:rsid w:val="007C206C"/>
    <w:rsid w:val="00817DD6"/>
    <w:rsid w:val="008202B7"/>
    <w:rsid w:val="0083759F"/>
    <w:rsid w:val="00881260"/>
    <w:rsid w:val="00885156"/>
    <w:rsid w:val="00887E94"/>
    <w:rsid w:val="008A03E6"/>
    <w:rsid w:val="008B4E94"/>
    <w:rsid w:val="009151AA"/>
    <w:rsid w:val="0093429D"/>
    <w:rsid w:val="00943573"/>
    <w:rsid w:val="00964134"/>
    <w:rsid w:val="00970F7D"/>
    <w:rsid w:val="00994A3D"/>
    <w:rsid w:val="009B7AF2"/>
    <w:rsid w:val="009C2B12"/>
    <w:rsid w:val="00A174D9"/>
    <w:rsid w:val="00A22E58"/>
    <w:rsid w:val="00A976AF"/>
    <w:rsid w:val="00AA4D24"/>
    <w:rsid w:val="00AB6715"/>
    <w:rsid w:val="00B1671E"/>
    <w:rsid w:val="00B25EB8"/>
    <w:rsid w:val="00B37F4D"/>
    <w:rsid w:val="00B6176C"/>
    <w:rsid w:val="00B624D1"/>
    <w:rsid w:val="00B93955"/>
    <w:rsid w:val="00C300CF"/>
    <w:rsid w:val="00C34D02"/>
    <w:rsid w:val="00C52A7B"/>
    <w:rsid w:val="00C56BAF"/>
    <w:rsid w:val="00C679AA"/>
    <w:rsid w:val="00C75972"/>
    <w:rsid w:val="00C8143E"/>
    <w:rsid w:val="00CD066B"/>
    <w:rsid w:val="00CE4FEE"/>
    <w:rsid w:val="00D04B4A"/>
    <w:rsid w:val="00D060CF"/>
    <w:rsid w:val="00D83EC7"/>
    <w:rsid w:val="00DB59C3"/>
    <w:rsid w:val="00DC259A"/>
    <w:rsid w:val="00DD276C"/>
    <w:rsid w:val="00DE23E8"/>
    <w:rsid w:val="00DF1530"/>
    <w:rsid w:val="00E52377"/>
    <w:rsid w:val="00E537AD"/>
    <w:rsid w:val="00E64E17"/>
    <w:rsid w:val="00E866C9"/>
    <w:rsid w:val="00E97222"/>
    <w:rsid w:val="00E97777"/>
    <w:rsid w:val="00EA3A21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Listaszerbekezds"/>
    <w:next w:val="Norml"/>
    <w:link w:val="Cmsor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Cmsor2">
    <w:name w:val="heading 2"/>
    <w:basedOn w:val="Cmsor1"/>
    <w:next w:val="Norml"/>
    <w:link w:val="Cmsor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Cmsor3">
    <w:name w:val="heading 3"/>
    <w:basedOn w:val="Norml"/>
    <w:next w:val="Norml"/>
    <w:link w:val="Cmsor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Cmsor4">
    <w:name w:val="heading 4"/>
    <w:basedOn w:val="Cmsor3"/>
    <w:next w:val="Norml"/>
    <w:link w:val="Cmsor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Cmsor5">
    <w:name w:val="heading 5"/>
    <w:basedOn w:val="Cmsor4"/>
    <w:next w:val="Norml"/>
    <w:link w:val="Cmsor5Char"/>
    <w:uiPriority w:val="2"/>
    <w:qFormat/>
    <w:rsid w:val="00AB6715"/>
    <w:pPr>
      <w:numPr>
        <w:ilvl w:val="4"/>
      </w:numPr>
      <w:outlineLvl w:val="4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lcm">
    <w:name w:val="Subtitle"/>
    <w:basedOn w:val="Norml"/>
    <w:next w:val="Norml"/>
    <w:link w:val="Alcm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lcmChar">
    <w:name w:val="Alcím Char"/>
    <w:basedOn w:val="Bekezdsalapbettpusa"/>
    <w:link w:val="Alcm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lcm"/>
    <w:next w:val="Norml"/>
    <w:uiPriority w:val="1"/>
    <w:qFormat/>
    <w:rsid w:val="00AB6715"/>
  </w:style>
  <w:style w:type="paragraph" w:styleId="Buborkszveg">
    <w:name w:val="Balloon Text"/>
    <w:basedOn w:val="Norml"/>
    <w:link w:val="Buborkszveg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Knyvcme">
    <w:name w:val="Book Title"/>
    <w:basedOn w:val="Bekezdsalapbettpusa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Kpalrs">
    <w:name w:val="caption"/>
    <w:basedOn w:val="Norml"/>
    <w:next w:val="Nincstrkz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incstrkz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B67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671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67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AB6715"/>
    <w:rPr>
      <w:rFonts w:ascii="Times New Roman" w:hAnsi="Times New Roman"/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AB6715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B6715"/>
    <w:rPr>
      <w:rFonts w:ascii="Times New Roman" w:hAnsi="Times New Roman"/>
      <w:sz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AB671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lfejChar">
    <w:name w:val="Élőfej Char"/>
    <w:basedOn w:val="Bekezdsalapbettpusa"/>
    <w:link w:val="lfej"/>
    <w:uiPriority w:val="99"/>
    <w:rsid w:val="00AB6715"/>
    <w:rPr>
      <w:rFonts w:ascii="Times New Roman" w:hAnsi="Times New Roman"/>
      <w:b/>
      <w:sz w:val="24"/>
    </w:rPr>
  </w:style>
  <w:style w:type="paragraph" w:styleId="Listaszerbekezds">
    <w:name w:val="List Paragraph"/>
    <w:basedOn w:val="Norm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hivatkozs">
    <w:name w:val="Hyperlink"/>
    <w:basedOn w:val="Bekezdsalapbettpusa"/>
    <w:uiPriority w:val="99"/>
    <w:unhideWhenUsed/>
    <w:rsid w:val="00AB6715"/>
    <w:rPr>
      <w:color w:val="0000FF"/>
      <w:u w:val="single"/>
    </w:rPr>
  </w:style>
  <w:style w:type="character" w:styleId="Erskiemels">
    <w:name w:val="Intense Emphasis"/>
    <w:basedOn w:val="Bekezdsalapbettpusa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Ershivatkozs">
    <w:name w:val="Intense Reference"/>
    <w:basedOn w:val="Bekezdsalapbettpusa"/>
    <w:uiPriority w:val="32"/>
    <w:qFormat/>
    <w:rsid w:val="00AB6715"/>
    <w:rPr>
      <w:b/>
      <w:bCs/>
      <w:smallCaps/>
      <w:color w:val="auto"/>
      <w:spacing w:val="5"/>
    </w:rPr>
  </w:style>
  <w:style w:type="character" w:styleId="Sorszma">
    <w:name w:val="line number"/>
    <w:basedOn w:val="Bekezdsalapbettpusa"/>
    <w:uiPriority w:val="99"/>
    <w:semiHidden/>
    <w:unhideWhenUsed/>
    <w:rsid w:val="00AB6715"/>
  </w:style>
  <w:style w:type="character" w:customStyle="1" w:styleId="Cmsor3Char">
    <w:name w:val="Címsor 3 Char"/>
    <w:basedOn w:val="Bekezdsalapbettpusa"/>
    <w:link w:val="Cmsor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lWeb">
    <w:name w:val="Normal (Web)"/>
    <w:basedOn w:val="Norm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Kiemels2">
    <w:name w:val="Strong"/>
    <w:basedOn w:val="Bekezdsalapbettpusa"/>
    <w:uiPriority w:val="22"/>
    <w:qFormat/>
    <w:rsid w:val="00AB6715"/>
    <w:rPr>
      <w:rFonts w:ascii="Times New Roman" w:hAnsi="Times New Roman"/>
      <w:b/>
      <w:bCs/>
    </w:rPr>
  </w:style>
  <w:style w:type="character" w:styleId="Finomkiemels">
    <w:name w:val="Subtle Emphasis"/>
    <w:basedOn w:val="Bekezdsalapbettpusa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Rcsostblzat">
    <w:name w:val="Table Grid"/>
    <w:basedOn w:val="Normltblzat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mChar">
    <w:name w:val="Cím Char"/>
    <w:basedOn w:val="Bekezdsalapbettpusa"/>
    <w:link w:val="Cm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Cm"/>
    <w:next w:val="Cm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2A69D2-9195-4E39-BEA4-ADB29A30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455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HP8Gyöngyi</cp:lastModifiedBy>
  <cp:revision>2</cp:revision>
  <cp:lastPrinted>2013-10-03T12:51:00Z</cp:lastPrinted>
  <dcterms:created xsi:type="dcterms:W3CDTF">2019-04-23T13:00:00Z</dcterms:created>
  <dcterms:modified xsi:type="dcterms:W3CDTF">2019-04-23T13:00:00Z</dcterms:modified>
</cp:coreProperties>
</file>