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Supplementary of </w:t>
      </w:r>
      <w:r>
        <w:rPr>
          <w:b/>
          <w:sz w:val="28"/>
          <w:szCs w:val="28"/>
        </w:rPr>
        <w:t>High-order correlation integration for single-cell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 bulk RNA-seq data analysis</w:t>
      </w:r>
    </w:p>
    <w:p/>
    <w:p>
      <w:pPr>
        <w:ind w:left="6720" w:hanging="6720" w:hangingChars="2800"/>
      </w:pPr>
      <w:r>
        <w:drawing>
          <wp:inline distT="0" distB="0" distL="0" distR="0">
            <wp:extent cx="5238115" cy="238125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4" t="18201" r="12436" b="27195"/>
                    <a:stretch>
                      <a:fillRect/>
                    </a:stretch>
                  </pic:blipFill>
                  <pic:spPr>
                    <a:xfrm>
                      <a:off x="0" y="0"/>
                      <a:ext cx="5240993" cy="23822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Figure S1 </w:t>
      </w:r>
      <w:r>
        <w:rPr>
          <w:rFonts w:hint="eastAsia" w:eastAsia="MS Mincho"/>
          <w:lang w:eastAsia="ja-JP"/>
        </w:rPr>
        <w:t xml:space="preserve">Analysis of </w:t>
      </w:r>
      <w:r>
        <w:rPr>
          <w:rFonts w:hint="eastAsia"/>
        </w:rPr>
        <w:t>HCI</w:t>
      </w:r>
      <w:r>
        <w:t>,</w:t>
      </w:r>
      <w:r>
        <w:rPr>
          <w:rFonts w:hint="eastAsia"/>
        </w:rPr>
        <w:t xml:space="preserve"> </w:t>
      </w:r>
      <w:r>
        <w:rPr>
          <w:rFonts w:hint="eastAsia" w:eastAsia="MS Mincho"/>
          <w:lang w:eastAsia="ja-JP"/>
        </w:rPr>
        <w:t>o</w:t>
      </w:r>
      <w:r>
        <w:rPr>
          <w:rFonts w:hint="eastAsia"/>
        </w:rPr>
        <w:t xml:space="preserve">ne-order </w:t>
      </w:r>
      <w:r>
        <w:rPr>
          <w:rFonts w:hint="eastAsia" w:eastAsia="MS Mincho"/>
          <w:lang w:eastAsia="ja-JP"/>
        </w:rPr>
        <w:t>correlation matrix</w:t>
      </w:r>
      <w:r>
        <w:rPr>
          <w:rFonts w:hint="eastAsia"/>
        </w:rPr>
        <w:t xml:space="preserve">, </w:t>
      </w:r>
      <w:r>
        <w:rPr>
          <w:rFonts w:hint="eastAsia" w:eastAsia="MS Mincho"/>
          <w:lang w:eastAsia="ja-JP"/>
        </w:rPr>
        <w:t>s</w:t>
      </w:r>
      <w:r>
        <w:rPr>
          <w:rFonts w:hint="eastAsia"/>
        </w:rPr>
        <w:t xml:space="preserve">econd-order </w:t>
      </w:r>
      <w:r>
        <w:rPr>
          <w:rFonts w:hint="eastAsia" w:eastAsia="MS Mincho"/>
          <w:lang w:eastAsia="ja-JP"/>
        </w:rPr>
        <w:t>correlation matrix</w:t>
      </w:r>
      <w:r>
        <w:rPr>
          <w:rFonts w:hint="eastAsia"/>
        </w:rPr>
        <w:t xml:space="preserve">. 60% CV, 80% CV </w:t>
      </w:r>
      <w:r>
        <w:t xml:space="preserve">were applied </w:t>
      </w:r>
      <w:r>
        <w:rPr>
          <w:rFonts w:hint="eastAsia"/>
        </w:rPr>
        <w:t>50</w:t>
      </w:r>
      <w:r>
        <w:t xml:space="preserve"> times to </w:t>
      </w:r>
      <w:r>
        <w:rPr>
          <w:rFonts w:hint="eastAsia"/>
        </w:rPr>
        <w:t xml:space="preserve">each global sample-pattern matrix </w:t>
      </w:r>
      <m:oMath>
        <m:r>
          <m:rPr>
            <m:sty m:val="b"/>
          </m:rPr>
          <w:rPr>
            <w:rFonts w:ascii="Cambria Math" w:hAnsi="Cambria Math"/>
          </w:rPr>
          <m:t>Y</m:t>
        </m:r>
      </m:oMath>
      <w:r>
        <w:t>. Each panel shows the ARI (black dots, Methods)</w:t>
      </w:r>
      <w:r>
        <w:rPr>
          <w:rFonts w:hint="eastAsia"/>
        </w:rPr>
        <w:t xml:space="preserve"> </w:t>
      </w:r>
      <w:r>
        <w:t>between the inferred cluster</w:t>
      </w:r>
      <w:r>
        <w:rPr>
          <w:rFonts w:hint="eastAsia" w:eastAsia="MS Mincho"/>
          <w:lang w:eastAsia="ja-JP"/>
        </w:rPr>
        <w:t>s</w:t>
      </w:r>
      <w:r>
        <w:t xml:space="preserve"> and the reference labels. Bars correspond to the median of the dots.</w:t>
      </w:r>
    </w:p>
    <w:p/>
    <w:p>
      <w:pPr>
        <w:jc w:val="center"/>
      </w:pPr>
      <w:r>
        <w:rPr>
          <w:rFonts w:hint="eastAsia"/>
        </w:rPr>
        <w:drawing>
          <wp:inline distT="0" distB="0" distL="114300" distR="114300">
            <wp:extent cx="4272280" cy="2522855"/>
            <wp:effectExtent l="0" t="0" r="13970" b="10795"/>
            <wp:docPr id="1" name="图片 1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2"/>
                    <pic:cNvPicPr>
                      <a:picLocks noChangeAspect="1"/>
                    </pic:cNvPicPr>
                  </pic:nvPicPr>
                  <pic:blipFill>
                    <a:blip r:embed="rId5"/>
                    <a:srcRect l="7319" t="4243" r="11563" b="10609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 xml:space="preserve">Figure S2 </w:t>
      </w:r>
      <w:r>
        <w:t>Run times for different number of cells</w:t>
      </w:r>
      <w:r>
        <w:rPr>
          <w:rFonts w:hint="eastAsia"/>
        </w:rPr>
        <w:t>. Data sets are yan, deng, Diabetes1 Diabetes2, GSE60369 and 10K cells from a MALT Tumor downloaded in 10x genomics.</w:t>
      </w:r>
    </w:p>
    <w:p/>
    <w:p/>
    <w:p>
      <w:r>
        <w:rPr>
          <w:rFonts w:hint="eastAsia"/>
        </w:rPr>
        <w:drawing>
          <wp:inline distT="0" distB="0" distL="114300" distR="114300">
            <wp:extent cx="5341620" cy="2057400"/>
            <wp:effectExtent l="0" t="0" r="0" b="0"/>
            <wp:docPr id="20" name="图片 20" descr="Figure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igure S4"/>
                    <pic:cNvPicPr>
                      <a:picLocks noChangeAspect="1"/>
                    </pic:cNvPicPr>
                  </pic:nvPicPr>
                  <pic:blipFill>
                    <a:blip r:embed="rId6"/>
                    <a:srcRect l="906" t="17681" r="1127" b="24582"/>
                    <a:stretch>
                      <a:fillRect/>
                    </a:stretch>
                  </pic:blipFill>
                  <pic:spPr>
                    <a:xfrm>
                      <a:off x="0" y="0"/>
                      <a:ext cx="5352000" cy="206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Figure S3 the clustering results of PCA, TSNE and HCI. (A) </w:t>
      </w:r>
      <w:r>
        <w:t>Principle component analysis</w:t>
      </w:r>
      <w:r>
        <w:rPr>
          <w:rFonts w:hint="eastAsia"/>
        </w:rPr>
        <w:t xml:space="preserve"> by using SEURAT. (B) </w:t>
      </w:r>
      <w:r>
        <w:t>The</w:t>
      </w:r>
      <w:r>
        <w:rPr>
          <w:rFonts w:hint="eastAsia"/>
        </w:rPr>
        <w:t xml:space="preserve"> two-dimensional projection of diabetes data using TSNE. (C) </w:t>
      </w:r>
      <w:r>
        <w:t>The two-dimensional projection of</w:t>
      </w:r>
      <w:r>
        <w:rPr>
          <w:rFonts w:hint="eastAsia"/>
        </w:rPr>
        <w:t xml:space="preserve"> </w:t>
      </w:r>
      <w:r>
        <w:t>the global-sample pattern matrix</w:t>
      </w:r>
      <w:r>
        <w:rPr>
          <w:rFonts w:hint="eastAsia"/>
        </w:rPr>
        <w:t xml:space="preserve"> </w:t>
      </w:r>
      <w:r>
        <w:t>using</w:t>
      </w:r>
      <w:r>
        <w:rPr>
          <w:rFonts w:hint="eastAsia"/>
        </w:rPr>
        <w:t xml:space="preserve"> </w:t>
      </w:r>
      <w:r>
        <w:t>t-SNE.</w:t>
      </w:r>
      <w:r>
        <w:rPr>
          <w:rFonts w:hint="eastAsia"/>
        </w:rPr>
        <w:t xml:space="preserve"> </w:t>
      </w:r>
      <w:r>
        <w:t>Colors</w:t>
      </w:r>
      <w:r>
        <w:rPr>
          <w:rFonts w:hint="eastAsia"/>
        </w:rPr>
        <w:t xml:space="preserve"> </w:t>
      </w:r>
      <w:r>
        <w:t>represent different cell</w:t>
      </w:r>
      <w:r>
        <w:rPr>
          <w:rFonts w:hint="eastAsia"/>
        </w:rPr>
        <w:t xml:space="preserve"> types. </w:t>
      </w:r>
    </w:p>
    <w:p/>
    <w:p>
      <w:r>
        <w:rPr>
          <w:rFonts w:hint="eastAsia"/>
        </w:rPr>
        <w:drawing>
          <wp:inline distT="0" distB="0" distL="0" distR="0">
            <wp:extent cx="5274310" cy="321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Figure S4 </w:t>
      </w:r>
      <w:r>
        <w:t>Cluster dendrogram of global sample-pattern matri</w:t>
      </w:r>
      <w:r>
        <w:rPr>
          <w:rFonts w:eastAsia="MS Mincho"/>
          <w:lang w:eastAsia="ja-JP"/>
        </w:rPr>
        <w:t>ces</w:t>
      </w:r>
      <w:r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up>
        </m:sSup>
      </m:oMath>
      <w:r>
        <w:rPr>
          <w:rFonts w:hint="eastAsia"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up>
        </m:sSup>
      </m:oMath>
      <w:r>
        <w:rPr>
          <w:rFonts w:hint="eastAsia"/>
          <w:b/>
          <w:bCs/>
          <w:iCs/>
        </w:rP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Y</m:t>
        </m:r>
      </m:oMath>
    </w:p>
    <w:p/>
    <w:p>
      <w:r>
        <w:rPr>
          <w:rFonts w:hint="eastAsia"/>
        </w:rPr>
        <w:drawing>
          <wp:inline distT="0" distB="0" distL="114300" distR="114300">
            <wp:extent cx="5374640" cy="4267200"/>
            <wp:effectExtent l="0" t="0" r="16510" b="0"/>
            <wp:docPr id="19" name="图片 19" descr="Figure 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igure S5"/>
                    <pic:cNvPicPr>
                      <a:picLocks noChangeAspect="1"/>
                    </pic:cNvPicPr>
                  </pic:nvPicPr>
                  <pic:blipFill>
                    <a:blip r:embed="rId8"/>
                    <a:srcRect l="13190" t="1350" r="18218" b="729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Figure S5 Violin plots of the e</w:t>
      </w:r>
      <w:r>
        <w:t>xpression</w:t>
      </w:r>
      <w:r>
        <w:rPr>
          <w:rFonts w:hint="eastAsia"/>
        </w:rPr>
        <w:t xml:space="preserve"> values</w:t>
      </w:r>
      <w:r>
        <w:t xml:space="preserve"> of selected markers</w:t>
      </w:r>
      <w:r>
        <w:rPr>
          <w:rFonts w:hint="eastAsia"/>
        </w:rPr>
        <w:t xml:space="preserve"> in alpha cells, alpha-dropped cells clustered by HCI and other cell types. </w:t>
      </w:r>
      <w:r>
        <w:rPr>
          <w:rFonts w:hint="eastAsia"/>
          <w:i/>
        </w:rPr>
        <w:t>IRX2</w:t>
      </w:r>
      <w:r>
        <w:rPr>
          <w:rFonts w:hint="eastAsia"/>
        </w:rPr>
        <w:t xml:space="preserve"> and </w:t>
      </w:r>
      <w:r>
        <w:rPr>
          <w:rFonts w:hint="eastAsia"/>
          <w:i/>
        </w:rPr>
        <w:t>ARX</w:t>
      </w:r>
      <w:r>
        <w:rPr>
          <w:rFonts w:hint="eastAsia"/>
        </w:rPr>
        <w:t xml:space="preserve"> have high expression in alpha cells and alpha-dropped cells. </w:t>
      </w:r>
    </w:p>
    <w:p>
      <w:r>
        <w:rPr>
          <w:rFonts w:hint="eastAsia"/>
        </w:rPr>
        <w:drawing>
          <wp:inline distT="0" distB="0" distL="114300" distR="114300">
            <wp:extent cx="5269230" cy="6557010"/>
            <wp:effectExtent l="0" t="0" r="7620" b="15240"/>
            <wp:docPr id="18" name="图片 18" descr="clusterMarkerG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lusterMarkerGene"/>
                    <pic:cNvPicPr>
                      <a:picLocks noChangeAspect="1"/>
                    </pic:cNvPicPr>
                  </pic:nvPicPr>
                  <pic:blipFill>
                    <a:blip r:embed="rId9"/>
                    <a:srcRect t="9958" b="435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 xml:space="preserve">Figure S6 </w:t>
      </w:r>
      <w:r>
        <w:t>Average expression of key markers in the six annotated cell types</w:t>
      </w:r>
      <w:r>
        <w:rPr>
          <w:rFonts w:hint="eastAsia"/>
        </w:rPr>
        <w:t xml:space="preserve"> and </w:t>
      </w:r>
      <w:r>
        <w:t>their corresponding</w:t>
      </w:r>
      <w:r>
        <w:rPr>
          <w:rFonts w:hint="eastAsia"/>
        </w:rPr>
        <w:t xml:space="preserve"> </w:t>
      </w:r>
      <w:r>
        <w:t>clustered</w:t>
      </w:r>
      <w:r>
        <w:rPr>
          <w:rFonts w:hint="eastAsia"/>
        </w:rPr>
        <w:t>-dropped cell types by using HCI</w:t>
      </w:r>
      <w:r>
        <w:t>. Samples and genes are clustered by Pearson correlation distance.</w:t>
      </w:r>
    </w:p>
    <w:p/>
    <w:p/>
    <w:p>
      <w:r>
        <w:drawing>
          <wp:inline distT="0" distB="0" distL="114300" distR="114300">
            <wp:extent cx="5086350" cy="2762250"/>
            <wp:effectExtent l="0" t="0" r="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Figure S7 the correlation of the average expression between annotated cell types and their corresponding </w:t>
      </w:r>
      <w:r>
        <w:t>clustered</w:t>
      </w:r>
      <w:r>
        <w:rPr>
          <w:rFonts w:hint="eastAsia"/>
        </w:rPr>
        <w:t>-dropped cell types. Bars correspond to the value of correlation. The dotted red line corresponds to correlation=0.6.</w:t>
      </w:r>
    </w:p>
    <w:p/>
    <w:p/>
    <w:p>
      <w:r>
        <w:rPr>
          <w:rFonts w:hint="eastAsia"/>
        </w:rPr>
        <w:t xml:space="preserve">Table S1 </w:t>
      </w:r>
      <w:r>
        <w:rPr>
          <w:rFonts w:hint="eastAsia" w:eastAsia="MS Mincho"/>
          <w:lang w:eastAsia="ja-JP"/>
        </w:rPr>
        <w:t>T</w:t>
      </w:r>
      <w:r>
        <w:rPr>
          <w:rFonts w:hint="eastAsia"/>
        </w:rPr>
        <w:t xml:space="preserve">he list of </w:t>
      </w:r>
      <w:r>
        <w:t>GO biological process terms</w:t>
      </w:r>
      <w:r>
        <w:rPr>
          <w:rFonts w:hint="eastAsia" w:eastAsia="MS Mincho"/>
          <w:lang w:eastAsia="ja-JP"/>
        </w:rPr>
        <w:t xml:space="preserve"> and</w:t>
      </w:r>
      <w:r>
        <w:t xml:space="preserve"> KEGG pathways</w:t>
      </w:r>
      <w:r>
        <w:rPr>
          <w:rFonts w:hint="eastAsia" w:eastAsia="MS Mincho"/>
          <w:lang w:eastAsia="ja-JP"/>
        </w:rPr>
        <w:t>. The details are given</w:t>
      </w:r>
      <w:r>
        <w:rPr>
          <w:rFonts w:hint="eastAsia"/>
        </w:rPr>
        <w:t xml:space="preserve"> in </w:t>
      </w:r>
      <w:r>
        <w:rPr>
          <w:rFonts w:hint="eastAsia" w:eastAsia="MS Mincho"/>
          <w:lang w:eastAsia="ja-JP"/>
        </w:rPr>
        <w:t xml:space="preserve">an </w:t>
      </w:r>
      <w:r>
        <w:rPr>
          <w:rFonts w:hint="eastAsia"/>
        </w:rPr>
        <w:t xml:space="preserve">additional file named as EnrichmentResult.xlsx.  </w:t>
      </w:r>
    </w:p>
    <w:p/>
    <w:p/>
    <w:p>
      <w:r>
        <w:rPr>
          <w:rFonts w:hint="eastAsia"/>
        </w:rPr>
        <w:t xml:space="preserve">Table S2 </w:t>
      </w:r>
      <w:r>
        <w:rPr>
          <w:rFonts w:hint="eastAsia" w:eastAsia="MS Mincho"/>
          <w:lang w:eastAsia="ja-JP"/>
        </w:rPr>
        <w:t>T</w:t>
      </w:r>
      <w:r>
        <w:rPr>
          <w:rFonts w:hint="eastAsia"/>
        </w:rPr>
        <w:t>he IPA analysis result</w:t>
      </w:r>
      <w:r>
        <w:rPr>
          <w:rFonts w:hint="eastAsia" w:eastAsia="MS Mincho"/>
          <w:lang w:eastAsia="ja-JP"/>
        </w:rPr>
        <w:t>. The details are given</w:t>
      </w:r>
      <w:r>
        <w:rPr>
          <w:rFonts w:hint="eastAsia"/>
        </w:rPr>
        <w:t xml:space="preserve"> in </w:t>
      </w:r>
      <w:r>
        <w:rPr>
          <w:rFonts w:hint="eastAsia" w:eastAsia="MS Mincho"/>
          <w:lang w:eastAsia="ja-JP"/>
        </w:rPr>
        <w:t>an a</w:t>
      </w:r>
      <w:r>
        <w:t xml:space="preserve">dditional </w:t>
      </w:r>
      <w:r>
        <w:rPr>
          <w:rFonts w:hint="eastAsia"/>
        </w:rPr>
        <w:t>file named as IPAresult.xlsx.</w:t>
      </w:r>
    </w:p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Table S3 The PPI enrichment result of 25 genes.</w:t>
      </w:r>
    </w:p>
    <w:tbl>
      <w:tblPr>
        <w:tblStyle w:val="6"/>
        <w:tblW w:w="855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16"/>
        <w:gridCol w:w="4319"/>
        <w:gridCol w:w="271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pathway ID</w:t>
            </w:r>
          </w:p>
        </w:tc>
        <w:tc>
          <w:tcPr>
            <w:tcW w:w="431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Biological Process (GO)</w:t>
            </w:r>
          </w:p>
        </w:tc>
        <w:tc>
          <w:tcPr>
            <w:tcW w:w="271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false discovery rate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GO.0005829</w:t>
            </w:r>
          </w:p>
        </w:tc>
        <w:tc>
          <w:tcPr>
            <w:tcW w:w="4319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cytosol</w:t>
            </w:r>
          </w:p>
        </w:tc>
        <w:tc>
          <w:tcPr>
            <w:tcW w:w="2715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3.86E-05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GO.0030877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beta-catenin destruction complex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0.000157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GO.0043234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protein complex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0.000202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GO.0043233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organelle lumen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0.000322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GO.0031983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vesicle lumen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0.000739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GO.0044446</w:t>
            </w:r>
          </w:p>
        </w:tc>
        <w:tc>
          <w:tcPr>
            <w:tcW w:w="431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intracellular organelle part</w:t>
            </w:r>
          </w:p>
        </w:tc>
        <w:tc>
          <w:tcPr>
            <w:tcW w:w="271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0.000739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pathway ID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Molecular Function (GO)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false discovery rate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GO.0008013</w:t>
            </w:r>
          </w:p>
        </w:tc>
        <w:tc>
          <w:tcPr>
            <w:tcW w:w="4319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beta-catenin binding</w:t>
            </w:r>
          </w:p>
        </w:tc>
        <w:tc>
          <w:tcPr>
            <w:tcW w:w="2715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1.58E-07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GO.0019899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enzyme binding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5.85E-07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GO.0070016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armadillo repeat domain binding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5.85E-07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GO.0005515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protein binding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5.76E-06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GO.0030234</w:t>
            </w:r>
          </w:p>
        </w:tc>
        <w:tc>
          <w:tcPr>
            <w:tcW w:w="431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enzyme regulator activity</w:t>
            </w:r>
          </w:p>
        </w:tc>
        <w:tc>
          <w:tcPr>
            <w:tcW w:w="271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2.00E-05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pathway ID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KEGG Pathways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false discovery rate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5210</w:t>
            </w:r>
          </w:p>
        </w:tc>
        <w:tc>
          <w:tcPr>
            <w:tcW w:w="4319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Colorectal cancer</w:t>
            </w:r>
          </w:p>
        </w:tc>
        <w:tc>
          <w:tcPr>
            <w:tcW w:w="2715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2.73E-46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5200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Pathways in cancer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6.82E-41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5213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Endometrial cancer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2.12E-35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5212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Pancreatic cancer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1.36E-25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5215</w:t>
            </w:r>
          </w:p>
        </w:tc>
        <w:tc>
          <w:tcPr>
            <w:tcW w:w="431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Prostate cancer</w:t>
            </w:r>
          </w:p>
        </w:tc>
        <w:tc>
          <w:tcPr>
            <w:tcW w:w="271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3.37E-21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pathway ID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Cellular Component (GO)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false discovery rate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516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GO.0007167</w:t>
            </w:r>
          </w:p>
        </w:tc>
        <w:tc>
          <w:tcPr>
            <w:tcW w:w="4319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enzyme linked receptor protein signaling pathway</w:t>
            </w:r>
          </w:p>
        </w:tc>
        <w:tc>
          <w:tcPr>
            <w:tcW w:w="2715" w:type="dxa"/>
            <w:tcBorders>
              <w:top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6.40E-16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GO.0071310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cellular response to organic substance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4.56E-14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GO.0010033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response to organic substance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2.16E-13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GO.0007169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transmembrane receptor protein tyrosine kinase signaling pathway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2.38E-13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51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GO.0071363</w:t>
            </w:r>
          </w:p>
        </w:tc>
        <w:tc>
          <w:tcPr>
            <w:tcW w:w="431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cellular response to growth factor stimulus</w:t>
            </w:r>
          </w:p>
        </w:tc>
        <w:tc>
          <w:tcPr>
            <w:tcW w:w="271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2.44E-12</w:t>
            </w:r>
          </w:p>
        </w:tc>
      </w:tr>
    </w:tbl>
    <w:p/>
    <w:p>
      <w:r>
        <w:rPr>
          <w:rFonts w:hint="eastAsia"/>
        </w:rPr>
        <w:t>Table S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 Different</w:t>
      </w:r>
      <w:r>
        <w:rPr>
          <w:rFonts w:hint="eastAsia" w:eastAsia="MS Mincho"/>
          <w:lang w:eastAsia="ja-JP"/>
        </w:rPr>
        <w:t>i</w:t>
      </w:r>
      <w:r>
        <w:rPr>
          <w:rFonts w:hint="eastAsia"/>
        </w:rPr>
        <w:t xml:space="preserve">al expressed genes are list in </w:t>
      </w:r>
      <w:r>
        <w:rPr>
          <w:rFonts w:hint="eastAsia" w:eastAsia="MS Mincho"/>
          <w:lang w:eastAsia="ja-JP"/>
        </w:rPr>
        <w:t xml:space="preserve">an </w:t>
      </w:r>
      <w:r>
        <w:rPr>
          <w:rFonts w:hint="eastAsia"/>
        </w:rPr>
        <w:t>additional file called DEGs.xlsx.</w:t>
      </w:r>
    </w:p>
    <w:p/>
    <w:p/>
    <w:p>
      <w:r>
        <w:rPr>
          <w:rFonts w:hint="eastAsia"/>
        </w:rPr>
        <w:t>Table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Different</w:t>
      </w:r>
      <w:r>
        <w:rPr>
          <w:rFonts w:hint="eastAsia" w:eastAsia="MS Mincho"/>
          <w:lang w:eastAsia="ja-JP"/>
        </w:rPr>
        <w:t>i</w:t>
      </w:r>
      <w:r>
        <w:rPr>
          <w:rFonts w:hint="eastAsia"/>
        </w:rPr>
        <w:t xml:space="preserve">al expressed miRNAs are list in </w:t>
      </w:r>
      <w:r>
        <w:rPr>
          <w:rFonts w:hint="eastAsia" w:eastAsia="MS Mincho"/>
          <w:lang w:eastAsia="ja-JP"/>
        </w:rPr>
        <w:t xml:space="preserve">an </w:t>
      </w:r>
      <w:r>
        <w:rPr>
          <w:rFonts w:hint="eastAsia"/>
        </w:rPr>
        <w:t>additional file called DEmiRNAs.xlsx.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B89"/>
    <w:rsid w:val="00125481"/>
    <w:rsid w:val="0014348B"/>
    <w:rsid w:val="00172A27"/>
    <w:rsid w:val="00274D49"/>
    <w:rsid w:val="0038717B"/>
    <w:rsid w:val="00431426"/>
    <w:rsid w:val="00476EED"/>
    <w:rsid w:val="004E20A5"/>
    <w:rsid w:val="005976AF"/>
    <w:rsid w:val="005D2E6F"/>
    <w:rsid w:val="0069140E"/>
    <w:rsid w:val="00780392"/>
    <w:rsid w:val="007C4696"/>
    <w:rsid w:val="00964C07"/>
    <w:rsid w:val="009A6BA0"/>
    <w:rsid w:val="00B507FB"/>
    <w:rsid w:val="00C834A8"/>
    <w:rsid w:val="00CC4871"/>
    <w:rsid w:val="00D650BB"/>
    <w:rsid w:val="00DF6E02"/>
    <w:rsid w:val="00EB00E2"/>
    <w:rsid w:val="00ED48C2"/>
    <w:rsid w:val="00EE04EF"/>
    <w:rsid w:val="00EE1341"/>
    <w:rsid w:val="00F36FAE"/>
    <w:rsid w:val="00F4474A"/>
    <w:rsid w:val="00F45940"/>
    <w:rsid w:val="00F62781"/>
    <w:rsid w:val="00FA2A6E"/>
    <w:rsid w:val="1C655BB8"/>
    <w:rsid w:val="29BD0657"/>
    <w:rsid w:val="36C8483E"/>
    <w:rsid w:val="4F376602"/>
    <w:rsid w:val="515C1396"/>
    <w:rsid w:val="69052400"/>
    <w:rsid w:val="70E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494</Words>
  <Characters>2819</Characters>
  <Lines>23</Lines>
  <Paragraphs>6</Paragraphs>
  <TotalTime>7</TotalTime>
  <ScaleCrop>false</ScaleCrop>
  <LinksUpToDate>false</LinksUpToDate>
  <CharactersWithSpaces>3307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2019-03-30T06:48:00Z</dcterms:created>
  <dc:creator>Vladimir Yu. Kiselev, Kristina Kirschner, Michael T. Schaub, Tallulah Andrews, Andrew Yiu, Tamir Chandra, Kedar N Natarajan, Wolf Reik, Mauricio Barahona, Anthony R Green, Martin Hemberg</dc:creator>
  <cp:lastModifiedBy>唐慧</cp:lastModifiedBy>
  <dcterms:modified xsi:type="dcterms:W3CDTF">2019-04-15T13:01:25Z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