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E47" w:rsidRPr="00E87FDB" w:rsidRDefault="00657E47" w:rsidP="00657E47">
      <w:pPr>
        <w:suppressAutoHyphens w:val="0"/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val="en-US"/>
        </w:rPr>
      </w:pPr>
      <w:r w:rsidRPr="00E87FDB">
        <w:rPr>
          <w:rFonts w:ascii="Times New Roman" w:eastAsiaTheme="minorHAnsi" w:hAnsi="Times New Roman" w:cs="Times New Roman"/>
          <w:b/>
          <w:sz w:val="24"/>
          <w:szCs w:val="24"/>
          <w:lang w:val="en-US"/>
        </w:rPr>
        <w:t>SUPPLEMENTARY MATERIAL</w:t>
      </w:r>
      <w:r w:rsidR="00B80DBB" w:rsidRPr="00E87FDB">
        <w:rPr>
          <w:rFonts w:ascii="Times New Roman" w:eastAsiaTheme="minorHAnsi" w:hAnsi="Times New Roman" w:cs="Times New Roman"/>
          <w:b/>
          <w:sz w:val="24"/>
          <w:szCs w:val="24"/>
          <w:lang w:val="en-US"/>
        </w:rPr>
        <w:t xml:space="preserve"> </w:t>
      </w:r>
      <w:r w:rsidR="00E146B0" w:rsidRPr="00E87FDB">
        <w:rPr>
          <w:rFonts w:ascii="Times New Roman" w:eastAsiaTheme="minorHAnsi" w:hAnsi="Times New Roman" w:cs="Times New Roman"/>
          <w:b/>
          <w:sz w:val="24"/>
          <w:szCs w:val="24"/>
          <w:lang w:val="en-US"/>
        </w:rPr>
        <w:t>3</w:t>
      </w:r>
    </w:p>
    <w:p w:rsidR="00657E47" w:rsidRPr="00E87FDB" w:rsidRDefault="00657E47" w:rsidP="00657E47">
      <w:pPr>
        <w:suppressAutoHyphens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en-US"/>
        </w:rPr>
      </w:pPr>
    </w:p>
    <w:p w:rsidR="00005B49" w:rsidRPr="00005B49" w:rsidRDefault="00005B49" w:rsidP="00005B49">
      <w:pPr>
        <w:spacing w:after="0"/>
        <w:rPr>
          <w:sz w:val="20"/>
          <w:szCs w:val="20"/>
          <w:lang w:val="en-US"/>
        </w:rPr>
      </w:pPr>
      <w:r w:rsidRPr="00005B49">
        <w:rPr>
          <w:sz w:val="20"/>
          <w:szCs w:val="20"/>
          <w:lang w:val="en-US"/>
        </w:rPr>
        <w:t xml:space="preserve">Article: </w:t>
      </w:r>
      <w:r w:rsidRPr="00005B49">
        <w:rPr>
          <w:i/>
          <w:sz w:val="20"/>
          <w:szCs w:val="20"/>
          <w:lang w:val="en-US"/>
        </w:rPr>
        <w:t>How uncertainty influences lay people’s attitudes and risk perceptions concerning predictive genetic testing and risk communication</w:t>
      </w:r>
    </w:p>
    <w:p w:rsidR="00005B49" w:rsidRPr="00005B49" w:rsidRDefault="00005B49" w:rsidP="00005B49">
      <w:pPr>
        <w:spacing w:after="0"/>
        <w:rPr>
          <w:sz w:val="20"/>
          <w:szCs w:val="20"/>
          <w:lang w:val="en-US"/>
        </w:rPr>
      </w:pPr>
      <w:r w:rsidRPr="00005B49">
        <w:rPr>
          <w:sz w:val="20"/>
          <w:szCs w:val="20"/>
          <w:lang w:val="en-US"/>
        </w:rPr>
        <w:t>Frontiers in Genetics, section ELSI in Science and Genetics</w:t>
      </w:r>
    </w:p>
    <w:p w:rsidR="00005B49" w:rsidRPr="00005B49" w:rsidRDefault="00005B49" w:rsidP="00005B49">
      <w:pPr>
        <w:spacing w:after="0"/>
        <w:rPr>
          <w:sz w:val="20"/>
          <w:szCs w:val="20"/>
          <w:lang w:val="en-US"/>
        </w:rPr>
      </w:pPr>
      <w:r w:rsidRPr="00005B49">
        <w:rPr>
          <w:sz w:val="20"/>
          <w:szCs w:val="20"/>
          <w:lang w:val="en-US"/>
        </w:rPr>
        <w:t>Authors: Sabine Wöhlke, Manuel Schaper, Silke Schicktanz</w:t>
      </w:r>
    </w:p>
    <w:p w:rsidR="00005B49" w:rsidRPr="00005B49" w:rsidRDefault="00005B49" w:rsidP="00005B49">
      <w:pPr>
        <w:spacing w:after="0"/>
        <w:rPr>
          <w:sz w:val="20"/>
          <w:szCs w:val="20"/>
          <w:lang w:val="en-US"/>
        </w:rPr>
      </w:pPr>
      <w:r w:rsidRPr="00005B49">
        <w:rPr>
          <w:sz w:val="20"/>
          <w:szCs w:val="20"/>
          <w:lang w:val="en-US"/>
        </w:rPr>
        <w:t>Department of Medical Ethics and History of Medicine, University Medical Center Göttingen, Germany</w:t>
      </w:r>
    </w:p>
    <w:p w:rsidR="00005B49" w:rsidRDefault="00005B49" w:rsidP="00005B49">
      <w:pPr>
        <w:spacing w:after="140" w:line="288" w:lineRule="auto"/>
        <w:rPr>
          <w:rFonts w:ascii="Times New Roman" w:eastAsiaTheme="minorHAnsi" w:hAnsi="Times New Roman" w:cs="Times New Roman"/>
          <w:i/>
          <w:iCs/>
          <w:sz w:val="24"/>
          <w:szCs w:val="24"/>
          <w:lang w:val="en-US"/>
        </w:rPr>
      </w:pPr>
      <w:r w:rsidRPr="00005B49">
        <w:rPr>
          <w:sz w:val="20"/>
          <w:szCs w:val="20"/>
          <w:lang w:val="en-US"/>
        </w:rPr>
        <w:t xml:space="preserve">Correspondence: Dr. Sabine Wöhlke, </w:t>
      </w:r>
      <w:hyperlink r:id="rId6" w:history="1">
        <w:bookmarkStart w:id="0" w:name="_GoBack"/>
        <w:r w:rsidRPr="00005B49">
          <w:rPr>
            <w:rStyle w:val="Hyperlink"/>
            <w:sz w:val="20"/>
            <w:szCs w:val="20"/>
            <w:lang w:val="en-US"/>
          </w:rPr>
          <w:t>sabine.woehlke@medizin.uni-goettingen.de</w:t>
        </w:r>
        <w:bookmarkEnd w:id="0"/>
      </w:hyperlink>
    </w:p>
    <w:p w:rsidR="00005B49" w:rsidRDefault="00005B49" w:rsidP="00657E47">
      <w:pPr>
        <w:spacing w:after="140" w:line="288" w:lineRule="auto"/>
        <w:rPr>
          <w:rFonts w:ascii="Times New Roman" w:eastAsiaTheme="minorHAnsi" w:hAnsi="Times New Roman" w:cs="Times New Roman"/>
          <w:i/>
          <w:iCs/>
          <w:sz w:val="24"/>
          <w:szCs w:val="24"/>
          <w:lang w:val="en-US"/>
        </w:rPr>
      </w:pPr>
    </w:p>
    <w:p w:rsidR="00657E47" w:rsidRPr="00E87FDB" w:rsidRDefault="00657E47" w:rsidP="00657E47">
      <w:pPr>
        <w:spacing w:after="140" w:line="288" w:lineRule="auto"/>
        <w:rPr>
          <w:rFonts w:ascii="Times New Roman" w:eastAsiaTheme="minorHAnsi" w:hAnsi="Times New Roman" w:cs="Times New Roman"/>
          <w:i/>
          <w:iCs/>
          <w:sz w:val="24"/>
          <w:szCs w:val="24"/>
          <w:lang w:val="en-US"/>
        </w:rPr>
      </w:pPr>
      <w:r w:rsidRPr="00E87FDB">
        <w:rPr>
          <w:rFonts w:ascii="Times New Roman" w:eastAsiaTheme="minorHAnsi" w:hAnsi="Times New Roman" w:cs="Times New Roman"/>
          <w:i/>
          <w:iCs/>
          <w:sz w:val="24"/>
          <w:szCs w:val="24"/>
          <w:lang w:val="en-US"/>
        </w:rPr>
        <w:t>Analysis: Main categories and coding list used in the analysis of focus group transcripts</w:t>
      </w:r>
    </w:p>
    <w:tbl>
      <w:tblPr>
        <w:tblStyle w:val="Tabellenraster2"/>
        <w:tblW w:w="9639" w:type="dxa"/>
        <w:tblInd w:w="9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024"/>
        <w:gridCol w:w="3260"/>
        <w:gridCol w:w="4355"/>
      </w:tblGrid>
      <w:tr w:rsidR="00657E47" w:rsidRPr="00E87FDB" w:rsidTr="00E87FDB">
        <w:trPr>
          <w:trHeight w:val="386"/>
        </w:trPr>
        <w:tc>
          <w:tcPr>
            <w:tcW w:w="2024" w:type="dxa"/>
            <w:tcBorders>
              <w:right w:val="nil"/>
            </w:tcBorders>
            <w:shd w:val="clear" w:color="auto" w:fill="BFBFBF" w:themeFill="background1" w:themeFillShade="BF"/>
            <w:tcMar>
              <w:left w:w="98" w:type="dxa"/>
            </w:tcMar>
          </w:tcPr>
          <w:p w:rsidR="00657E47" w:rsidRPr="00E87FDB" w:rsidRDefault="00657E47" w:rsidP="00B512A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87FDB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Code category</w:t>
            </w:r>
          </w:p>
          <w:p w:rsidR="00657E47" w:rsidRPr="00E87FDB" w:rsidRDefault="00657E47" w:rsidP="00B512A9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  <w:tcMar>
              <w:left w:w="98" w:type="dxa"/>
            </w:tcMar>
          </w:tcPr>
          <w:p w:rsidR="00657E47" w:rsidRPr="00E87FDB" w:rsidRDefault="00657E47" w:rsidP="00B512A9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E87FDB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Code</w:t>
            </w:r>
          </w:p>
        </w:tc>
        <w:tc>
          <w:tcPr>
            <w:tcW w:w="4355" w:type="dxa"/>
            <w:shd w:val="clear" w:color="auto" w:fill="BFBFBF" w:themeFill="background1" w:themeFillShade="BF"/>
            <w:tcMar>
              <w:left w:w="98" w:type="dxa"/>
            </w:tcMar>
          </w:tcPr>
          <w:p w:rsidR="00657E47" w:rsidRPr="00E87FDB" w:rsidRDefault="00657E47" w:rsidP="00B512A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87FDB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Code description</w:t>
            </w:r>
          </w:p>
        </w:tc>
      </w:tr>
      <w:tr w:rsidR="003E0009" w:rsidRPr="00005B49" w:rsidTr="00E87FDB">
        <w:tc>
          <w:tcPr>
            <w:tcW w:w="2024" w:type="dxa"/>
            <w:vMerge w:val="restart"/>
            <w:tcBorders>
              <w:right w:val="nil"/>
            </w:tcBorders>
            <w:shd w:val="clear" w:color="auto" w:fill="FFFFFF" w:themeFill="background1"/>
            <w:tcMar>
              <w:left w:w="98" w:type="dxa"/>
            </w:tcMar>
          </w:tcPr>
          <w:p w:rsidR="003E0009" w:rsidRPr="00E87FDB" w:rsidRDefault="003E0009" w:rsidP="00B512A9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/>
              </w:rPr>
            </w:pPr>
            <w:r w:rsidRPr="00E87FDB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en"/>
              </w:rPr>
              <w:t>Risk information</w:t>
            </w:r>
          </w:p>
        </w:tc>
        <w:tc>
          <w:tcPr>
            <w:tcW w:w="3260" w:type="dxa"/>
            <w:shd w:val="clear" w:color="auto" w:fill="auto"/>
            <w:tcMar>
              <w:left w:w="98" w:type="dxa"/>
            </w:tcMar>
          </w:tcPr>
          <w:p w:rsidR="003E0009" w:rsidRPr="00E87FDB" w:rsidRDefault="003E0009" w:rsidP="009A5475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/>
              </w:rPr>
            </w:pPr>
            <w:r w:rsidRPr="00E87FDB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en"/>
              </w:rPr>
              <w:t>Benefit_pro</w:t>
            </w:r>
          </w:p>
        </w:tc>
        <w:tc>
          <w:tcPr>
            <w:tcW w:w="4355" w:type="dxa"/>
            <w:shd w:val="clear" w:color="auto" w:fill="auto"/>
            <w:tcMar>
              <w:left w:w="98" w:type="dxa"/>
            </w:tcMar>
          </w:tcPr>
          <w:p w:rsidR="003E0009" w:rsidRPr="00E87FDB" w:rsidRDefault="003E0009" w:rsidP="00411012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E8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Risk information is attributed a certain benefit</w:t>
            </w:r>
          </w:p>
        </w:tc>
      </w:tr>
      <w:tr w:rsidR="003E0009" w:rsidRPr="00005B49" w:rsidTr="00E87FDB">
        <w:tc>
          <w:tcPr>
            <w:tcW w:w="2024" w:type="dxa"/>
            <w:vMerge/>
            <w:tcBorders>
              <w:right w:val="nil"/>
            </w:tcBorders>
            <w:shd w:val="clear" w:color="auto" w:fill="FFFFFF" w:themeFill="background1"/>
            <w:tcMar>
              <w:left w:w="98" w:type="dxa"/>
            </w:tcMar>
          </w:tcPr>
          <w:p w:rsidR="003E0009" w:rsidRPr="00E87FDB" w:rsidRDefault="003E0009" w:rsidP="00B512A9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auto"/>
            <w:tcMar>
              <w:left w:w="98" w:type="dxa"/>
            </w:tcMar>
          </w:tcPr>
          <w:p w:rsidR="003E0009" w:rsidRPr="00E87FDB" w:rsidRDefault="003E0009" w:rsidP="008F0404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E87FDB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en"/>
              </w:rPr>
              <w:t>Benefit-</w:t>
            </w:r>
            <w:r w:rsidRPr="00E87FDB">
              <w:rPr>
                <w:rFonts w:ascii="Times New Roman" w:eastAsiaTheme="minorHAnsi" w:hAnsi="Times New Roman" w:cs="Times New Roman"/>
              </w:rPr>
              <w:t>_</w:t>
            </w:r>
            <w:r w:rsidRPr="00E87FDB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contra</w:t>
            </w:r>
          </w:p>
        </w:tc>
        <w:tc>
          <w:tcPr>
            <w:tcW w:w="4355" w:type="dxa"/>
            <w:shd w:val="clear" w:color="auto" w:fill="auto"/>
            <w:tcMar>
              <w:left w:w="98" w:type="dxa"/>
            </w:tcMar>
          </w:tcPr>
          <w:p w:rsidR="003E0009" w:rsidRPr="00E87FDB" w:rsidRDefault="003E0009" w:rsidP="00411012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E87FDB">
              <w:rPr>
                <w:rFonts w:ascii="Times New Roman" w:hAnsi="Times New Roman" w:cs="Times New Roman"/>
                <w:sz w:val="24"/>
                <w:szCs w:val="24"/>
                <w:lang w:val="en"/>
              </w:rPr>
              <w:t>The benefits of risk information are seen critical</w:t>
            </w:r>
          </w:p>
        </w:tc>
      </w:tr>
      <w:tr w:rsidR="003E0009" w:rsidRPr="00005B49" w:rsidTr="00E87FDB">
        <w:tc>
          <w:tcPr>
            <w:tcW w:w="2024" w:type="dxa"/>
            <w:vMerge/>
            <w:tcBorders>
              <w:right w:val="nil"/>
            </w:tcBorders>
            <w:shd w:val="clear" w:color="auto" w:fill="FFFFFF" w:themeFill="background1"/>
            <w:tcMar>
              <w:left w:w="98" w:type="dxa"/>
            </w:tcMar>
          </w:tcPr>
          <w:p w:rsidR="003E0009" w:rsidRPr="00E87FDB" w:rsidRDefault="003E0009" w:rsidP="00B512A9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auto"/>
            <w:tcMar>
              <w:left w:w="98" w:type="dxa"/>
            </w:tcMar>
          </w:tcPr>
          <w:p w:rsidR="003E0009" w:rsidRPr="00E87FDB" w:rsidRDefault="003E0009" w:rsidP="009A5475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E87FDB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Risk_information_sharing</w:t>
            </w:r>
          </w:p>
        </w:tc>
        <w:tc>
          <w:tcPr>
            <w:tcW w:w="4355" w:type="dxa"/>
            <w:shd w:val="clear" w:color="auto" w:fill="auto"/>
            <w:tcMar>
              <w:left w:w="98" w:type="dxa"/>
            </w:tcMar>
          </w:tcPr>
          <w:p w:rsidR="003E0009" w:rsidRPr="00E87FDB" w:rsidRDefault="003E0009" w:rsidP="00051BDA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E87FDB">
              <w:rPr>
                <w:rFonts w:ascii="Times New Roman" w:hAnsi="Times New Roman" w:cs="Times New Roman"/>
                <w:sz w:val="24"/>
                <w:szCs w:val="24"/>
                <w:lang w:val="en"/>
              </w:rPr>
              <w:t>Participants are in favor or against sharing genetic data with third parties / institutions</w:t>
            </w:r>
          </w:p>
        </w:tc>
      </w:tr>
      <w:tr w:rsidR="003E0009" w:rsidRPr="00005B49" w:rsidTr="00E87FDB">
        <w:tc>
          <w:tcPr>
            <w:tcW w:w="2024" w:type="dxa"/>
            <w:vMerge/>
            <w:tcBorders>
              <w:right w:val="nil"/>
            </w:tcBorders>
            <w:shd w:val="clear" w:color="auto" w:fill="FFFFFF" w:themeFill="background1"/>
            <w:tcMar>
              <w:left w:w="98" w:type="dxa"/>
            </w:tcMar>
          </w:tcPr>
          <w:p w:rsidR="003E0009" w:rsidRPr="00E87FDB" w:rsidRDefault="003E0009" w:rsidP="00B512A9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auto"/>
            <w:tcMar>
              <w:left w:w="98" w:type="dxa"/>
            </w:tcMar>
          </w:tcPr>
          <w:p w:rsidR="003E0009" w:rsidRPr="00E87FDB" w:rsidRDefault="003E0009" w:rsidP="009A5475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E87FDB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Risk_burden</w:t>
            </w:r>
          </w:p>
        </w:tc>
        <w:tc>
          <w:tcPr>
            <w:tcW w:w="4355" w:type="dxa"/>
            <w:shd w:val="clear" w:color="auto" w:fill="auto"/>
            <w:tcMar>
              <w:left w:w="98" w:type="dxa"/>
            </w:tcMar>
          </w:tcPr>
          <w:p w:rsidR="003E0009" w:rsidRPr="00E87FDB" w:rsidRDefault="003E0009" w:rsidP="00051BDA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E87FDB">
              <w:rPr>
                <w:rFonts w:ascii="Times New Roman" w:hAnsi="Times New Roman" w:cs="Times New Roman"/>
                <w:sz w:val="24"/>
                <w:szCs w:val="24"/>
                <w:lang w:val="en"/>
              </w:rPr>
              <w:t>Risk information negatively affects well-being and quality of life</w:t>
            </w:r>
          </w:p>
        </w:tc>
      </w:tr>
      <w:tr w:rsidR="003E0009" w:rsidRPr="00005B49" w:rsidTr="00E87FDB">
        <w:tc>
          <w:tcPr>
            <w:tcW w:w="2024" w:type="dxa"/>
            <w:vMerge/>
            <w:tcBorders>
              <w:right w:val="nil"/>
            </w:tcBorders>
            <w:shd w:val="clear" w:color="auto" w:fill="FFFFFF" w:themeFill="background1"/>
            <w:tcMar>
              <w:left w:w="98" w:type="dxa"/>
            </w:tcMar>
          </w:tcPr>
          <w:p w:rsidR="003E0009" w:rsidRPr="00E87FDB" w:rsidRDefault="003E0009" w:rsidP="00B512A9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auto"/>
            <w:tcMar>
              <w:left w:w="98" w:type="dxa"/>
            </w:tcMar>
          </w:tcPr>
          <w:p w:rsidR="003E0009" w:rsidRPr="00E87FDB" w:rsidRDefault="003E0009" w:rsidP="009A5475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E87FDB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Risk_hope</w:t>
            </w:r>
          </w:p>
        </w:tc>
        <w:tc>
          <w:tcPr>
            <w:tcW w:w="4355" w:type="dxa"/>
            <w:shd w:val="clear" w:color="auto" w:fill="auto"/>
            <w:tcMar>
              <w:left w:w="98" w:type="dxa"/>
            </w:tcMar>
          </w:tcPr>
          <w:p w:rsidR="003E0009" w:rsidRPr="00E87FDB" w:rsidRDefault="003E0009" w:rsidP="00051BDA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E87FDB">
              <w:rPr>
                <w:rFonts w:ascii="Times New Roman" w:hAnsi="Times New Roman" w:cs="Times New Roman"/>
                <w:sz w:val="24"/>
                <w:szCs w:val="24"/>
                <w:lang w:val="en"/>
              </w:rPr>
              <w:t>Risk is associated with confidence; The will to stand up to the risk is expressed</w:t>
            </w:r>
          </w:p>
        </w:tc>
      </w:tr>
      <w:tr w:rsidR="003E0009" w:rsidRPr="00005B49" w:rsidTr="00E87FDB">
        <w:tc>
          <w:tcPr>
            <w:tcW w:w="2024" w:type="dxa"/>
            <w:vMerge/>
            <w:tcBorders>
              <w:right w:val="nil"/>
            </w:tcBorders>
            <w:shd w:val="clear" w:color="auto" w:fill="FFFFFF" w:themeFill="background1"/>
            <w:tcMar>
              <w:left w:w="98" w:type="dxa"/>
            </w:tcMar>
          </w:tcPr>
          <w:p w:rsidR="003E0009" w:rsidRPr="00E87FDB" w:rsidRDefault="003E0009" w:rsidP="00B512A9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auto"/>
            <w:tcMar>
              <w:left w:w="98" w:type="dxa"/>
            </w:tcMar>
          </w:tcPr>
          <w:p w:rsidR="003E0009" w:rsidRPr="00E87FDB" w:rsidRDefault="003E0009" w:rsidP="009A5475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E87FDB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Risk_r</w:t>
            </w:r>
            <w:r w:rsidRPr="00E87FDB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en"/>
              </w:rPr>
              <w:t>esponsibility</w:t>
            </w:r>
          </w:p>
        </w:tc>
        <w:tc>
          <w:tcPr>
            <w:tcW w:w="4355" w:type="dxa"/>
            <w:shd w:val="clear" w:color="auto" w:fill="auto"/>
            <w:tcMar>
              <w:left w:w="98" w:type="dxa"/>
            </w:tcMar>
          </w:tcPr>
          <w:p w:rsidR="003E0009" w:rsidRPr="00E87FDB" w:rsidRDefault="003E0009" w:rsidP="00051BDA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E87FDB">
              <w:rPr>
                <w:rFonts w:ascii="Times New Roman" w:hAnsi="Times New Roman" w:cs="Times New Roman"/>
                <w:sz w:val="24"/>
                <w:szCs w:val="24"/>
                <w:lang w:val="en"/>
              </w:rPr>
              <w:t>Risk information appeals to responsibility in a proactive sense</w:t>
            </w:r>
          </w:p>
        </w:tc>
      </w:tr>
      <w:tr w:rsidR="003E0009" w:rsidRPr="00005B49" w:rsidTr="00E87FDB">
        <w:tc>
          <w:tcPr>
            <w:tcW w:w="2024" w:type="dxa"/>
            <w:vMerge w:val="restart"/>
            <w:tcBorders>
              <w:right w:val="nil"/>
            </w:tcBorders>
            <w:shd w:val="clear" w:color="auto" w:fill="FFFFFF" w:themeFill="background1"/>
            <w:tcMar>
              <w:left w:w="98" w:type="dxa"/>
            </w:tcMar>
          </w:tcPr>
          <w:p w:rsidR="003E0009" w:rsidRPr="00E87FDB" w:rsidRDefault="003E0009" w:rsidP="00B512A9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E87FDB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Motivation</w:t>
            </w:r>
          </w:p>
        </w:tc>
        <w:tc>
          <w:tcPr>
            <w:tcW w:w="3260" w:type="dxa"/>
            <w:shd w:val="clear" w:color="auto" w:fill="auto"/>
            <w:tcMar>
              <w:left w:w="98" w:type="dxa"/>
            </w:tcMar>
          </w:tcPr>
          <w:p w:rsidR="003E0009" w:rsidRPr="00E87FDB" w:rsidRDefault="003E0009" w:rsidP="00344A94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E87FDB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en"/>
              </w:rPr>
              <w:t>Attitude_planning</w:t>
            </w:r>
          </w:p>
        </w:tc>
        <w:tc>
          <w:tcPr>
            <w:tcW w:w="4355" w:type="dxa"/>
            <w:shd w:val="clear" w:color="auto" w:fill="auto"/>
            <w:tcMar>
              <w:left w:w="98" w:type="dxa"/>
            </w:tcMar>
          </w:tcPr>
          <w:p w:rsidR="003E0009" w:rsidRPr="00E87FDB" w:rsidRDefault="003E0009" w:rsidP="00051BDA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E87FDB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Evaluation of genetic test regarding life planning</w:t>
            </w:r>
          </w:p>
        </w:tc>
      </w:tr>
      <w:tr w:rsidR="003E0009" w:rsidRPr="00005B49" w:rsidTr="00E87FDB">
        <w:tc>
          <w:tcPr>
            <w:tcW w:w="2024" w:type="dxa"/>
            <w:vMerge/>
            <w:tcBorders>
              <w:right w:val="nil"/>
            </w:tcBorders>
            <w:shd w:val="clear" w:color="auto" w:fill="FFFFFF" w:themeFill="background1"/>
            <w:tcMar>
              <w:left w:w="98" w:type="dxa"/>
            </w:tcMar>
          </w:tcPr>
          <w:p w:rsidR="003E0009" w:rsidRPr="00E87FDB" w:rsidRDefault="003E0009" w:rsidP="00B512A9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auto"/>
            <w:tcMar>
              <w:left w:w="98" w:type="dxa"/>
            </w:tcMar>
          </w:tcPr>
          <w:p w:rsidR="003E0009" w:rsidRPr="00E87FDB" w:rsidRDefault="003E0009" w:rsidP="00344A94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E87FDB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en"/>
              </w:rPr>
              <w:t>Attitude_lifetime</w:t>
            </w:r>
          </w:p>
        </w:tc>
        <w:tc>
          <w:tcPr>
            <w:tcW w:w="4355" w:type="dxa"/>
            <w:shd w:val="clear" w:color="auto" w:fill="auto"/>
            <w:tcMar>
              <w:left w:w="98" w:type="dxa"/>
            </w:tcMar>
          </w:tcPr>
          <w:p w:rsidR="003E0009" w:rsidRPr="00E87FDB" w:rsidRDefault="003E0009" w:rsidP="00B512A9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E87FDB">
              <w:rPr>
                <w:rFonts w:ascii="Times New Roman" w:hAnsi="Times New Roman" w:cs="Times New Roman"/>
                <w:sz w:val="24"/>
                <w:szCs w:val="24"/>
                <w:lang w:val="en"/>
              </w:rPr>
              <w:t>Evaluation of a genetic test regarding the burden of the test result and the remaining lifetime</w:t>
            </w:r>
          </w:p>
        </w:tc>
      </w:tr>
      <w:tr w:rsidR="003E0009" w:rsidRPr="00005B49" w:rsidTr="00E87FDB">
        <w:tc>
          <w:tcPr>
            <w:tcW w:w="2024" w:type="dxa"/>
            <w:vMerge/>
            <w:tcBorders>
              <w:right w:val="nil"/>
            </w:tcBorders>
            <w:shd w:val="clear" w:color="auto" w:fill="FFFFFF" w:themeFill="background1"/>
            <w:tcMar>
              <w:left w:w="98" w:type="dxa"/>
            </w:tcMar>
          </w:tcPr>
          <w:p w:rsidR="003E0009" w:rsidRPr="00E87FDB" w:rsidRDefault="003E0009" w:rsidP="00B512A9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auto"/>
            <w:tcMar>
              <w:left w:w="98" w:type="dxa"/>
            </w:tcMar>
          </w:tcPr>
          <w:p w:rsidR="003E0009" w:rsidRPr="00E87FDB" w:rsidRDefault="003E0009" w:rsidP="008F0404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E87FDB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Attitude_</w:t>
            </w:r>
            <w:r w:rsidRPr="00E87FDB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en"/>
              </w:rPr>
              <w:t>result-dependent</w:t>
            </w:r>
          </w:p>
        </w:tc>
        <w:tc>
          <w:tcPr>
            <w:tcW w:w="4355" w:type="dxa"/>
            <w:shd w:val="clear" w:color="auto" w:fill="auto"/>
            <w:tcMar>
              <w:left w:w="98" w:type="dxa"/>
            </w:tcMar>
          </w:tcPr>
          <w:p w:rsidR="003E0009" w:rsidRPr="00E87FDB" w:rsidRDefault="003E0009" w:rsidP="00B512A9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E87FDB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Ambiguous evaluation depending on yet unknown testing outcome</w:t>
            </w:r>
          </w:p>
        </w:tc>
      </w:tr>
      <w:tr w:rsidR="003E0009" w:rsidRPr="00005B49" w:rsidTr="00E87FDB">
        <w:tc>
          <w:tcPr>
            <w:tcW w:w="2024" w:type="dxa"/>
            <w:vMerge w:val="restart"/>
            <w:tcBorders>
              <w:right w:val="nil"/>
            </w:tcBorders>
            <w:shd w:val="clear" w:color="auto" w:fill="FFFFFF" w:themeFill="background1"/>
            <w:tcMar>
              <w:left w:w="98" w:type="dxa"/>
            </w:tcMar>
          </w:tcPr>
          <w:p w:rsidR="003E0009" w:rsidRPr="00E87FDB" w:rsidRDefault="003E0009" w:rsidP="00B512A9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E87FDB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en"/>
              </w:rPr>
              <w:t>Condition</w:t>
            </w:r>
          </w:p>
        </w:tc>
        <w:tc>
          <w:tcPr>
            <w:tcW w:w="3260" w:type="dxa"/>
            <w:shd w:val="clear" w:color="auto" w:fill="auto"/>
            <w:tcMar>
              <w:left w:w="98" w:type="dxa"/>
            </w:tcMar>
          </w:tcPr>
          <w:p w:rsidR="003E0009" w:rsidRPr="00E87FDB" w:rsidRDefault="003E0009" w:rsidP="009A5475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E87FDB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en"/>
              </w:rPr>
              <w:t>Condition</w:t>
            </w:r>
            <w:r w:rsidRPr="00E87FDB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_</w:t>
            </w:r>
            <w:r w:rsidRPr="00E87FDB">
              <w:rPr>
                <w:rStyle w:val="FuzeileZchn"/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 </w:t>
            </w:r>
            <w:r w:rsidRPr="00E87FDB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en"/>
              </w:rPr>
              <w:t>treatable</w:t>
            </w:r>
          </w:p>
        </w:tc>
        <w:tc>
          <w:tcPr>
            <w:tcW w:w="4355" w:type="dxa"/>
            <w:shd w:val="clear" w:color="auto" w:fill="auto"/>
            <w:tcMar>
              <w:left w:w="98" w:type="dxa"/>
            </w:tcMar>
          </w:tcPr>
          <w:p w:rsidR="003E0009" w:rsidRPr="00E87FDB" w:rsidRDefault="003E0009" w:rsidP="00051BDA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E87FDB">
              <w:rPr>
                <w:rFonts w:ascii="Times New Roman" w:hAnsi="Times New Roman" w:cs="Times New Roman"/>
                <w:sz w:val="24"/>
                <w:szCs w:val="24"/>
                <w:lang w:val="en"/>
              </w:rPr>
              <w:t>Condition for the decision for a genetic test is the treatability or prevention options of a disease</w:t>
            </w:r>
          </w:p>
        </w:tc>
      </w:tr>
      <w:tr w:rsidR="003E0009" w:rsidRPr="00005B49" w:rsidTr="00E87FDB">
        <w:tc>
          <w:tcPr>
            <w:tcW w:w="2024" w:type="dxa"/>
            <w:vMerge/>
            <w:tcBorders>
              <w:right w:val="nil"/>
            </w:tcBorders>
            <w:shd w:val="clear" w:color="auto" w:fill="FFFFFF" w:themeFill="background1"/>
            <w:tcMar>
              <w:left w:w="98" w:type="dxa"/>
            </w:tcMar>
          </w:tcPr>
          <w:p w:rsidR="003E0009" w:rsidRPr="00E87FDB" w:rsidRDefault="003E0009" w:rsidP="00B512A9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auto"/>
            <w:tcMar>
              <w:left w:w="98" w:type="dxa"/>
            </w:tcMar>
          </w:tcPr>
          <w:p w:rsidR="003E0009" w:rsidRPr="00E87FDB" w:rsidRDefault="003E0009" w:rsidP="009A5475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E87FDB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en"/>
              </w:rPr>
              <w:t>Condition</w:t>
            </w:r>
            <w:r w:rsidRPr="00E87FDB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_indication</w:t>
            </w:r>
          </w:p>
        </w:tc>
        <w:tc>
          <w:tcPr>
            <w:tcW w:w="4355" w:type="dxa"/>
            <w:shd w:val="clear" w:color="auto" w:fill="auto"/>
            <w:tcMar>
              <w:left w:w="98" w:type="dxa"/>
            </w:tcMar>
          </w:tcPr>
          <w:p w:rsidR="003E0009" w:rsidRPr="00E87FDB" w:rsidRDefault="003E0009" w:rsidP="003E0009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E87FDB">
              <w:rPr>
                <w:rFonts w:ascii="Times New Roman" w:hAnsi="Times New Roman" w:cs="Times New Roman"/>
                <w:sz w:val="24"/>
                <w:szCs w:val="24"/>
                <w:lang w:val="en"/>
              </w:rPr>
              <w:t>Condition for the decision for a genetic test is specific evidence (e.g., family history)</w:t>
            </w:r>
          </w:p>
        </w:tc>
      </w:tr>
      <w:tr w:rsidR="00657E47" w:rsidRPr="00005B49" w:rsidTr="00E87FDB">
        <w:tc>
          <w:tcPr>
            <w:tcW w:w="2024" w:type="dxa"/>
            <w:vMerge w:val="restart"/>
            <w:tcBorders>
              <w:right w:val="nil"/>
            </w:tcBorders>
            <w:shd w:val="clear" w:color="auto" w:fill="FFFFFF" w:themeFill="background1"/>
            <w:tcMar>
              <w:left w:w="98" w:type="dxa"/>
            </w:tcMar>
          </w:tcPr>
          <w:p w:rsidR="00657E47" w:rsidRPr="00E87FDB" w:rsidRDefault="009A5475" w:rsidP="00B512A9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E87FDB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en"/>
              </w:rPr>
              <w:t>Dealing with numbers / probabilities</w:t>
            </w:r>
            <w:r w:rsidR="00657E47" w:rsidRPr="00E87FDB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260" w:type="dxa"/>
            <w:shd w:val="clear" w:color="auto" w:fill="auto"/>
            <w:tcMar>
              <w:left w:w="98" w:type="dxa"/>
            </w:tcMar>
          </w:tcPr>
          <w:p w:rsidR="00657E47" w:rsidRPr="00E87FDB" w:rsidRDefault="009A5475" w:rsidP="008F0404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E87FDB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en"/>
              </w:rPr>
              <w:t>Include numbers / probabilities</w:t>
            </w:r>
          </w:p>
        </w:tc>
        <w:tc>
          <w:tcPr>
            <w:tcW w:w="4355" w:type="dxa"/>
            <w:shd w:val="clear" w:color="auto" w:fill="auto"/>
            <w:tcMar>
              <w:left w:w="98" w:type="dxa"/>
            </w:tcMar>
          </w:tcPr>
          <w:p w:rsidR="00657E47" w:rsidRPr="00E87FDB" w:rsidRDefault="00657E47" w:rsidP="00B512A9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E87FDB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Statement</w:t>
            </w:r>
            <w:r w:rsidR="00431C5B" w:rsidRPr="00E87FDB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7FDB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refer</w:t>
            </w:r>
            <w:r w:rsidR="003E0009" w:rsidRPr="00E87FDB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s</w:t>
            </w:r>
            <w:r w:rsidRPr="00E87FDB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to </w:t>
            </w:r>
            <w:r w:rsidR="0001564F" w:rsidRPr="00E87FDB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numbers/ probabilities</w:t>
            </w:r>
          </w:p>
        </w:tc>
      </w:tr>
      <w:tr w:rsidR="00657E47" w:rsidRPr="00005B49" w:rsidTr="00E87FDB">
        <w:tc>
          <w:tcPr>
            <w:tcW w:w="2024" w:type="dxa"/>
            <w:vMerge/>
            <w:tcBorders>
              <w:right w:val="nil"/>
            </w:tcBorders>
            <w:shd w:val="clear" w:color="auto" w:fill="FFFFFF" w:themeFill="background1"/>
            <w:tcMar>
              <w:left w:w="98" w:type="dxa"/>
            </w:tcMar>
          </w:tcPr>
          <w:p w:rsidR="00657E47" w:rsidRPr="00E87FDB" w:rsidRDefault="00657E47" w:rsidP="00B512A9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auto"/>
            <w:tcMar>
              <w:left w:w="98" w:type="dxa"/>
            </w:tcMar>
          </w:tcPr>
          <w:p w:rsidR="00657E47" w:rsidRPr="00E87FDB" w:rsidRDefault="009A5475" w:rsidP="00B512A9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/>
              </w:rPr>
            </w:pPr>
            <w:r w:rsidRPr="00E87FDB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/>
              </w:rPr>
              <w:t>Include</w:t>
            </w:r>
            <w:r w:rsidR="005559C4" w:rsidRPr="00E87FDB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8F0404" w:rsidRPr="00E87FDB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/>
              </w:rPr>
              <w:t>an</w:t>
            </w:r>
            <w:r w:rsidR="003E0009" w:rsidRPr="00E87FDB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/>
              </w:rPr>
              <w:t>um</w:t>
            </w:r>
            <w:r w:rsidR="008F0404" w:rsidRPr="00E87FDB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/>
              </w:rPr>
              <w:t>erical risk</w:t>
            </w:r>
          </w:p>
        </w:tc>
        <w:tc>
          <w:tcPr>
            <w:tcW w:w="4355" w:type="dxa"/>
            <w:shd w:val="clear" w:color="auto" w:fill="auto"/>
            <w:tcMar>
              <w:left w:w="98" w:type="dxa"/>
            </w:tcMar>
          </w:tcPr>
          <w:p w:rsidR="00657E47" w:rsidRPr="00E87FDB" w:rsidRDefault="003E0009" w:rsidP="003E0009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E87FDB">
              <w:rPr>
                <w:rFonts w:ascii="Times New Roman" w:hAnsi="Times New Roman" w:cs="Times New Roman"/>
                <w:sz w:val="24"/>
                <w:szCs w:val="24"/>
                <w:lang w:val="en"/>
              </w:rPr>
              <w:t>Statement is</w:t>
            </w:r>
            <w:r w:rsidR="008F0404" w:rsidRPr="00E87FDB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E87FDB">
              <w:rPr>
                <w:rFonts w:ascii="Times New Roman" w:hAnsi="Times New Roman" w:cs="Times New Roman"/>
                <w:sz w:val="24"/>
                <w:szCs w:val="24"/>
                <w:lang w:val="en"/>
              </w:rPr>
              <w:t>referring to</w:t>
            </w:r>
            <w:r w:rsidR="008F0404" w:rsidRPr="00E87FDB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risk that is not expressed in numbers, but as a possibility that is based on experience or observation. Comparisons, relationships are used and other factors such as age, life situation are included</w:t>
            </w:r>
          </w:p>
        </w:tc>
      </w:tr>
      <w:tr w:rsidR="009A5475" w:rsidRPr="00005B49" w:rsidTr="00E87FDB">
        <w:tc>
          <w:tcPr>
            <w:tcW w:w="2024" w:type="dxa"/>
            <w:vMerge/>
            <w:tcBorders>
              <w:right w:val="nil"/>
            </w:tcBorders>
            <w:shd w:val="clear" w:color="auto" w:fill="FFFFFF" w:themeFill="background1"/>
            <w:tcMar>
              <w:left w:w="98" w:type="dxa"/>
            </w:tcMar>
          </w:tcPr>
          <w:p w:rsidR="009A5475" w:rsidRPr="00E87FDB" w:rsidRDefault="009A5475" w:rsidP="00B512A9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auto"/>
            <w:tcMar>
              <w:left w:w="98" w:type="dxa"/>
            </w:tcMar>
          </w:tcPr>
          <w:p w:rsidR="009A5475" w:rsidRPr="00E87FDB" w:rsidRDefault="009A5475" w:rsidP="00BB683D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/>
              </w:rPr>
            </w:pPr>
            <w:r w:rsidRPr="00E87FDB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en"/>
              </w:rPr>
              <w:t>Lack of interpretability</w:t>
            </w:r>
          </w:p>
        </w:tc>
        <w:tc>
          <w:tcPr>
            <w:tcW w:w="4355" w:type="dxa"/>
            <w:shd w:val="clear" w:color="auto" w:fill="auto"/>
            <w:tcMar>
              <w:left w:w="98" w:type="dxa"/>
            </w:tcMar>
          </w:tcPr>
          <w:p w:rsidR="009A5475" w:rsidRPr="00E87FDB" w:rsidRDefault="00051BDA" w:rsidP="00051BDA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E87FDB">
              <w:rPr>
                <w:rFonts w:ascii="Times New Roman" w:hAnsi="Times New Roman" w:cs="Times New Roman"/>
                <w:sz w:val="24"/>
                <w:szCs w:val="24"/>
                <w:lang w:val="en"/>
              </w:rPr>
              <w:t>Interpretation of risk information overwhelms the participants</w:t>
            </w:r>
          </w:p>
        </w:tc>
      </w:tr>
      <w:tr w:rsidR="009A5475" w:rsidRPr="00005B49" w:rsidTr="00E87FDB">
        <w:tc>
          <w:tcPr>
            <w:tcW w:w="2024" w:type="dxa"/>
            <w:vMerge/>
            <w:tcBorders>
              <w:right w:val="nil"/>
            </w:tcBorders>
            <w:shd w:val="clear" w:color="auto" w:fill="FFFFFF" w:themeFill="background1"/>
            <w:tcMar>
              <w:left w:w="98" w:type="dxa"/>
            </w:tcMar>
          </w:tcPr>
          <w:p w:rsidR="009A5475" w:rsidRPr="00E87FDB" w:rsidRDefault="009A5475" w:rsidP="00B512A9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auto"/>
            <w:tcMar>
              <w:left w:w="98" w:type="dxa"/>
            </w:tcMar>
          </w:tcPr>
          <w:p w:rsidR="009A5475" w:rsidRPr="00E87FDB" w:rsidRDefault="009A5475" w:rsidP="00B512A9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/>
              </w:rPr>
            </w:pPr>
            <w:r w:rsidRPr="00E87FDB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/>
              </w:rPr>
              <w:t>Experiences based knowledge</w:t>
            </w:r>
          </w:p>
        </w:tc>
        <w:tc>
          <w:tcPr>
            <w:tcW w:w="4355" w:type="dxa"/>
            <w:shd w:val="clear" w:color="auto" w:fill="auto"/>
            <w:tcMar>
              <w:left w:w="98" w:type="dxa"/>
            </w:tcMar>
          </w:tcPr>
          <w:p w:rsidR="009A5475" w:rsidRPr="00E87FDB" w:rsidRDefault="009A5475" w:rsidP="003E0009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E87FDB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Statements that </w:t>
            </w:r>
            <w:r w:rsidR="003E0009" w:rsidRPr="00E87FDB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rely </w:t>
            </w:r>
            <w:r w:rsidRPr="00E87FDB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on own experienc</w:t>
            </w:r>
            <w:r w:rsidR="00431C5B" w:rsidRPr="00E87FDB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e</w:t>
            </w:r>
            <w:r w:rsidRPr="00E87FDB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or everyday life knowledge </w:t>
            </w:r>
          </w:p>
        </w:tc>
      </w:tr>
      <w:tr w:rsidR="009A5475" w:rsidRPr="00005B49" w:rsidTr="00E87FDB">
        <w:tc>
          <w:tcPr>
            <w:tcW w:w="2024" w:type="dxa"/>
            <w:vMerge w:val="restart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9A5475" w:rsidRPr="00E87FDB" w:rsidRDefault="003E0009" w:rsidP="00B512A9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/>
              </w:rPr>
            </w:pPr>
            <w:r w:rsidRPr="00E87FDB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/>
              </w:rPr>
              <w:lastRenderedPageBreak/>
              <w:t>Uncertainty</w:t>
            </w:r>
          </w:p>
        </w:tc>
        <w:tc>
          <w:tcPr>
            <w:tcW w:w="3260" w:type="dxa"/>
            <w:shd w:val="clear" w:color="auto" w:fill="auto"/>
            <w:tcMar>
              <w:left w:w="98" w:type="dxa"/>
            </w:tcMar>
          </w:tcPr>
          <w:p w:rsidR="009A5475" w:rsidRPr="00E87FDB" w:rsidRDefault="009A5475" w:rsidP="00B512A9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E87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Aleatory uncertainty</w:t>
            </w:r>
          </w:p>
        </w:tc>
        <w:tc>
          <w:tcPr>
            <w:tcW w:w="4355" w:type="dxa"/>
            <w:shd w:val="clear" w:color="auto" w:fill="auto"/>
            <w:tcMar>
              <w:left w:w="98" w:type="dxa"/>
            </w:tcMar>
          </w:tcPr>
          <w:p w:rsidR="009A5475" w:rsidRPr="00E87FDB" w:rsidRDefault="009A5475" w:rsidP="00B512A9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E87FDB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Statements that </w:t>
            </w:r>
            <w:r w:rsidRPr="00E8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refer to the natural unpredictability of future events</w:t>
            </w:r>
          </w:p>
        </w:tc>
      </w:tr>
      <w:tr w:rsidR="009A5475" w:rsidRPr="00005B49" w:rsidTr="00E87FDB">
        <w:tc>
          <w:tcPr>
            <w:tcW w:w="2024" w:type="dxa"/>
            <w:vMerge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9A5475" w:rsidRPr="00E87FDB" w:rsidRDefault="009A5475" w:rsidP="00B512A9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auto"/>
            <w:tcMar>
              <w:left w:w="98" w:type="dxa"/>
            </w:tcMar>
          </w:tcPr>
          <w:p w:rsidR="009A5475" w:rsidRPr="00E87FDB" w:rsidRDefault="003E0009" w:rsidP="00CC72CF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E87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="009A5475" w:rsidRPr="00E87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pistemic uncertainty</w:t>
            </w:r>
          </w:p>
        </w:tc>
        <w:tc>
          <w:tcPr>
            <w:tcW w:w="4355" w:type="dxa"/>
            <w:shd w:val="clear" w:color="auto" w:fill="auto"/>
            <w:tcMar>
              <w:left w:w="98" w:type="dxa"/>
            </w:tcMar>
          </w:tcPr>
          <w:p w:rsidR="009A5475" w:rsidRPr="00E87FDB" w:rsidRDefault="009A5475" w:rsidP="00B512A9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E8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Statements</w:t>
            </w:r>
            <w:r w:rsidR="003E0009" w:rsidRPr="00E8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that</w:t>
            </w:r>
            <w:r w:rsidRPr="00E8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refer to lacking knowledge regarding the accuracy of a risk prediction or its applicability to a case</w:t>
            </w:r>
          </w:p>
        </w:tc>
      </w:tr>
    </w:tbl>
    <w:p w:rsidR="00657E47" w:rsidRPr="00E87FDB" w:rsidRDefault="00657E47" w:rsidP="00657E47">
      <w:pPr>
        <w:suppressAutoHyphens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en-US"/>
        </w:rPr>
      </w:pPr>
    </w:p>
    <w:p w:rsidR="008C5B53" w:rsidRPr="00E87FDB" w:rsidRDefault="001D7DF0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8C5B53" w:rsidRPr="00E87FDB">
      <w:footerReference w:type="default" r:id="rId7"/>
      <w:pgSz w:w="11906" w:h="16838"/>
      <w:pgMar w:top="1134" w:right="1134" w:bottom="1134" w:left="1134" w:header="0" w:footer="0" w:gutter="0"/>
      <w:cols w:space="720"/>
      <w:formProt w:val="0"/>
      <w:docGrid w:linePitch="31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DF0" w:rsidRDefault="001D7DF0">
      <w:pPr>
        <w:spacing w:after="0" w:line="240" w:lineRule="auto"/>
      </w:pPr>
      <w:r>
        <w:separator/>
      </w:r>
    </w:p>
  </w:endnote>
  <w:endnote w:type="continuationSeparator" w:id="0">
    <w:p w:rsidR="001D7DF0" w:rsidRDefault="001D7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0739472"/>
      <w:docPartObj>
        <w:docPartGallery w:val="Page Numbers (Bottom of Page)"/>
        <w:docPartUnique/>
      </w:docPartObj>
    </w:sdtPr>
    <w:sdtEndPr/>
    <w:sdtContent>
      <w:p w:rsidR="00A83BD8" w:rsidRDefault="00657E4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B49">
          <w:rPr>
            <w:noProof/>
          </w:rPr>
          <w:t>2</w:t>
        </w:r>
        <w:r>
          <w:fldChar w:fldCharType="end"/>
        </w:r>
      </w:p>
    </w:sdtContent>
  </w:sdt>
  <w:p w:rsidR="00A83BD8" w:rsidRDefault="001D7DF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DF0" w:rsidRDefault="001D7DF0">
      <w:pPr>
        <w:spacing w:after="0" w:line="240" w:lineRule="auto"/>
      </w:pPr>
      <w:r>
        <w:separator/>
      </w:r>
    </w:p>
  </w:footnote>
  <w:footnote w:type="continuationSeparator" w:id="0">
    <w:p w:rsidR="001D7DF0" w:rsidRDefault="001D7D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E47"/>
    <w:rsid w:val="00005B49"/>
    <w:rsid w:val="0001564F"/>
    <w:rsid w:val="00051BDA"/>
    <w:rsid w:val="000A2104"/>
    <w:rsid w:val="0012392A"/>
    <w:rsid w:val="00133B78"/>
    <w:rsid w:val="00177E1C"/>
    <w:rsid w:val="001D7DF0"/>
    <w:rsid w:val="00344A94"/>
    <w:rsid w:val="00347892"/>
    <w:rsid w:val="003A0FEB"/>
    <w:rsid w:val="003E0009"/>
    <w:rsid w:val="00411012"/>
    <w:rsid w:val="00411574"/>
    <w:rsid w:val="00431C5B"/>
    <w:rsid w:val="005559C4"/>
    <w:rsid w:val="00657E47"/>
    <w:rsid w:val="0081377E"/>
    <w:rsid w:val="008F0404"/>
    <w:rsid w:val="00971AA6"/>
    <w:rsid w:val="009A5475"/>
    <w:rsid w:val="00A006BB"/>
    <w:rsid w:val="00B80DBB"/>
    <w:rsid w:val="00BC35C1"/>
    <w:rsid w:val="00CC72CF"/>
    <w:rsid w:val="00D2620D"/>
    <w:rsid w:val="00E146B0"/>
    <w:rsid w:val="00E8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48DB8"/>
  <w15:docId w15:val="{42A25D7D-67D7-4031-A1CB-10973AB5E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7E47"/>
    <w:pPr>
      <w:suppressAutoHyphens/>
    </w:pPr>
    <w:rPr>
      <w:rFonts w:ascii="Calibri" w:eastAsia="Calibri" w:hAnsi="Calibri"/>
      <w:color w:val="00000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zeileZchn">
    <w:name w:val="Fußzeile Zchn"/>
    <w:basedOn w:val="Absatz-Standardschriftart"/>
    <w:link w:val="Fuzeile"/>
    <w:uiPriority w:val="99"/>
    <w:qFormat/>
    <w:rsid w:val="00657E47"/>
  </w:style>
  <w:style w:type="paragraph" w:styleId="Fuzeile">
    <w:name w:val="footer"/>
    <w:basedOn w:val="Standard"/>
    <w:link w:val="FuzeileZchn"/>
    <w:uiPriority w:val="99"/>
    <w:unhideWhenUsed/>
    <w:rsid w:val="00657E4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  <w:color w:val="auto"/>
    </w:rPr>
  </w:style>
  <w:style w:type="character" w:customStyle="1" w:styleId="FuzeileZchn1">
    <w:name w:val="Fußzeile Zchn1"/>
    <w:basedOn w:val="Absatz-Standardschriftart"/>
    <w:uiPriority w:val="99"/>
    <w:semiHidden/>
    <w:rsid w:val="00657E47"/>
    <w:rPr>
      <w:rFonts w:ascii="Calibri" w:eastAsia="Calibri" w:hAnsi="Calibri"/>
      <w:color w:val="00000A"/>
    </w:rPr>
  </w:style>
  <w:style w:type="table" w:customStyle="1" w:styleId="Tabellenraster2">
    <w:name w:val="Tabellenraster2"/>
    <w:basedOn w:val="NormaleTabelle"/>
    <w:next w:val="Tabellenraster"/>
    <w:uiPriority w:val="59"/>
    <w:rsid w:val="00657E47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657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bsatz-Standardschriftart"/>
    <w:rsid w:val="00344A9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0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0009"/>
    <w:rPr>
      <w:rFonts w:ascii="Tahoma" w:eastAsia="Calibri" w:hAnsi="Tahoma" w:cs="Tahoma"/>
      <w:color w:val="00000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05B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bine.woehlke@medizin.uni-goettingen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Schaper, Manuel</dc:creator>
  <cp:lastModifiedBy>Woehlke, Sabine</cp:lastModifiedBy>
  <cp:revision>2</cp:revision>
  <dcterms:created xsi:type="dcterms:W3CDTF">2019-04-16T07:52:00Z</dcterms:created>
  <dcterms:modified xsi:type="dcterms:W3CDTF">2019-04-16T07:52:00Z</dcterms:modified>
</cp:coreProperties>
</file>