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34" w:rsidRPr="00ED1780" w:rsidRDefault="00593D34" w:rsidP="00593D34">
      <w:pPr>
        <w:pStyle w:val="Caption"/>
        <w:keepNext/>
        <w:rPr>
          <w:rFonts w:ascii="Times New Roman" w:hAnsi="Times New Roman" w:cs="Times New Roman"/>
        </w:rPr>
      </w:pPr>
      <w:bookmarkStart w:id="0" w:name="_GoBack"/>
      <w:bookmarkEnd w:id="0"/>
      <w:r w:rsidRPr="00ED1780">
        <w:rPr>
          <w:rFonts w:ascii="Times New Roman" w:hAnsi="Times New Roman" w:cs="Times New Roman"/>
        </w:rPr>
        <w:t>Supplementary Table 1 Mathematical expressions for the considered inhibition types and their description.</w:t>
      </w:r>
    </w:p>
    <w:tbl>
      <w:tblPr>
        <w:tblStyle w:val="TableGrid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2788"/>
        <w:gridCol w:w="4058"/>
      </w:tblGrid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Inhibition type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Equation</w:t>
            </w:r>
          </w:p>
        </w:tc>
        <w:tc>
          <w:tcPr>
            <w:tcW w:w="405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Competitive</w:t>
            </w:r>
          </w:p>
        </w:tc>
        <w:tc>
          <w:tcPr>
            <w:tcW w:w="278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)+[S]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Inhibitor binds on the same active site as substrate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Partial competitive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*[S</m:t>
                    </m:r>
                    <m:r>
                      <w:rPr>
                        <w:rFonts w:ascii="Cambria Math" w:hAnsi="Cambria Math" w:cs="Times New Roman" w:hint="eastAsia"/>
                        <w:sz w:val="18"/>
                        <w:szCs w:val="18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num>
                      <m:den>
                        <m: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αK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+[S]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Competitive inhibition with residual activity and different affinity for the substrate towards the enzyme and enzyme-inhibitor complex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Non-competitive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 w:hint="eastAsia"/>
                            <w:sz w:val="18"/>
                            <w:szCs w:val="18"/>
                          </w:rPr>
                          <m:t>+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S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Inhibitor binds on an allosteric site of the enzyme.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Partial non-Competitive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βI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S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Non-competitive inhibition with residual activity but equal affinity of the substrate towards the enzyme and enzyme-inhibitor complex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Uncompetitive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+[S](1+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Inhibitor binds only to the enzyme-substrate complex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Partial uncompetitive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*[S</m:t>
                    </m:r>
                    <m:r>
                      <w:rPr>
                        <w:rFonts w:ascii="Cambria Math" w:hAnsi="Cambria Math" w:cs="Times New Roman" w:hint="eastAsia"/>
                        <w:sz w:val="18"/>
                        <w:szCs w:val="18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+[S]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αK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den>
                    </m:f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Uncompetitive inhibition with residual activity and affinity for the substrate towards the enzyme-inhibitor complex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Mixed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)+[S](1+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α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Inhibitor has different affinity to the enzyme and enzyme-substrate complex  but without residual activity.</w:t>
            </w:r>
          </w:p>
        </w:tc>
      </w:tr>
      <w:tr w:rsidR="00593D34" w:rsidRPr="00283974" w:rsidTr="002F15C1">
        <w:trPr>
          <w:jc w:val="center"/>
        </w:trPr>
        <w:tc>
          <w:tcPr>
            <w:tcW w:w="2457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b/>
                <w:sz w:val="18"/>
                <w:szCs w:val="18"/>
              </w:rPr>
              <w:t>Partial Mixed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93D34" w:rsidRPr="00ED1780" w:rsidRDefault="00A047B6" w:rsidP="002F15C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*(1+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βI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αK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)+[S](1+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α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05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93D34" w:rsidRPr="00ED1780" w:rsidRDefault="00593D34" w:rsidP="002F15C1">
            <w:pPr>
              <w:pStyle w:val="NoSpacing"/>
              <w:keepNext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</w:rPr>
              <w:t>Inhibitor has different affinity to the enzyme and enzyme-substrate complex with residual activity.</w:t>
            </w:r>
          </w:p>
        </w:tc>
      </w:tr>
    </w:tbl>
    <w:p w:rsidR="00593D34" w:rsidRPr="00ED1780" w:rsidRDefault="00593D34" w:rsidP="00593D34">
      <w:pPr>
        <w:pStyle w:val="Caption"/>
        <w:rPr>
          <w:rFonts w:ascii="Times New Roman" w:hAnsi="Times New Roman" w:cs="Times New Roman"/>
        </w:rPr>
      </w:pPr>
      <w:r w:rsidRPr="00ED1780">
        <w:rPr>
          <w:rFonts w:ascii="Times New Roman" w:hAnsi="Times New Roman" w:cs="Times New Roman"/>
        </w:rPr>
        <w:t>V</w:t>
      </w:r>
      <w:r w:rsidRPr="00ED1780">
        <w:rPr>
          <w:rFonts w:ascii="Times New Roman" w:hAnsi="Times New Roman" w:cs="Times New Roman"/>
          <w:vertAlign w:val="subscript"/>
        </w:rPr>
        <w:t>0</w:t>
      </w:r>
      <w:r w:rsidRPr="00ED1780">
        <w:rPr>
          <w:rFonts w:ascii="Times New Roman" w:hAnsi="Times New Roman" w:cs="Times New Roman"/>
        </w:rPr>
        <w:t>, biotransformation rate; V</w:t>
      </w:r>
      <w:r w:rsidRPr="00ED1780">
        <w:rPr>
          <w:rFonts w:ascii="Times New Roman" w:hAnsi="Times New Roman" w:cs="Times New Roman"/>
          <w:vertAlign w:val="subscript"/>
        </w:rPr>
        <w:t>max</w:t>
      </w:r>
      <w:r w:rsidRPr="00ED1780">
        <w:rPr>
          <w:rFonts w:ascii="Times New Roman" w:hAnsi="Times New Roman" w:cs="Times New Roman"/>
        </w:rPr>
        <w:t xml:space="preserve">, maximal </w:t>
      </w:r>
      <w:proofErr w:type="spellStart"/>
      <w:r w:rsidRPr="00ED1780">
        <w:rPr>
          <w:rFonts w:ascii="Times New Roman" w:hAnsi="Times New Roman" w:cs="Times New Roman"/>
        </w:rPr>
        <w:t>biotranformation</w:t>
      </w:r>
      <w:proofErr w:type="spellEnd"/>
      <w:r w:rsidRPr="00ED1780">
        <w:rPr>
          <w:rFonts w:ascii="Times New Roman" w:hAnsi="Times New Roman" w:cs="Times New Roman"/>
        </w:rPr>
        <w:t xml:space="preserve"> rate; K</w:t>
      </w:r>
      <w:r w:rsidRPr="00ED1780">
        <w:rPr>
          <w:rFonts w:ascii="Times New Roman" w:hAnsi="Times New Roman" w:cs="Times New Roman"/>
          <w:vertAlign w:val="subscript"/>
        </w:rPr>
        <w:t>m</w:t>
      </w:r>
      <w:r w:rsidRPr="00ED1780">
        <w:rPr>
          <w:rFonts w:ascii="Times New Roman" w:hAnsi="Times New Roman" w:cs="Times New Roman"/>
        </w:rPr>
        <w:t>, Michaelis-Menten constant; Ki, inhibition constant; [S], substrate concentration; α affinity constant modulator for enzyme-inhibitor complex; β catalytic rate constant modulator for enzyme-inhibitor-substrate complex</w:t>
      </w:r>
    </w:p>
    <w:p w:rsidR="00EF05C0" w:rsidRDefault="00EF05C0">
      <w:pPr>
        <w:rPr>
          <w:lang w:val="en-US"/>
        </w:rPr>
      </w:pPr>
    </w:p>
    <w:p w:rsidR="00E908C7" w:rsidRPr="00ED1780" w:rsidRDefault="00E908C7" w:rsidP="00CB094D">
      <w:pPr>
        <w:pStyle w:val="Caption"/>
        <w:rPr>
          <w:rFonts w:ascii="Times New Roman" w:hAnsi="Times New Roman" w:cs="Times New Roman"/>
        </w:rPr>
      </w:pPr>
      <w:r w:rsidRPr="00ED1780">
        <w:rPr>
          <w:rFonts w:ascii="Times New Roman" w:hAnsi="Times New Roman" w:cs="Times New Roman"/>
        </w:rPr>
        <w:t xml:space="preserve">Supplementary Table 2 Used substrate and mycotoxin concentrations for the investigation of inhibition type in porcine hepatic microsomes. Only substrates (corresponding to a specific </w:t>
      </w:r>
      <w:r w:rsidR="00283974" w:rsidRPr="00ED1780">
        <w:rPr>
          <w:rFonts w:ascii="Times New Roman" w:hAnsi="Times New Roman" w:cs="Times New Roman"/>
        </w:rPr>
        <w:t xml:space="preserve">CYP </w:t>
      </w:r>
      <w:r w:rsidRPr="00ED1780">
        <w:rPr>
          <w:rFonts w:ascii="Times New Roman" w:hAnsi="Times New Roman" w:cs="Times New Roman"/>
        </w:rPr>
        <w:t xml:space="preserve">enzyme) for which residual </w:t>
      </w:r>
      <w:r w:rsidR="00283974" w:rsidRPr="00ED1780">
        <w:rPr>
          <w:rFonts w:ascii="Times New Roman" w:hAnsi="Times New Roman" w:cs="Times New Roman"/>
        </w:rPr>
        <w:t xml:space="preserve">CYP </w:t>
      </w:r>
      <w:r w:rsidRPr="00ED1780">
        <w:rPr>
          <w:rFonts w:ascii="Times New Roman" w:hAnsi="Times New Roman" w:cs="Times New Roman"/>
        </w:rPr>
        <w:t>enzyme activity is &lt;80% in the orientation experiment were selected</w:t>
      </w:r>
    </w:p>
    <w:tbl>
      <w:tblPr>
        <w:tblStyle w:val="Lichtearcering1"/>
        <w:tblW w:w="0" w:type="auto"/>
        <w:tblLook w:val="04A0" w:firstRow="1" w:lastRow="0" w:firstColumn="1" w:lastColumn="0" w:noHBand="0" w:noVBand="1"/>
      </w:tblPr>
      <w:tblGrid>
        <w:gridCol w:w="1667"/>
        <w:gridCol w:w="1189"/>
        <w:gridCol w:w="1258"/>
        <w:gridCol w:w="1251"/>
        <w:gridCol w:w="1235"/>
        <w:gridCol w:w="1236"/>
        <w:gridCol w:w="1236"/>
      </w:tblGrid>
      <w:tr w:rsidR="00E908C7" w:rsidRPr="00283974" w:rsidTr="00A4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7"/>
            <w:tcBorders>
              <w:bottom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Substrate concentrations (µM)</w:t>
            </w:r>
          </w:p>
        </w:tc>
      </w:tr>
      <w:tr w:rsidR="00E908C7" w:rsidRPr="00283974" w:rsidTr="00A4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 (CYP2C)</w:t>
            </w:r>
          </w:p>
        </w:tc>
        <w:tc>
          <w:tcPr>
            <w:tcW w:w="1189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35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36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36" w:type="dxa"/>
            <w:tcBorders>
              <w:top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</w:tr>
      <w:tr w:rsidR="00E908C7" w:rsidRPr="00283974" w:rsidTr="00A4111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DXM (CYP2D)</w:t>
            </w:r>
          </w:p>
        </w:tc>
        <w:tc>
          <w:tcPr>
            <w:tcW w:w="1189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1258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51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E908C7" w:rsidRPr="00283974" w:rsidTr="00A4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MDZ (CYP3A)</w:t>
            </w:r>
          </w:p>
        </w:tc>
        <w:tc>
          <w:tcPr>
            <w:tcW w:w="1189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58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</w:tr>
      <w:tr w:rsidR="00E908C7" w:rsidRPr="00283974" w:rsidTr="00A4111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 (CYP2A)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E908C7" w:rsidRPr="00283974" w:rsidTr="00A4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Mycotoxin concentrations for each substrate</w:t>
            </w:r>
            <w:r w:rsidR="00283974"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(µM)</w:t>
            </w:r>
          </w:p>
        </w:tc>
      </w:tr>
      <w:tr w:rsidR="00E908C7" w:rsidRPr="00283974" w:rsidTr="00A4111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18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ZEA-DXM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70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908C7" w:rsidRPr="00283974" w:rsidTr="00A4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ZEA-TB</w:t>
            </w:r>
          </w:p>
        </w:tc>
        <w:tc>
          <w:tcPr>
            <w:tcW w:w="1189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</w:t>
            </w:r>
          </w:p>
        </w:tc>
        <w:tc>
          <w:tcPr>
            <w:tcW w:w="1251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E908C7" w:rsidRPr="00283974" w:rsidTr="00A4111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ZEA-MDZ</w:t>
            </w:r>
          </w:p>
        </w:tc>
        <w:tc>
          <w:tcPr>
            <w:tcW w:w="1189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251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</w:p>
        </w:tc>
      </w:tr>
      <w:tr w:rsidR="00E908C7" w:rsidRPr="00283974" w:rsidTr="00A4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T-2-TB</w:t>
            </w:r>
          </w:p>
        </w:tc>
        <w:tc>
          <w:tcPr>
            <w:tcW w:w="1189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50</w:t>
            </w:r>
          </w:p>
        </w:tc>
      </w:tr>
      <w:tr w:rsidR="00E908C7" w:rsidRPr="00283974" w:rsidTr="00A4111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bottom w:val="nil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T-2-MDZ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707" w:type="dxa"/>
            <w:gridSpan w:val="3"/>
            <w:tcBorders>
              <w:bottom w:val="nil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908C7" w:rsidRPr="00283974" w:rsidTr="00A4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FB1-CM</w:t>
            </w:r>
          </w:p>
        </w:tc>
        <w:tc>
          <w:tcPr>
            <w:tcW w:w="1189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58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</w:t>
            </w:r>
          </w:p>
        </w:tc>
        <w:tc>
          <w:tcPr>
            <w:tcW w:w="1251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07" w:type="dxa"/>
            <w:gridSpan w:val="3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:rsidR="00E908C7" w:rsidRPr="00ED1780" w:rsidRDefault="00E908C7" w:rsidP="00A41111">
            <w:pPr>
              <w:keepNext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178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CB094D" w:rsidRPr="00ED1780" w:rsidRDefault="00CB094D" w:rsidP="00CB094D">
      <w:pPr>
        <w:pStyle w:val="Caption"/>
        <w:rPr>
          <w:rFonts w:ascii="Times New Roman" w:hAnsi="Times New Roman" w:cs="Times New Roman"/>
        </w:rPr>
      </w:pPr>
      <w:r w:rsidRPr="00ED1780">
        <w:rPr>
          <w:rFonts w:ascii="Times New Roman" w:hAnsi="Times New Roman" w:cs="Times New Roman"/>
        </w:rPr>
        <w:t xml:space="preserve">ZEA, zearalenone; T-2, T-2 toxin; FB1, </w:t>
      </w:r>
      <w:proofErr w:type="spellStart"/>
      <w:r w:rsidRPr="00ED1780">
        <w:rPr>
          <w:rFonts w:ascii="Times New Roman" w:hAnsi="Times New Roman" w:cs="Times New Roman"/>
        </w:rPr>
        <w:t>fumonisin</w:t>
      </w:r>
      <w:proofErr w:type="spellEnd"/>
      <w:r w:rsidRPr="00ED1780">
        <w:rPr>
          <w:rFonts w:ascii="Times New Roman" w:hAnsi="Times New Roman" w:cs="Times New Roman"/>
        </w:rPr>
        <w:t xml:space="preserve"> B1; TB, tolbutamide; CM, coumarin; MDZ, midazolam; DXM, dextromethorphan</w:t>
      </w:r>
    </w:p>
    <w:p w:rsidR="00744310" w:rsidRDefault="00744310">
      <w:pPr>
        <w:spacing w:line="259" w:lineRule="auto"/>
        <w:ind w:firstLine="0"/>
        <w:jc w:val="left"/>
        <w:rPr>
          <w:i/>
          <w:iCs/>
          <w:color w:val="44546A" w:themeColor="text2"/>
          <w:sz w:val="18"/>
          <w:szCs w:val="18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166"/>
      </w:tblGrid>
      <w:tr w:rsidR="00BD00DE" w:rsidTr="007739B4">
        <w:tc>
          <w:tcPr>
            <w:tcW w:w="4896" w:type="dxa"/>
          </w:tcPr>
          <w:p w:rsidR="00BD00DE" w:rsidRDefault="00BD00DE" w:rsidP="007739B4">
            <w:pPr>
              <w:pStyle w:val="Caption"/>
              <w:ind w:firstLine="0"/>
              <w:jc w:val="center"/>
            </w:pPr>
            <w:r>
              <w:rPr>
                <w:noProof/>
                <w:lang w:val="nl-BE" w:eastAsia="nl-BE"/>
              </w:rPr>
              <w:lastRenderedPageBreak/>
              <w:drawing>
                <wp:inline distT="0" distB="0" distL="0" distR="0" wp14:anchorId="003928C7" wp14:editId="2BDE188F">
                  <wp:extent cx="2072640" cy="1217330"/>
                  <wp:effectExtent l="0" t="0" r="3810" b="1905"/>
                  <wp:docPr id="1" name="Afbeelding 1" descr="Afbeeldingsresultaat voor zearale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zearale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50" cy="122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D00DE" w:rsidRDefault="00BD00DE" w:rsidP="007739B4">
            <w:pPr>
              <w:pStyle w:val="Caption"/>
              <w:ind w:firstLine="0"/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260FD9F" wp14:editId="5DEE6C31">
                  <wp:extent cx="2480310" cy="1176738"/>
                  <wp:effectExtent l="0" t="0" r="0" b="4445"/>
                  <wp:docPr id="2" name="Afbeelding 2" descr="Afbeeldingsresultaat voor T-2 to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T-2 to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699" cy="119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0DE" w:rsidTr="007739B4">
        <w:tc>
          <w:tcPr>
            <w:tcW w:w="4896" w:type="dxa"/>
          </w:tcPr>
          <w:p w:rsidR="00BD00DE" w:rsidRDefault="00BD00DE" w:rsidP="007739B4">
            <w:pPr>
              <w:pStyle w:val="Caption"/>
              <w:ind w:firstLine="0"/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EB96CD2" wp14:editId="4A9076AD">
                  <wp:extent cx="2967404" cy="1234440"/>
                  <wp:effectExtent l="0" t="0" r="4445" b="3810"/>
                  <wp:docPr id="3" name="Afbeelding 3" descr="Afbeeldingsresultaat voor fumonisin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fumonisin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4" cy="123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D00DE" w:rsidRDefault="00BD00DE" w:rsidP="007739B4">
            <w:pPr>
              <w:pStyle w:val="Caption"/>
              <w:ind w:firstLine="0"/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325A224" wp14:editId="75CA0A01">
                  <wp:extent cx="1710288" cy="1150454"/>
                  <wp:effectExtent l="0" t="0" r="0" b="0"/>
                  <wp:docPr id="4" name="Afbeelding 4" descr="Afbeeldingsresultaat voor deoxynivale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deoxynivale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75" cy="116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0DE" w:rsidTr="007739B4">
        <w:tc>
          <w:tcPr>
            <w:tcW w:w="9062" w:type="dxa"/>
            <w:gridSpan w:val="2"/>
          </w:tcPr>
          <w:p w:rsidR="00BD00DE" w:rsidRDefault="00BD00DE" w:rsidP="007739B4">
            <w:pPr>
              <w:pStyle w:val="Caption"/>
              <w:ind w:firstLine="0"/>
            </w:pPr>
            <w:r>
              <w:t xml:space="preserve">Supplemental Figure 1. Chemical structures of the investigated mycotoxins. Upper left, zearalenone; upper right T-2 toxin; lower left, </w:t>
            </w:r>
            <w:proofErr w:type="spellStart"/>
            <w:r>
              <w:t>fumonisin</w:t>
            </w:r>
            <w:proofErr w:type="spellEnd"/>
            <w:r>
              <w:t xml:space="preserve"> b1; lower right, deoxynivalenol</w:t>
            </w:r>
          </w:p>
        </w:tc>
      </w:tr>
    </w:tbl>
    <w:p w:rsidR="00E908C7" w:rsidRPr="00CB094D" w:rsidRDefault="00E908C7" w:rsidP="00CB094D">
      <w:pPr>
        <w:pStyle w:val="Caption"/>
      </w:pPr>
    </w:p>
    <w:sectPr w:rsidR="00E908C7" w:rsidRPr="00CB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34"/>
    <w:rsid w:val="000B4FAD"/>
    <w:rsid w:val="0024694E"/>
    <w:rsid w:val="00283974"/>
    <w:rsid w:val="004A1993"/>
    <w:rsid w:val="005874F8"/>
    <w:rsid w:val="00593D34"/>
    <w:rsid w:val="00744310"/>
    <w:rsid w:val="00A047B6"/>
    <w:rsid w:val="00BD00DE"/>
    <w:rsid w:val="00CB094D"/>
    <w:rsid w:val="00CB320E"/>
    <w:rsid w:val="00CB36DE"/>
    <w:rsid w:val="00E53FF2"/>
    <w:rsid w:val="00E908C7"/>
    <w:rsid w:val="00ED1780"/>
    <w:rsid w:val="00E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2391-DF5D-423C-813B-8E3EBCA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D34"/>
    <w:pPr>
      <w:spacing w:line="480" w:lineRule="auto"/>
      <w:ind w:firstLine="851"/>
      <w:jc w:val="both"/>
    </w:pPr>
    <w:rPr>
      <w:rFonts w:eastAsia="MS Minch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993"/>
    <w:pPr>
      <w:keepNext/>
      <w:keepLines/>
      <w:spacing w:after="240" w:line="360" w:lineRule="auto"/>
      <w:ind w:left="284" w:firstLine="284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993"/>
    <w:pPr>
      <w:keepNext/>
      <w:keepLines/>
      <w:spacing w:before="120" w:after="120" w:line="360" w:lineRule="auto"/>
      <w:ind w:firstLine="397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993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FAD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993"/>
    <w:pPr>
      <w:spacing w:after="0" w:line="240" w:lineRule="auto"/>
      <w:ind w:firstLine="851"/>
      <w:jc w:val="both"/>
    </w:pPr>
    <w:rPr>
      <w:rFonts w:eastAsia="MS Minch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1993"/>
    <w:rPr>
      <w:rFonts w:eastAsiaTheme="majorEastAsia" w:cstheme="majorBidi"/>
      <w:b/>
      <w:caps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1993"/>
    <w:rPr>
      <w:rFonts w:asciiTheme="majorHAnsi" w:eastAsiaTheme="majorEastAsia" w:hAnsiTheme="majorHAnsi" w:cstheme="majorBidi"/>
      <w:cap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1993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B4FAD"/>
    <w:rPr>
      <w:rFonts w:asciiTheme="majorHAnsi" w:eastAsiaTheme="majorEastAsia" w:hAnsiTheme="majorHAnsi" w:cstheme="majorBidi"/>
      <w:iCs/>
      <w:u w:val="single"/>
      <w:lang w:val="en-GB"/>
    </w:rPr>
  </w:style>
  <w:style w:type="table" w:styleId="TableGrid">
    <w:name w:val="Table Grid"/>
    <w:basedOn w:val="TableNormal"/>
    <w:uiPriority w:val="39"/>
    <w:rsid w:val="0059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93D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chtearcering1">
    <w:name w:val="Lichte arcering1"/>
    <w:basedOn w:val="TableNormal"/>
    <w:uiPriority w:val="60"/>
    <w:rsid w:val="00E908C7"/>
    <w:pPr>
      <w:spacing w:after="0" w:line="240" w:lineRule="auto"/>
    </w:pPr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74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Schelstraete</dc:creator>
  <cp:keywords/>
  <dc:description/>
  <cp:lastModifiedBy>Jasmine Walter</cp:lastModifiedBy>
  <cp:revision>2</cp:revision>
  <dcterms:created xsi:type="dcterms:W3CDTF">2019-04-05T13:08:00Z</dcterms:created>
  <dcterms:modified xsi:type="dcterms:W3CDTF">2019-04-05T13:08:00Z</dcterms:modified>
</cp:coreProperties>
</file>