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13233" w14:textId="77777777" w:rsidR="00412F49" w:rsidRPr="000E0E27" w:rsidRDefault="00412F49" w:rsidP="00412F49">
      <w:pPr>
        <w:rPr>
          <w:lang w:val="en-US"/>
        </w:rPr>
      </w:pPr>
    </w:p>
    <w:p w14:paraId="420F939D" w14:textId="77777777" w:rsidR="00412F49" w:rsidRPr="007A55FF" w:rsidRDefault="00412F49" w:rsidP="00412F49">
      <w:pPr>
        <w:spacing w:line="259" w:lineRule="auto"/>
        <w:jc w:val="left"/>
        <w:rPr>
          <w:b/>
          <w:sz w:val="28"/>
          <w:szCs w:val="28"/>
          <w:lang w:val="en-US"/>
        </w:rPr>
      </w:pPr>
      <w:r>
        <w:rPr>
          <w:b/>
          <w:sz w:val="28"/>
          <w:szCs w:val="28"/>
          <w:lang w:val="en-US"/>
        </w:rPr>
        <w:t xml:space="preserve">Appendix 1. </w:t>
      </w:r>
      <w:r w:rsidRPr="007A55FF">
        <w:rPr>
          <w:b/>
          <w:sz w:val="28"/>
          <w:szCs w:val="28"/>
          <w:lang w:val="en-US"/>
        </w:rPr>
        <w:t>Delphi survey explanatory material</w:t>
      </w:r>
    </w:p>
    <w:p w14:paraId="6A9EB3A4" w14:textId="77777777" w:rsidR="00412F49" w:rsidRPr="007A55FF" w:rsidRDefault="00412F49" w:rsidP="00412F49">
      <w:pPr>
        <w:rPr>
          <w:lang w:val="en-US"/>
        </w:rPr>
      </w:pPr>
      <w:r w:rsidRPr="007A55FF">
        <w:rPr>
          <w:lang w:val="en-US"/>
        </w:rPr>
        <w:t xml:space="preserve">Dear scientist, </w:t>
      </w:r>
    </w:p>
    <w:p w14:paraId="655E90F6" w14:textId="77777777" w:rsidR="00412F49" w:rsidRPr="007A55FF" w:rsidRDefault="00412F49" w:rsidP="00412F49">
      <w:pPr>
        <w:rPr>
          <w:lang w:val="en-US"/>
        </w:rPr>
      </w:pPr>
      <w:r w:rsidRPr="007A55FF">
        <w:rPr>
          <w:lang w:val="en-US"/>
        </w:rPr>
        <w:t xml:space="preserve">As part of </w:t>
      </w:r>
      <w:r w:rsidRPr="004D231F">
        <w:rPr>
          <w:noProof/>
          <w:lang w:val="en-US"/>
        </w:rPr>
        <w:t>WP5</w:t>
      </w:r>
      <w:r w:rsidRPr="007A55FF">
        <w:rPr>
          <w:lang w:val="en-US"/>
        </w:rPr>
        <w:t xml:space="preserve"> we are aiming to identify the </w:t>
      </w:r>
      <w:r w:rsidRPr="007A55FF">
        <w:rPr>
          <w:b/>
          <w:lang w:val="en-US"/>
        </w:rPr>
        <w:t>risks and pressures</w:t>
      </w:r>
      <w:r w:rsidRPr="007A55FF">
        <w:rPr>
          <w:lang w:val="en-US"/>
        </w:rPr>
        <w:t xml:space="preserve"> to </w:t>
      </w:r>
      <w:r w:rsidRPr="007A55FF">
        <w:rPr>
          <w:b/>
          <w:lang w:val="en-US"/>
        </w:rPr>
        <w:t>ecosystem services</w:t>
      </w:r>
      <w:r w:rsidRPr="007A55FF">
        <w:rPr>
          <w:lang w:val="en-US"/>
        </w:rPr>
        <w:t xml:space="preserve"> in the North Atlantic from existing and potential future economic activity. To achieve </w:t>
      </w:r>
      <w:proofErr w:type="gramStart"/>
      <w:r w:rsidRPr="007A55FF">
        <w:rPr>
          <w:lang w:val="en-US"/>
        </w:rPr>
        <w:t>this</w:t>
      </w:r>
      <w:proofErr w:type="gramEnd"/>
      <w:r w:rsidRPr="007A55FF">
        <w:rPr>
          <w:lang w:val="en-US"/>
        </w:rPr>
        <w:t xml:space="preserve"> we are carrying out a Delphi study among scientists to probe for information on risks to ecosystem services that the ocean provides.</w:t>
      </w:r>
    </w:p>
    <w:p w14:paraId="77EC2D44" w14:textId="77777777" w:rsidR="00412F49" w:rsidRPr="007A55FF" w:rsidRDefault="00412F49" w:rsidP="00412F49">
      <w:pPr>
        <w:rPr>
          <w:lang w:val="en-US"/>
        </w:rPr>
      </w:pPr>
      <w:r w:rsidRPr="007A55FF">
        <w:rPr>
          <w:rStyle w:val="il"/>
          <w:rFonts w:ascii="Calibri" w:hAnsi="Calibri"/>
          <w:shd w:val="clear" w:color="auto" w:fill="FFFFFF"/>
          <w:lang w:val="en-US"/>
        </w:rPr>
        <w:t xml:space="preserve">The Delphi method relies on a panel of experts to gather information; this is often </w:t>
      </w:r>
      <w:r w:rsidRPr="007A55FF">
        <w:rPr>
          <w:rFonts w:ascii="Calibri" w:hAnsi="Calibri"/>
          <w:shd w:val="clear" w:color="auto" w:fill="FFFFFF"/>
          <w:lang w:val="en-US"/>
        </w:rPr>
        <w:t xml:space="preserve">due to limited knowledge regarding the service or good. </w:t>
      </w:r>
      <w:r w:rsidRPr="007A55FF">
        <w:rPr>
          <w:lang w:val="en-US"/>
        </w:rPr>
        <w:t xml:space="preserve">The technique gathers expert opinion, usually in an iterative, anonymous survey with feedback. The objective is to allow information produced by an expert group to be evaluated, building consensus over time. </w:t>
      </w:r>
    </w:p>
    <w:p w14:paraId="3A918C3B" w14:textId="77777777" w:rsidR="00412F49" w:rsidRPr="007A55FF" w:rsidRDefault="00412F49" w:rsidP="00412F49">
      <w:pPr>
        <w:rPr>
          <w:rFonts w:ascii="Calibri" w:hAnsi="Calibri"/>
          <w:shd w:val="clear" w:color="auto" w:fill="FFFFFF"/>
          <w:lang w:val="en-US"/>
        </w:rPr>
      </w:pPr>
      <w:r w:rsidRPr="007A55FF">
        <w:rPr>
          <w:lang w:val="en-US"/>
        </w:rPr>
        <w:t xml:space="preserve">The survey is therefore sent around twice or more. In the second </w:t>
      </w:r>
      <w:r w:rsidRPr="004D231F">
        <w:rPr>
          <w:noProof/>
          <w:lang w:val="en-US"/>
        </w:rPr>
        <w:t>round</w:t>
      </w:r>
      <w:r w:rsidRPr="007A55FF">
        <w:rPr>
          <w:rFonts w:ascii="Calibri" w:hAnsi="Calibri"/>
          <w:shd w:val="clear" w:color="auto" w:fill="FFFFFF"/>
          <w:lang w:val="en-US"/>
        </w:rPr>
        <w:t xml:space="preserve"> the information regarding the results of the first round </w:t>
      </w:r>
      <w:r w:rsidRPr="004D231F">
        <w:rPr>
          <w:rFonts w:ascii="Calibri" w:hAnsi="Calibri"/>
          <w:noProof/>
          <w:shd w:val="clear" w:color="auto" w:fill="FFFFFF"/>
          <w:lang w:val="en-US"/>
        </w:rPr>
        <w:t>are</w:t>
      </w:r>
      <w:r w:rsidRPr="007A55FF">
        <w:rPr>
          <w:rFonts w:ascii="Calibri" w:hAnsi="Calibri"/>
          <w:shd w:val="clear" w:color="auto" w:fill="FFFFFF"/>
          <w:lang w:val="en-US"/>
        </w:rPr>
        <w:t xml:space="preserve"> distributed in order to allow the expert to re-evaluate their previous assessment and to see if there may be some more agreement or convergence regarding the issue surveyed. </w:t>
      </w:r>
    </w:p>
    <w:p w14:paraId="7CBD7717" w14:textId="77777777" w:rsidR="00412F49" w:rsidRPr="007A55FF" w:rsidRDefault="00412F49" w:rsidP="00412F49">
      <w:pPr>
        <w:rPr>
          <w:rFonts w:ascii="Calibri" w:hAnsi="Calibri"/>
          <w:shd w:val="clear" w:color="auto" w:fill="FFFFFF"/>
          <w:lang w:val="en-US"/>
        </w:rPr>
      </w:pPr>
      <w:r w:rsidRPr="007A55FF">
        <w:rPr>
          <w:rFonts w:ascii="Calibri" w:hAnsi="Calibri"/>
          <w:shd w:val="clear" w:color="auto" w:fill="FFFFFF"/>
          <w:lang w:val="en-US"/>
        </w:rPr>
        <w:t xml:space="preserve">We realize that you may not have detailed knowledge regarding parts of the survey. Note however that the survey is an attempt to assess expert </w:t>
      </w:r>
      <w:r w:rsidRPr="007A55FF">
        <w:rPr>
          <w:rFonts w:ascii="Calibri" w:hAnsi="Calibri"/>
          <w:i/>
          <w:shd w:val="clear" w:color="auto" w:fill="FFFFFF"/>
          <w:lang w:val="en-US"/>
        </w:rPr>
        <w:t>opinion</w:t>
      </w:r>
      <w:r w:rsidRPr="007A55FF">
        <w:rPr>
          <w:rFonts w:ascii="Calibri" w:hAnsi="Calibri"/>
          <w:shd w:val="clear" w:color="auto" w:fill="FFFFFF"/>
          <w:lang w:val="en-US"/>
        </w:rPr>
        <w:t xml:space="preserve">, especially where knowledge is limited, as in the deep sea. This is </w:t>
      </w:r>
      <w:r w:rsidRPr="004D231F">
        <w:rPr>
          <w:rFonts w:ascii="Calibri" w:hAnsi="Calibri"/>
          <w:noProof/>
          <w:shd w:val="clear" w:color="auto" w:fill="FFFFFF"/>
          <w:lang w:val="en-US"/>
        </w:rPr>
        <w:t>therefore</w:t>
      </w:r>
      <w:r w:rsidRPr="007A55FF">
        <w:rPr>
          <w:rFonts w:ascii="Calibri" w:hAnsi="Calibri"/>
          <w:shd w:val="clear" w:color="auto" w:fill="FFFFFF"/>
          <w:lang w:val="en-US"/>
        </w:rPr>
        <w:t xml:space="preserve"> a survey of your </w:t>
      </w:r>
      <w:proofErr w:type="gramStart"/>
      <w:r w:rsidRPr="007A55FF">
        <w:rPr>
          <w:rFonts w:ascii="Calibri" w:hAnsi="Calibri"/>
          <w:shd w:val="clear" w:color="auto" w:fill="FFFFFF"/>
          <w:lang w:val="en-US"/>
        </w:rPr>
        <w:t>personal opinion</w:t>
      </w:r>
      <w:proofErr w:type="gramEnd"/>
      <w:r w:rsidRPr="007A55FF">
        <w:rPr>
          <w:rFonts w:ascii="Calibri" w:hAnsi="Calibri"/>
          <w:shd w:val="clear" w:color="auto" w:fill="FFFFFF"/>
          <w:lang w:val="en-US"/>
        </w:rPr>
        <w:t>.</w:t>
      </w:r>
    </w:p>
    <w:p w14:paraId="0B8EAE63" w14:textId="77777777" w:rsidR="00412F49" w:rsidRPr="007A55FF" w:rsidRDefault="00412F49" w:rsidP="00412F49">
      <w:pPr>
        <w:rPr>
          <w:rFonts w:ascii="Calibri" w:hAnsi="Calibri"/>
          <w:shd w:val="clear" w:color="auto" w:fill="FFFFFF"/>
          <w:lang w:val="en-US"/>
        </w:rPr>
      </w:pPr>
      <w:r w:rsidRPr="007A55FF">
        <w:rPr>
          <w:rFonts w:ascii="Calibri" w:hAnsi="Calibri"/>
          <w:shd w:val="clear" w:color="auto" w:fill="FFFFFF"/>
          <w:lang w:val="en-US"/>
        </w:rPr>
        <w:t xml:space="preserve">The risk assessment matrix is the central part of the survey, but the table of ecosystem services in case study </w:t>
      </w:r>
      <w:r w:rsidRPr="004D231F">
        <w:rPr>
          <w:rFonts w:ascii="Calibri" w:hAnsi="Calibri"/>
          <w:noProof/>
          <w:shd w:val="clear" w:color="auto" w:fill="FFFFFF"/>
          <w:lang w:val="en-US"/>
        </w:rPr>
        <w:t>areas,</w:t>
      </w:r>
      <w:r w:rsidRPr="007A55FF">
        <w:rPr>
          <w:rFonts w:ascii="Calibri" w:hAnsi="Calibri"/>
          <w:shd w:val="clear" w:color="auto" w:fill="FFFFFF"/>
          <w:lang w:val="en-US"/>
        </w:rPr>
        <w:t xml:space="preserve"> and the follow-up questions are also central to different deliverables in WP5. </w:t>
      </w:r>
    </w:p>
    <w:p w14:paraId="7BC4B758" w14:textId="77777777" w:rsidR="00412F49" w:rsidRPr="00351C61" w:rsidRDefault="00412F49" w:rsidP="00412F49">
      <w:pPr>
        <w:rPr>
          <w:lang w:val="en-US"/>
        </w:rPr>
      </w:pPr>
      <w:r w:rsidRPr="007A55FF">
        <w:rPr>
          <w:lang w:val="en-US"/>
        </w:rPr>
        <w:t>Attached is</w:t>
      </w:r>
      <w:r>
        <w:rPr>
          <w:lang w:val="en-US"/>
        </w:rPr>
        <w:t xml:space="preserve"> an explanation of the survey. </w:t>
      </w:r>
    </w:p>
    <w:p w14:paraId="44BAB1B1" w14:textId="77777777" w:rsidR="00412F49" w:rsidRPr="000B33E3" w:rsidRDefault="00412F49" w:rsidP="00412F49">
      <w:pPr>
        <w:rPr>
          <w:b/>
        </w:rPr>
      </w:pPr>
      <w:r>
        <w:rPr>
          <w:b/>
        </w:rPr>
        <w:t xml:space="preserve">THE SURVEY </w:t>
      </w:r>
      <w:r w:rsidRPr="004D231F">
        <w:rPr>
          <w:b/>
          <w:noProof/>
        </w:rPr>
        <w:t>EXPLAINED</w:t>
      </w:r>
    </w:p>
    <w:p w14:paraId="493F9D8E" w14:textId="77777777" w:rsidR="00412F49" w:rsidRDefault="00412F49" w:rsidP="00412F49">
      <w:pPr>
        <w:pStyle w:val="ListParagraph"/>
        <w:numPr>
          <w:ilvl w:val="0"/>
          <w:numId w:val="2"/>
        </w:numPr>
        <w:spacing w:after="200" w:line="276" w:lineRule="auto"/>
        <w:jc w:val="left"/>
      </w:pPr>
      <w:r>
        <w:t>Please enter the relevant personal information.</w:t>
      </w:r>
    </w:p>
    <w:p w14:paraId="288C2AA7" w14:textId="77777777" w:rsidR="00412F49" w:rsidRDefault="00412F49" w:rsidP="00412F49">
      <w:r>
        <w:t>Example:</w:t>
      </w:r>
    </w:p>
    <w:p w14:paraId="244D08E2" w14:textId="77777777" w:rsidR="00412F49" w:rsidRDefault="00412F49" w:rsidP="00412F49">
      <w:r>
        <w:rPr>
          <w:noProof/>
          <w:lang w:val="en-IE" w:eastAsia="en-IE"/>
        </w:rPr>
        <w:drawing>
          <wp:inline distT="0" distB="0" distL="0" distR="0" wp14:anchorId="0B5955E0" wp14:editId="7D402865">
            <wp:extent cx="4659893" cy="1173192"/>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6158" r="56892" b="77458"/>
                    <a:stretch/>
                  </pic:blipFill>
                  <pic:spPr bwMode="auto">
                    <a:xfrm>
                      <a:off x="0" y="0"/>
                      <a:ext cx="4717647" cy="1187732"/>
                    </a:xfrm>
                    <a:prstGeom prst="rect">
                      <a:avLst/>
                    </a:prstGeom>
                    <a:noFill/>
                    <a:ln>
                      <a:noFill/>
                    </a:ln>
                    <a:extLst>
                      <a:ext uri="{53640926-AAD7-44D8-BBD7-CCE9431645EC}">
                        <a14:shadowObscured xmlns:a14="http://schemas.microsoft.com/office/drawing/2010/main"/>
                      </a:ext>
                    </a:extLst>
                  </pic:spPr>
                </pic:pic>
              </a:graphicData>
            </a:graphic>
          </wp:inline>
        </w:drawing>
      </w:r>
    </w:p>
    <w:p w14:paraId="3A5A9321" w14:textId="77777777" w:rsidR="00412F49" w:rsidRDefault="00412F49" w:rsidP="00412F49">
      <w:pPr>
        <w:pStyle w:val="ListParagraph"/>
        <w:numPr>
          <w:ilvl w:val="0"/>
          <w:numId w:val="2"/>
        </w:numPr>
        <w:spacing w:after="200" w:line="276" w:lineRule="auto"/>
        <w:ind w:left="0" w:firstLine="0"/>
        <w:jc w:val="left"/>
      </w:pPr>
      <w:r>
        <w:lastRenderedPageBreak/>
        <w:t>Ecosystem services are listed along the side of the risk matrix and the table of case study ecosystem services. If you feel central services are missing, please add to the Other box.</w:t>
      </w:r>
    </w:p>
    <w:p w14:paraId="3FCB2856" w14:textId="77777777" w:rsidR="00412F49" w:rsidRDefault="00412F49" w:rsidP="00412F49">
      <w:pPr>
        <w:pStyle w:val="ListParagraph"/>
        <w:numPr>
          <w:ilvl w:val="0"/>
          <w:numId w:val="0"/>
        </w:numPr>
        <w:spacing w:after="200" w:line="276" w:lineRule="auto"/>
        <w:jc w:val="left"/>
      </w:pPr>
    </w:p>
    <w:p w14:paraId="6FD752CA" w14:textId="77777777" w:rsidR="00412F49" w:rsidRDefault="00412F49" w:rsidP="00412F49">
      <w:pPr>
        <w:pStyle w:val="ListParagraph"/>
        <w:numPr>
          <w:ilvl w:val="0"/>
          <w:numId w:val="0"/>
        </w:numPr>
      </w:pPr>
      <w:r w:rsidRPr="001854DB">
        <w:rPr>
          <w:noProof/>
          <w:lang w:val="en-IE" w:eastAsia="en-IE"/>
        </w:rPr>
        <w:drawing>
          <wp:inline distT="0" distB="0" distL="0" distR="0" wp14:anchorId="215AA979" wp14:editId="2E244752">
            <wp:extent cx="2238606" cy="6185176"/>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3802" cy="6254790"/>
                    </a:xfrm>
                    <a:prstGeom prst="rect">
                      <a:avLst/>
                    </a:prstGeom>
                    <a:noFill/>
                    <a:ln>
                      <a:noFill/>
                    </a:ln>
                  </pic:spPr>
                </pic:pic>
              </a:graphicData>
            </a:graphic>
          </wp:inline>
        </w:drawing>
      </w:r>
    </w:p>
    <w:p w14:paraId="329010A3" w14:textId="77777777" w:rsidR="00412F49" w:rsidRDefault="00412F49" w:rsidP="00412F49">
      <w:pPr>
        <w:pStyle w:val="ListParagraph"/>
        <w:numPr>
          <w:ilvl w:val="0"/>
          <w:numId w:val="0"/>
        </w:numPr>
      </w:pPr>
      <w:r>
        <w:t xml:space="preserve">Note that in the risk assessment matrix we are asking you to refer to the </w:t>
      </w:r>
      <w:r w:rsidRPr="001854DB">
        <w:rPr>
          <w:b/>
        </w:rPr>
        <w:t>North Atlantic</w:t>
      </w:r>
      <w:r>
        <w:t xml:space="preserve"> overall (i.e. not just your case study area).  Associated human pressures are shown in the top row of the matrix. Additional risks or pressures can be added to the ‘Other’ box at the end. </w:t>
      </w:r>
    </w:p>
    <w:p w14:paraId="5BDAFD6D" w14:textId="77777777" w:rsidR="00412F49" w:rsidRDefault="00412F49" w:rsidP="00412F49">
      <w:pPr>
        <w:ind w:left="360"/>
      </w:pPr>
    </w:p>
    <w:p w14:paraId="7B3931FC" w14:textId="77777777" w:rsidR="00412F49" w:rsidRDefault="00412F49" w:rsidP="00412F49">
      <w:pPr>
        <w:ind w:left="360"/>
      </w:pPr>
    </w:p>
    <w:p w14:paraId="5C3F8642" w14:textId="77777777" w:rsidR="00412F49" w:rsidRDefault="00412F49" w:rsidP="00412F49">
      <w:pPr>
        <w:ind w:left="360"/>
      </w:pPr>
    </w:p>
    <w:p w14:paraId="0C0E799B" w14:textId="77777777" w:rsidR="00412F49" w:rsidRDefault="00412F49" w:rsidP="00412F49">
      <w:pPr>
        <w:ind w:left="360"/>
      </w:pPr>
    </w:p>
    <w:p w14:paraId="225BEACE" w14:textId="77777777" w:rsidR="00412F49" w:rsidRDefault="00412F49" w:rsidP="00412F49">
      <w:pPr>
        <w:ind w:left="360"/>
      </w:pPr>
      <w:r>
        <w:t>The first four human activity/impacts in the risk matrix:</w:t>
      </w:r>
    </w:p>
    <w:p w14:paraId="3B4B9CDB" w14:textId="77777777" w:rsidR="00412F49" w:rsidRDefault="00412F49" w:rsidP="00412F49">
      <w:pPr>
        <w:ind w:left="360"/>
      </w:pPr>
      <w:r w:rsidRPr="00116757">
        <w:rPr>
          <w:noProof/>
          <w:lang w:val="en-IE" w:eastAsia="en-IE"/>
        </w:rPr>
        <w:drawing>
          <wp:inline distT="0" distB="0" distL="0" distR="0" wp14:anchorId="40D0EFC1" wp14:editId="2A8A8639">
            <wp:extent cx="6225216" cy="32305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43917" cy="386304"/>
                    </a:xfrm>
                    <a:prstGeom prst="rect">
                      <a:avLst/>
                    </a:prstGeom>
                    <a:noFill/>
                    <a:ln>
                      <a:noFill/>
                    </a:ln>
                  </pic:spPr>
                </pic:pic>
              </a:graphicData>
            </a:graphic>
          </wp:inline>
        </w:drawing>
      </w:r>
    </w:p>
    <w:p w14:paraId="5ECD43FD" w14:textId="77777777" w:rsidR="00412F49" w:rsidRDefault="00412F49" w:rsidP="00412F49">
      <w:pPr>
        <w:ind w:left="360"/>
      </w:pPr>
      <w:r>
        <w:t xml:space="preserve">The different human activity/impacts are to be assessed using the three measures below: </w:t>
      </w:r>
    </w:p>
    <w:p w14:paraId="03B6373A" w14:textId="77777777" w:rsidR="00412F49" w:rsidRDefault="00412F49" w:rsidP="00412F49">
      <w:pPr>
        <w:ind w:left="360"/>
      </w:pPr>
      <w:r>
        <w:rPr>
          <w:noProof/>
          <w:lang w:val="en-IE" w:eastAsia="en-IE"/>
        </w:rPr>
        <w:drawing>
          <wp:inline distT="0" distB="0" distL="0" distR="0" wp14:anchorId="1F4BFAA5" wp14:editId="40DB5FC9">
            <wp:extent cx="5730875" cy="7924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792480"/>
                    </a:xfrm>
                    <a:prstGeom prst="rect">
                      <a:avLst/>
                    </a:prstGeom>
                    <a:noFill/>
                  </pic:spPr>
                </pic:pic>
              </a:graphicData>
            </a:graphic>
          </wp:inline>
        </w:drawing>
      </w:r>
    </w:p>
    <w:p w14:paraId="00715848" w14:textId="77777777" w:rsidR="00412F49" w:rsidRDefault="00412F49" w:rsidP="00412F49">
      <w:pPr>
        <w:ind w:left="360"/>
      </w:pPr>
      <w:r>
        <w:t xml:space="preserve">I. e. identify whether each </w:t>
      </w:r>
      <w:r w:rsidRPr="004D231F">
        <w:rPr>
          <w:noProof/>
        </w:rPr>
        <w:t>activity / impact</w:t>
      </w:r>
      <w:r>
        <w:t xml:space="preserve"> will have a positive or negative effect on the different ecosystem service. If you think there may be both positive and negative effects, then you can put this in on the separate lines in the relevant boxes (see example below). </w:t>
      </w:r>
    </w:p>
    <w:p w14:paraId="17547C14" w14:textId="77777777" w:rsidR="00412F49" w:rsidRDefault="00412F49" w:rsidP="00412F49">
      <w:pPr>
        <w:ind w:left="360"/>
      </w:pPr>
      <w:r>
        <w:t xml:space="preserve">Then rank both the </w:t>
      </w:r>
      <w:r w:rsidRPr="00351C61">
        <w:rPr>
          <w:i/>
        </w:rPr>
        <w:t>effect</w:t>
      </w:r>
      <w:r>
        <w:t xml:space="preserve"> and the </w:t>
      </w:r>
      <w:r w:rsidRPr="00351C61">
        <w:rPr>
          <w:i/>
        </w:rPr>
        <w:t>likelihood</w:t>
      </w:r>
      <w:r>
        <w:t xml:space="preserve"> of the effect occurring on scales of 1 to 5. </w:t>
      </w:r>
    </w:p>
    <w:p w14:paraId="1F28CE68" w14:textId="77777777" w:rsidR="00412F49" w:rsidRDefault="00412F49" w:rsidP="00412F49">
      <w:pPr>
        <w:ind w:left="360"/>
      </w:pPr>
      <w:r>
        <w:t xml:space="preserve">Example of filling in the matrix (note: If you think some activities/impacts are not applicable in relation to some ecosystem services, then just write </w:t>
      </w:r>
      <w:r w:rsidRPr="004D231F">
        <w:rPr>
          <w:noProof/>
        </w:rPr>
        <w:t>na</w:t>
      </w:r>
      <w:r>
        <w:t xml:space="preserve"> in the </w:t>
      </w:r>
      <w:proofErr w:type="spellStart"/>
      <w:r>
        <w:t>Pos</w:t>
      </w:r>
      <w:proofErr w:type="spellEnd"/>
      <w:r>
        <w:t>/Neg box):</w:t>
      </w:r>
    </w:p>
    <w:p w14:paraId="7B83212A" w14:textId="77777777" w:rsidR="00412F49" w:rsidRDefault="00412F49" w:rsidP="00412F49">
      <w:pPr>
        <w:ind w:left="360"/>
      </w:pPr>
      <w:r w:rsidRPr="001854DB">
        <w:rPr>
          <w:noProof/>
          <w:lang w:val="en-IE" w:eastAsia="en-IE"/>
        </w:rPr>
        <w:drawing>
          <wp:inline distT="0" distB="0" distL="0" distR="0" wp14:anchorId="3AF685AD" wp14:editId="1E7307A8">
            <wp:extent cx="5731510" cy="1077393"/>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077393"/>
                    </a:xfrm>
                    <a:prstGeom prst="rect">
                      <a:avLst/>
                    </a:prstGeom>
                    <a:noFill/>
                    <a:ln>
                      <a:noFill/>
                    </a:ln>
                  </pic:spPr>
                </pic:pic>
              </a:graphicData>
            </a:graphic>
          </wp:inline>
        </w:drawing>
      </w:r>
    </w:p>
    <w:p w14:paraId="709C4559" w14:textId="77777777" w:rsidR="00412F49" w:rsidRDefault="00412F49" w:rsidP="00412F49">
      <w:pPr>
        <w:spacing w:after="200" w:line="276" w:lineRule="auto"/>
        <w:ind w:left="360"/>
        <w:jc w:val="left"/>
      </w:pPr>
      <w:r>
        <w:t xml:space="preserve">After you have filled in the matrix, please assess your personal </w:t>
      </w:r>
      <w:r w:rsidRPr="00351C61">
        <w:rPr>
          <w:i/>
        </w:rPr>
        <w:t>certainty</w:t>
      </w:r>
      <w:r>
        <w:t xml:space="preserve"> </w:t>
      </w:r>
      <w:proofErr w:type="gramStart"/>
      <w:r>
        <w:t>with regard to</w:t>
      </w:r>
      <w:proofErr w:type="gramEnd"/>
      <w:r>
        <w:t xml:space="preserve"> your assessment (on a scale from 1 to 5), and state which aspects you are most certain and uncertain about.</w:t>
      </w:r>
    </w:p>
    <w:p w14:paraId="361D5DF2" w14:textId="77777777" w:rsidR="00412F49" w:rsidRDefault="00412F49" w:rsidP="00412F49">
      <w:pPr>
        <w:ind w:left="360"/>
      </w:pPr>
      <w:r>
        <w:t>Example:</w:t>
      </w:r>
    </w:p>
    <w:p w14:paraId="1FA9D513" w14:textId="77777777" w:rsidR="00412F49" w:rsidRDefault="00412F49" w:rsidP="00412F49">
      <w:pPr>
        <w:ind w:left="360"/>
      </w:pPr>
      <w:r w:rsidRPr="001854DB">
        <w:rPr>
          <w:noProof/>
          <w:lang w:val="en-IE" w:eastAsia="en-IE"/>
        </w:rPr>
        <w:drawing>
          <wp:inline distT="0" distB="0" distL="0" distR="0" wp14:anchorId="3DF96849" wp14:editId="24229176">
            <wp:extent cx="5731510" cy="80120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01208"/>
                    </a:xfrm>
                    <a:prstGeom prst="rect">
                      <a:avLst/>
                    </a:prstGeom>
                    <a:noFill/>
                    <a:ln>
                      <a:noFill/>
                    </a:ln>
                  </pic:spPr>
                </pic:pic>
              </a:graphicData>
            </a:graphic>
          </wp:inline>
        </w:drawing>
      </w:r>
    </w:p>
    <w:p w14:paraId="515FEA4E" w14:textId="77777777" w:rsidR="00412F49" w:rsidRDefault="00412F49" w:rsidP="00412F49">
      <w:pPr>
        <w:spacing w:after="200" w:line="276" w:lineRule="auto"/>
        <w:ind w:left="360"/>
        <w:jc w:val="left"/>
      </w:pPr>
      <w:r>
        <w:t>In the Ecosystem service table, we ask you to state the case study area (or areas) you are referring to, and then tick the cell if the relevant ecosystem service is present.</w:t>
      </w:r>
    </w:p>
    <w:p w14:paraId="67AC9936" w14:textId="77777777" w:rsidR="00412F49" w:rsidRPr="007A55FF" w:rsidRDefault="00412F49" w:rsidP="00412F49">
      <w:pPr>
        <w:rPr>
          <w:lang w:val="en-US"/>
        </w:rPr>
      </w:pPr>
    </w:p>
    <w:p w14:paraId="637E9584" w14:textId="77777777" w:rsidR="00412F49" w:rsidRDefault="00412F49" w:rsidP="00412F49">
      <w:pPr>
        <w:rPr>
          <w:lang w:val="en-US"/>
        </w:rPr>
      </w:pPr>
    </w:p>
    <w:p w14:paraId="0A3ACE2F" w14:textId="77777777" w:rsidR="00412F49" w:rsidRPr="007A55FF" w:rsidRDefault="00412F49" w:rsidP="00412F49">
      <w:pPr>
        <w:rPr>
          <w:lang w:val="en-US"/>
        </w:rPr>
      </w:pPr>
    </w:p>
    <w:p w14:paraId="0D04A3C4" w14:textId="77777777" w:rsidR="00412F49" w:rsidRPr="00351C61" w:rsidRDefault="00412F49" w:rsidP="00412F49">
      <w:pPr>
        <w:ind w:left="360"/>
        <w:rPr>
          <w:lang w:val="en-US"/>
        </w:rPr>
      </w:pPr>
      <w:r w:rsidRPr="00351C61">
        <w:rPr>
          <w:lang w:val="en-US"/>
        </w:rPr>
        <w:t>Example using the LOVE and Azorean case study areas:</w:t>
      </w:r>
    </w:p>
    <w:p w14:paraId="060B3CA5" w14:textId="77777777" w:rsidR="00412F49" w:rsidRDefault="00412F49" w:rsidP="00412F49">
      <w:pPr>
        <w:ind w:left="360"/>
      </w:pPr>
      <w:r>
        <w:rPr>
          <w:noProof/>
          <w:lang w:val="en-IE" w:eastAsia="en-IE"/>
        </w:rPr>
        <w:drawing>
          <wp:inline distT="0" distB="0" distL="0" distR="0" wp14:anchorId="5D3326A5" wp14:editId="0E5E6C6C">
            <wp:extent cx="5193030" cy="2199736"/>
            <wp:effectExtent l="0" t="0" r="762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t="21910" r="9374" b="11558"/>
                    <a:stretch/>
                  </pic:blipFill>
                  <pic:spPr bwMode="auto">
                    <a:xfrm>
                      <a:off x="0" y="0"/>
                      <a:ext cx="5194210" cy="2200236"/>
                    </a:xfrm>
                    <a:prstGeom prst="rect">
                      <a:avLst/>
                    </a:prstGeom>
                    <a:ln>
                      <a:noFill/>
                    </a:ln>
                    <a:extLst>
                      <a:ext uri="{53640926-AAD7-44D8-BBD7-CCE9431645EC}">
                        <a14:shadowObscured xmlns:a14="http://schemas.microsoft.com/office/drawing/2010/main"/>
                      </a:ext>
                    </a:extLst>
                  </pic:spPr>
                </pic:pic>
              </a:graphicData>
            </a:graphic>
          </wp:inline>
        </w:drawing>
      </w:r>
    </w:p>
    <w:p w14:paraId="78224062" w14:textId="77777777" w:rsidR="00412F49" w:rsidRDefault="00412F49" w:rsidP="00412F49">
      <w:pPr>
        <w:ind w:left="360"/>
      </w:pPr>
      <w:r w:rsidRPr="00227772">
        <w:t xml:space="preserve">The final open-ended questions in the survey are valuable input for </w:t>
      </w:r>
      <w:proofErr w:type="gramStart"/>
      <w:r w:rsidRPr="00227772">
        <w:t xml:space="preserve">WP5, </w:t>
      </w:r>
      <w:r>
        <w:t>and</w:t>
      </w:r>
      <w:proofErr w:type="gramEnd"/>
      <w:r>
        <w:t xml:space="preserve"> give you an opportunity to comment.</w:t>
      </w:r>
    </w:p>
    <w:p w14:paraId="550CE384" w14:textId="77777777" w:rsidR="00412F49" w:rsidRPr="00227772" w:rsidRDefault="00412F49" w:rsidP="00412F49">
      <w:pPr>
        <w:ind w:left="360"/>
      </w:pPr>
      <w:r>
        <w:t xml:space="preserve">Please remember to send to </w:t>
      </w:r>
      <w:r w:rsidRPr="00351C61">
        <w:rPr>
          <w:b/>
        </w:rPr>
        <w:t>claire.armstrong@uit.no</w:t>
      </w:r>
    </w:p>
    <w:p w14:paraId="6A8118CA" w14:textId="77777777" w:rsidR="00412F49" w:rsidRPr="00351C61" w:rsidRDefault="00412F49" w:rsidP="00412F49">
      <w:pPr>
        <w:ind w:left="360"/>
        <w:jc w:val="left"/>
        <w:rPr>
          <w:sz w:val="28"/>
          <w:szCs w:val="28"/>
        </w:rPr>
      </w:pPr>
      <w:r w:rsidRPr="00351C61">
        <w:rPr>
          <w:sz w:val="28"/>
          <w:szCs w:val="28"/>
        </w:rPr>
        <w:t>Thank you very much!</w:t>
      </w:r>
      <w:r w:rsidRPr="00351C61">
        <w:rPr>
          <w:sz w:val="28"/>
          <w:szCs w:val="28"/>
        </w:rPr>
        <w:br/>
        <w:t xml:space="preserve"> </w:t>
      </w:r>
    </w:p>
    <w:p w14:paraId="75A0F56A" w14:textId="77777777" w:rsidR="00412F49" w:rsidRDefault="00412F49" w:rsidP="00412F49">
      <w:pPr>
        <w:rPr>
          <w:lang w:val="en-US"/>
        </w:rPr>
      </w:pPr>
    </w:p>
    <w:p w14:paraId="3AF3E343" w14:textId="77777777" w:rsidR="00412F49" w:rsidRDefault="00412F49" w:rsidP="00412F49">
      <w:pPr>
        <w:rPr>
          <w:lang w:val="en-US"/>
        </w:rPr>
      </w:pPr>
      <w:r>
        <w:rPr>
          <w:lang w:val="en-US"/>
        </w:rPr>
        <w:br w:type="page"/>
      </w:r>
    </w:p>
    <w:p w14:paraId="39624FA4" w14:textId="77777777" w:rsidR="00412F49" w:rsidRPr="0065715A" w:rsidRDefault="00412F49" w:rsidP="00412F49">
      <w:pPr>
        <w:rPr>
          <w:b/>
          <w:sz w:val="28"/>
          <w:szCs w:val="28"/>
          <w:lang w:val="en-US"/>
        </w:rPr>
      </w:pPr>
      <w:r w:rsidRPr="0065715A">
        <w:rPr>
          <w:b/>
          <w:sz w:val="28"/>
          <w:szCs w:val="28"/>
          <w:lang w:val="en-US"/>
        </w:rPr>
        <w:lastRenderedPageBreak/>
        <w:t>Appendix 2</w:t>
      </w:r>
      <w:r>
        <w:rPr>
          <w:b/>
          <w:sz w:val="28"/>
          <w:szCs w:val="28"/>
          <w:lang w:val="en-US"/>
        </w:rPr>
        <w:t>.</w:t>
      </w:r>
      <w:r w:rsidRPr="0065715A">
        <w:rPr>
          <w:b/>
          <w:sz w:val="28"/>
          <w:szCs w:val="28"/>
          <w:lang w:val="en-US"/>
        </w:rPr>
        <w:t xml:space="preserve"> The Delphi survey – version 1</w:t>
      </w:r>
    </w:p>
    <w:p w14:paraId="0B96194D" w14:textId="77777777" w:rsidR="00412F49" w:rsidRDefault="00412F49" w:rsidP="00412F49">
      <w:pPr>
        <w:rPr>
          <w:lang w:val="en-US"/>
        </w:rPr>
      </w:pPr>
      <w:r>
        <w:rPr>
          <w:noProof/>
          <w:lang w:val="en-IE" w:eastAsia="en-IE"/>
        </w:rPr>
        <w:drawing>
          <wp:inline distT="0" distB="0" distL="0" distR="0" wp14:anchorId="577234F6" wp14:editId="5366B761">
            <wp:extent cx="8124144" cy="5529673"/>
            <wp:effectExtent l="158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46" r="46362"/>
                    <a:stretch/>
                  </pic:blipFill>
                  <pic:spPr bwMode="auto">
                    <a:xfrm rot="5400000">
                      <a:off x="0" y="0"/>
                      <a:ext cx="8141167" cy="5541260"/>
                    </a:xfrm>
                    <a:prstGeom prst="rect">
                      <a:avLst/>
                    </a:prstGeom>
                    <a:ln>
                      <a:noFill/>
                    </a:ln>
                    <a:extLst>
                      <a:ext uri="{53640926-AAD7-44D8-BBD7-CCE9431645EC}">
                        <a14:shadowObscured xmlns:a14="http://schemas.microsoft.com/office/drawing/2010/main"/>
                      </a:ext>
                    </a:extLst>
                  </pic:spPr>
                </pic:pic>
              </a:graphicData>
            </a:graphic>
          </wp:inline>
        </w:drawing>
      </w:r>
    </w:p>
    <w:p w14:paraId="185566D5" w14:textId="77777777" w:rsidR="00412F49" w:rsidRDefault="00412F49" w:rsidP="00412F49">
      <w:pPr>
        <w:rPr>
          <w:lang w:val="en-US"/>
        </w:rPr>
      </w:pPr>
      <w:r>
        <w:rPr>
          <w:noProof/>
          <w:lang w:val="en-IE" w:eastAsia="en-IE"/>
        </w:rPr>
        <w:lastRenderedPageBreak/>
        <w:drawing>
          <wp:inline distT="0" distB="0" distL="0" distR="0" wp14:anchorId="2695E14D" wp14:editId="5EF11160">
            <wp:extent cx="5965941" cy="544545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04" r="59821"/>
                    <a:stretch/>
                  </pic:blipFill>
                  <pic:spPr bwMode="auto">
                    <a:xfrm>
                      <a:off x="0" y="0"/>
                      <a:ext cx="5988226" cy="5465798"/>
                    </a:xfrm>
                    <a:prstGeom prst="rect">
                      <a:avLst/>
                    </a:prstGeom>
                    <a:ln>
                      <a:noFill/>
                    </a:ln>
                    <a:extLst>
                      <a:ext uri="{53640926-AAD7-44D8-BBD7-CCE9431645EC}">
                        <a14:shadowObscured xmlns:a14="http://schemas.microsoft.com/office/drawing/2010/main"/>
                      </a:ext>
                    </a:extLst>
                  </pic:spPr>
                </pic:pic>
              </a:graphicData>
            </a:graphic>
          </wp:inline>
        </w:drawing>
      </w:r>
    </w:p>
    <w:p w14:paraId="1F56B446" w14:textId="77777777" w:rsidR="00412F49" w:rsidRDefault="00412F49" w:rsidP="00412F49">
      <w:pPr>
        <w:rPr>
          <w:lang w:val="en-US"/>
        </w:rPr>
      </w:pPr>
      <w:r>
        <w:rPr>
          <w:lang w:val="en-US"/>
        </w:rPr>
        <w:br w:type="page"/>
      </w:r>
    </w:p>
    <w:p w14:paraId="5C4EB26D" w14:textId="77777777" w:rsidR="00412F49" w:rsidRPr="0065715A" w:rsidRDefault="00412F49" w:rsidP="00412F49">
      <w:pPr>
        <w:rPr>
          <w:b/>
          <w:sz w:val="28"/>
          <w:szCs w:val="28"/>
          <w:lang w:val="en-US"/>
        </w:rPr>
      </w:pPr>
      <w:r w:rsidRPr="0065715A">
        <w:rPr>
          <w:b/>
          <w:sz w:val="28"/>
          <w:szCs w:val="28"/>
          <w:lang w:val="en-US"/>
        </w:rPr>
        <w:lastRenderedPageBreak/>
        <w:t xml:space="preserve">Appendix 3. Text in </w:t>
      </w:r>
      <w:r>
        <w:rPr>
          <w:b/>
          <w:sz w:val="28"/>
          <w:szCs w:val="28"/>
          <w:lang w:val="en-US"/>
        </w:rPr>
        <w:t xml:space="preserve">the </w:t>
      </w:r>
      <w:r w:rsidRPr="0065715A">
        <w:rPr>
          <w:b/>
          <w:sz w:val="28"/>
          <w:szCs w:val="28"/>
          <w:lang w:val="en-US"/>
        </w:rPr>
        <w:t>2</w:t>
      </w:r>
      <w:r w:rsidRPr="0065715A">
        <w:rPr>
          <w:b/>
          <w:sz w:val="28"/>
          <w:szCs w:val="28"/>
          <w:vertAlign w:val="superscript"/>
          <w:lang w:val="en-US"/>
        </w:rPr>
        <w:t>nd</w:t>
      </w:r>
      <w:r w:rsidRPr="0065715A">
        <w:rPr>
          <w:b/>
          <w:sz w:val="28"/>
          <w:szCs w:val="28"/>
          <w:lang w:val="en-US"/>
        </w:rPr>
        <w:t xml:space="preserve"> Delphi survey about results from </w:t>
      </w:r>
      <w:r>
        <w:rPr>
          <w:b/>
          <w:sz w:val="28"/>
          <w:szCs w:val="28"/>
          <w:lang w:val="en-US"/>
        </w:rPr>
        <w:t xml:space="preserve">the </w:t>
      </w:r>
      <w:r w:rsidRPr="0065715A">
        <w:rPr>
          <w:b/>
          <w:sz w:val="28"/>
          <w:szCs w:val="28"/>
          <w:lang w:val="en-US"/>
        </w:rPr>
        <w:t>1</w:t>
      </w:r>
      <w:r w:rsidRPr="0065715A">
        <w:rPr>
          <w:b/>
          <w:sz w:val="28"/>
          <w:szCs w:val="28"/>
          <w:vertAlign w:val="superscript"/>
          <w:lang w:val="en-US"/>
        </w:rPr>
        <w:t>st</w:t>
      </w:r>
      <w:r>
        <w:rPr>
          <w:b/>
          <w:sz w:val="28"/>
          <w:szCs w:val="28"/>
          <w:lang w:val="en-US"/>
        </w:rPr>
        <w:t xml:space="preserve"> Delphi survey. </w:t>
      </w:r>
      <w:r w:rsidRPr="0065715A">
        <w:rPr>
          <w:b/>
          <w:sz w:val="28"/>
          <w:szCs w:val="28"/>
          <w:lang w:val="en-US"/>
        </w:rPr>
        <w:t>Assessing the risk in the Delphi survey – first round</w:t>
      </w:r>
    </w:p>
    <w:p w14:paraId="521FE6FF" w14:textId="77777777" w:rsidR="00412F49" w:rsidRPr="001B0D35" w:rsidRDefault="00412F49" w:rsidP="00412F49">
      <w:pPr>
        <w:rPr>
          <w:lang w:val="en-US"/>
        </w:rPr>
      </w:pPr>
      <w:r w:rsidRPr="001B0D35">
        <w:rPr>
          <w:lang w:val="en-US"/>
        </w:rPr>
        <w:t xml:space="preserve">For Tables 1 and 2 below we computed median scores for all negative effects and likelihoods that experts scored for the ecosystem services in Round 1 of the </w:t>
      </w:r>
      <w:r>
        <w:rPr>
          <w:lang w:val="en-US"/>
        </w:rPr>
        <w:t>ATLAS</w:t>
      </w:r>
      <w:r w:rsidRPr="001B0D35">
        <w:rPr>
          <w:lang w:val="en-US"/>
        </w:rPr>
        <w:t xml:space="preserve"> Delphi survey. These median scores were used to classify the effects and likelihoods into five classes ranging from “very low” effects and likelihoods to “very high” effects and likelihoods. The </w:t>
      </w:r>
      <w:proofErr w:type="spellStart"/>
      <w:r w:rsidRPr="001B0D35">
        <w:rPr>
          <w:lang w:val="en-US"/>
        </w:rPr>
        <w:t>colour</w:t>
      </w:r>
      <w:proofErr w:type="spellEnd"/>
      <w:r w:rsidRPr="001B0D35">
        <w:rPr>
          <w:lang w:val="en-US"/>
        </w:rPr>
        <w:t xml:space="preserve"> coding is given in the tables below. </w:t>
      </w:r>
    </w:p>
    <w:p w14:paraId="2CEDB7F4" w14:textId="77777777" w:rsidR="00412F49" w:rsidRPr="001B0D35" w:rsidRDefault="00412F49" w:rsidP="00412F49">
      <w:pPr>
        <w:jc w:val="left"/>
        <w:rPr>
          <w:lang w:val="en-US"/>
        </w:rPr>
      </w:pPr>
      <w:r w:rsidRPr="001B0D35">
        <w:rPr>
          <w:lang w:val="en-US"/>
        </w:rPr>
        <w:t>Table 1. The negative effect of human activities on ecosystem services</w:t>
      </w:r>
      <w:r>
        <w:rPr>
          <w:lang w:val="en-US"/>
        </w:rPr>
        <w:t xml:space="preserve"> </w:t>
      </w:r>
    </w:p>
    <w:p w14:paraId="36B6D406" w14:textId="77777777" w:rsidR="00412F49" w:rsidRPr="001B0D35" w:rsidRDefault="00412F49" w:rsidP="00412F49">
      <w:pPr>
        <w:rPr>
          <w:b/>
          <w:lang w:val="en-US"/>
        </w:rPr>
      </w:pPr>
      <w:r w:rsidRPr="001B0D35">
        <w:rPr>
          <w:b/>
          <w:noProof/>
          <w:lang w:val="en-IE" w:eastAsia="en-IE"/>
        </w:rPr>
        <w:drawing>
          <wp:inline distT="0" distB="0" distL="0" distR="0" wp14:anchorId="613477E0" wp14:editId="34E7AAB6">
            <wp:extent cx="5649478" cy="3486088"/>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4935" cy="3514138"/>
                    </a:xfrm>
                    <a:prstGeom prst="rect">
                      <a:avLst/>
                    </a:prstGeom>
                    <a:noFill/>
                  </pic:spPr>
                </pic:pic>
              </a:graphicData>
            </a:graphic>
          </wp:inline>
        </w:drawing>
      </w:r>
    </w:p>
    <w:p w14:paraId="1EF0AF7E" w14:textId="77777777" w:rsidR="00412F49" w:rsidRPr="001B0D35" w:rsidRDefault="00412F49" w:rsidP="00412F49">
      <w:pPr>
        <w:rPr>
          <w:b/>
          <w:lang w:val="en-US"/>
        </w:rPr>
      </w:pPr>
    </w:p>
    <w:p w14:paraId="128928ED" w14:textId="77777777" w:rsidR="00412F49" w:rsidRPr="001B0D35" w:rsidRDefault="00412F49" w:rsidP="00412F49">
      <w:pPr>
        <w:rPr>
          <w:b/>
          <w:lang w:val="en-US"/>
        </w:rPr>
      </w:pPr>
    </w:p>
    <w:p w14:paraId="32F3CFC2" w14:textId="77777777" w:rsidR="00412F49" w:rsidRPr="001B0D35" w:rsidRDefault="00412F49" w:rsidP="00412F49">
      <w:pPr>
        <w:rPr>
          <w:b/>
          <w:lang w:val="en-US"/>
        </w:rPr>
      </w:pPr>
    </w:p>
    <w:p w14:paraId="4E762024" w14:textId="77777777" w:rsidR="00412F49" w:rsidRPr="001B0D35" w:rsidRDefault="00412F49" w:rsidP="00412F49">
      <w:pPr>
        <w:rPr>
          <w:b/>
          <w:lang w:val="en-US"/>
        </w:rPr>
      </w:pPr>
    </w:p>
    <w:p w14:paraId="24BBD6AD" w14:textId="77777777" w:rsidR="00412F49" w:rsidRPr="001B0D35" w:rsidRDefault="00412F49" w:rsidP="00412F49">
      <w:pPr>
        <w:rPr>
          <w:b/>
          <w:lang w:val="en-US"/>
        </w:rPr>
      </w:pPr>
    </w:p>
    <w:p w14:paraId="55277D45" w14:textId="77777777" w:rsidR="00412F49" w:rsidRPr="001B0D35" w:rsidRDefault="00412F49" w:rsidP="00412F49">
      <w:pPr>
        <w:rPr>
          <w:b/>
          <w:lang w:val="en-US"/>
        </w:rPr>
      </w:pPr>
    </w:p>
    <w:p w14:paraId="66FD9269" w14:textId="77777777" w:rsidR="00412F49" w:rsidRPr="001B0D35" w:rsidRDefault="00412F49" w:rsidP="00412F49">
      <w:pPr>
        <w:rPr>
          <w:b/>
          <w:lang w:val="en-US"/>
        </w:rPr>
      </w:pPr>
    </w:p>
    <w:p w14:paraId="28E6B7E3" w14:textId="77777777" w:rsidR="00412F49" w:rsidRPr="001B0D35" w:rsidRDefault="00412F49" w:rsidP="00412F49">
      <w:pPr>
        <w:rPr>
          <w:b/>
          <w:lang w:val="en-US"/>
        </w:rPr>
      </w:pPr>
    </w:p>
    <w:p w14:paraId="36294EF7" w14:textId="77777777" w:rsidR="00412F49" w:rsidRPr="001B0D35" w:rsidRDefault="00412F49" w:rsidP="00412F49">
      <w:pPr>
        <w:rPr>
          <w:b/>
          <w:lang w:val="en-US"/>
        </w:rPr>
      </w:pPr>
      <w:r w:rsidRPr="001B0D35">
        <w:rPr>
          <w:b/>
          <w:lang w:val="en-US"/>
        </w:rPr>
        <w:lastRenderedPageBreak/>
        <w:t>Table 2 The likelihood of negative effects on ecosystem services</w:t>
      </w:r>
    </w:p>
    <w:p w14:paraId="69C728DA" w14:textId="77777777" w:rsidR="00412F49" w:rsidRDefault="00412F49" w:rsidP="00412F49">
      <w:pPr>
        <w:rPr>
          <w:b/>
          <w:lang w:val="en-US"/>
        </w:rPr>
      </w:pPr>
      <w:r w:rsidRPr="001B0D35">
        <w:rPr>
          <w:b/>
          <w:noProof/>
          <w:lang w:val="en-IE" w:eastAsia="en-IE"/>
        </w:rPr>
        <w:drawing>
          <wp:inline distT="0" distB="0" distL="0" distR="0" wp14:anchorId="368CD5E5" wp14:editId="53F67A7F">
            <wp:extent cx="5875728" cy="35318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6074" cy="3538047"/>
                    </a:xfrm>
                    <a:prstGeom prst="rect">
                      <a:avLst/>
                    </a:prstGeom>
                    <a:noFill/>
                  </pic:spPr>
                </pic:pic>
              </a:graphicData>
            </a:graphic>
          </wp:inline>
        </w:drawing>
      </w:r>
    </w:p>
    <w:p w14:paraId="18772C35" w14:textId="77777777" w:rsidR="00412F49" w:rsidRPr="001B0D35" w:rsidRDefault="00412F49" w:rsidP="00412F49">
      <w:pPr>
        <w:rPr>
          <w:b/>
          <w:lang w:val="en-US"/>
        </w:rPr>
      </w:pPr>
    </w:p>
    <w:p w14:paraId="2EE7AE25" w14:textId="77777777" w:rsidR="00412F49" w:rsidRPr="001B0D35" w:rsidRDefault="00412F49" w:rsidP="00412F49">
      <w:pPr>
        <w:jc w:val="left"/>
        <w:rPr>
          <w:b/>
          <w:lang w:val="en-US"/>
        </w:rPr>
      </w:pPr>
      <w:r w:rsidRPr="001B0D35">
        <w:rPr>
          <w:b/>
          <w:lang w:val="en-US"/>
        </w:rPr>
        <w:t>Median Effect and Likelihood on all Ecosystem Services</w:t>
      </w:r>
    </w:p>
    <w:p w14:paraId="09108076" w14:textId="77777777" w:rsidR="00412F49" w:rsidRPr="001B0D35" w:rsidRDefault="00412F49" w:rsidP="00412F49">
      <w:pPr>
        <w:rPr>
          <w:lang w:val="en-US"/>
        </w:rPr>
      </w:pPr>
      <w:r w:rsidRPr="001B0D35">
        <w:rPr>
          <w:lang w:val="en-US"/>
        </w:rPr>
        <w:t xml:space="preserve">In these bubble </w:t>
      </w:r>
      <w:r w:rsidRPr="004D231F">
        <w:rPr>
          <w:noProof/>
          <w:lang w:val="en-US"/>
        </w:rPr>
        <w:t>plots</w:t>
      </w:r>
      <w:r w:rsidRPr="001B0D35">
        <w:rPr>
          <w:lang w:val="en-US"/>
        </w:rPr>
        <w:t xml:space="preserve"> we graph the median effect and likelihood of all human impacts upon all ecosystem services. The sizes of the bubbles are determined by the number of services in each median category. The green bubbles are the number of services that are positively impacted, while the red </w:t>
      </w:r>
      <w:r w:rsidRPr="004D231F">
        <w:rPr>
          <w:noProof/>
          <w:lang w:val="en-US"/>
        </w:rPr>
        <w:t>are</w:t>
      </w:r>
      <w:r w:rsidRPr="001B0D35">
        <w:rPr>
          <w:lang w:val="en-US"/>
        </w:rPr>
        <w:t xml:space="preserve"> the services that are negatively impacted. For instance. When looking at the top left bubble plot, it presents the median effect and likelihood of temperature change on ecosystem services. Here we observe that there is a large number of services with a median of about 3 for both effect and likelihood, but a few services with high negative risk, i.e., the red bubble at point </w:t>
      </w:r>
      <w:proofErr w:type="gramStart"/>
      <w:r w:rsidRPr="001B0D35">
        <w:rPr>
          <w:lang w:val="en-US"/>
        </w:rPr>
        <w:t>( 4</w:t>
      </w:r>
      <w:proofErr w:type="gramEnd"/>
      <w:r w:rsidRPr="001B0D35">
        <w:rPr>
          <w:lang w:val="en-US"/>
        </w:rPr>
        <w:t xml:space="preserve">,4). </w:t>
      </w:r>
    </w:p>
    <w:p w14:paraId="591CD920" w14:textId="77777777" w:rsidR="00412F49" w:rsidRPr="001B0D35" w:rsidRDefault="00412F49" w:rsidP="00412F49">
      <w:pPr>
        <w:rPr>
          <w:lang w:val="en-US"/>
        </w:rPr>
      </w:pPr>
    </w:p>
    <w:p w14:paraId="42C28B8C" w14:textId="77777777" w:rsidR="00412F49" w:rsidRPr="001B0D35" w:rsidRDefault="00412F49" w:rsidP="00412F49">
      <w:pPr>
        <w:rPr>
          <w:lang w:val="en-US"/>
        </w:rPr>
      </w:pPr>
      <w:r w:rsidRPr="001B0D35">
        <w:rPr>
          <w:lang w:val="en-US"/>
        </w:rPr>
        <w:t xml:space="preserve">We created these plots by first dividing responses into positive and negative effects on ecosystem services. We then computed frequencies for each coordinate of effects and their corresponding likelihood scores. The coordinates of effects and likelihoods were plotted as bubbles and the sizes of the bubbles are determined by the frequencies. We performed the above two procedures for negative and positive effects separately. </w:t>
      </w:r>
    </w:p>
    <w:p w14:paraId="3C705B6B" w14:textId="77777777" w:rsidR="00412F49" w:rsidRPr="001B0D35" w:rsidRDefault="00412F49" w:rsidP="00412F49">
      <w:pPr>
        <w:rPr>
          <w:lang w:val="en-US"/>
        </w:rPr>
      </w:pPr>
      <w:r w:rsidRPr="001B0D35">
        <w:rPr>
          <w:noProof/>
          <w:lang w:val="en-IE" w:eastAsia="en-IE"/>
        </w:rPr>
        <w:lastRenderedPageBreak/>
        <w:drawing>
          <wp:inline distT="0" distB="0" distL="0" distR="0" wp14:anchorId="31C63ED7" wp14:editId="1D659CBE">
            <wp:extent cx="5701475" cy="29411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675" cy="2953109"/>
                    </a:xfrm>
                    <a:prstGeom prst="rect">
                      <a:avLst/>
                    </a:prstGeom>
                    <a:noFill/>
                  </pic:spPr>
                </pic:pic>
              </a:graphicData>
            </a:graphic>
          </wp:inline>
        </w:drawing>
      </w:r>
    </w:p>
    <w:p w14:paraId="3D6FDE61" w14:textId="77777777" w:rsidR="00412F49" w:rsidRPr="001B0D35" w:rsidRDefault="00412F49" w:rsidP="00412F49">
      <w:pPr>
        <w:rPr>
          <w:b/>
          <w:lang w:val="en-US"/>
        </w:rPr>
      </w:pPr>
      <w:r w:rsidRPr="001B0D35">
        <w:rPr>
          <w:b/>
          <w:lang w:val="en-US"/>
        </w:rPr>
        <w:t xml:space="preserve">Figure 1. The risk connected to human impacts on ecosystem services </w:t>
      </w:r>
    </w:p>
    <w:p w14:paraId="07B30629" w14:textId="77777777" w:rsidR="00412F49" w:rsidRPr="001B0D35" w:rsidRDefault="00412F49" w:rsidP="00412F49">
      <w:pPr>
        <w:rPr>
          <w:rFonts w:cstheme="minorHAnsi"/>
          <w:b/>
          <w:sz w:val="24"/>
          <w:szCs w:val="24"/>
          <w:lang w:val="en-US"/>
        </w:rPr>
      </w:pPr>
    </w:p>
    <w:p w14:paraId="79FFFAFA" w14:textId="77777777" w:rsidR="00412F49" w:rsidRDefault="00412F49" w:rsidP="00412F49">
      <w:pPr>
        <w:rPr>
          <w:rFonts w:cstheme="minorHAnsi"/>
          <w:b/>
          <w:sz w:val="24"/>
          <w:szCs w:val="24"/>
          <w:lang w:val="en-US"/>
        </w:rPr>
      </w:pPr>
      <w:r w:rsidRPr="001B0D35">
        <w:rPr>
          <w:rFonts w:cstheme="minorHAnsi"/>
          <w:b/>
          <w:sz w:val="24"/>
          <w:szCs w:val="24"/>
          <w:lang w:val="en-US"/>
        </w:rPr>
        <w:t>Ecosystem Services Risk Assessment Matrix </w:t>
      </w:r>
    </w:p>
    <w:p w14:paraId="6C4C4FD7" w14:textId="77777777" w:rsidR="00412F49" w:rsidRDefault="00412F49" w:rsidP="00412F49">
      <w:pPr>
        <w:rPr>
          <w:rFonts w:cstheme="minorHAnsi"/>
          <w:sz w:val="24"/>
          <w:szCs w:val="24"/>
          <w:lang w:val="en-US"/>
        </w:rPr>
      </w:pPr>
      <w:r w:rsidRPr="001B0D35">
        <w:rPr>
          <w:rFonts w:cstheme="minorHAnsi"/>
          <w:sz w:val="24"/>
          <w:szCs w:val="24"/>
          <w:lang w:val="en-US"/>
        </w:rPr>
        <w:t xml:space="preserve">The median scores we presented for both effects and likelihoods separately in Tables 1 and 2 above, were combined for risk assessment using the risk assessment matrix in </w:t>
      </w:r>
      <w:r>
        <w:rPr>
          <w:rFonts w:cstheme="minorHAnsi"/>
          <w:sz w:val="24"/>
          <w:szCs w:val="24"/>
          <w:lang w:val="en-US"/>
        </w:rPr>
        <w:t>Figure 2</w:t>
      </w:r>
      <w:r w:rsidRPr="001B0D35">
        <w:rPr>
          <w:rFonts w:cstheme="minorHAnsi"/>
          <w:sz w:val="24"/>
          <w:szCs w:val="24"/>
          <w:lang w:val="en-US"/>
        </w:rPr>
        <w:t> below. In the risk assessment matrix, high effects and high likelihoods indicate high risk and low effect and low likelihoods indicate low risk.</w:t>
      </w:r>
      <w:r>
        <w:rPr>
          <w:rFonts w:cstheme="minorHAnsi"/>
          <w:sz w:val="24"/>
          <w:szCs w:val="24"/>
          <w:lang w:val="en-US"/>
        </w:rPr>
        <w:t xml:space="preserve"> </w:t>
      </w:r>
      <w:r w:rsidRPr="001B0D35">
        <w:rPr>
          <w:rFonts w:cstheme="minorHAnsi"/>
          <w:sz w:val="24"/>
          <w:szCs w:val="24"/>
          <w:lang w:val="en-US"/>
        </w:rPr>
        <w:t xml:space="preserve">If we use a risk reporting matrix such as the one given in Figure 2 below, we find that there are only services at </w:t>
      </w:r>
      <w:r w:rsidRPr="004D231F">
        <w:rPr>
          <w:rFonts w:cstheme="minorHAnsi"/>
          <w:noProof/>
          <w:sz w:val="24"/>
          <w:szCs w:val="24"/>
          <w:lang w:val="en-US"/>
        </w:rPr>
        <w:t>high risk</w:t>
      </w:r>
      <w:r w:rsidRPr="001B0D35">
        <w:rPr>
          <w:rFonts w:cstheme="minorHAnsi"/>
          <w:sz w:val="24"/>
          <w:szCs w:val="24"/>
          <w:lang w:val="en-US"/>
        </w:rPr>
        <w:t xml:space="preserve"> level in our study where the median likelihood and effect are (4,4). I.e. there are no cases of the remaining red areas in the figure below.</w:t>
      </w:r>
    </w:p>
    <w:p w14:paraId="469FD13C" w14:textId="77777777" w:rsidR="00412F49" w:rsidRPr="001B0D35" w:rsidRDefault="00412F49" w:rsidP="00412F49">
      <w:pPr>
        <w:rPr>
          <w:rFonts w:cstheme="minorHAnsi"/>
          <w:sz w:val="24"/>
          <w:szCs w:val="24"/>
          <w:lang w:val="en-US"/>
        </w:rPr>
      </w:pPr>
      <w:r w:rsidRPr="001B0D35">
        <w:rPr>
          <w:rFonts w:cstheme="minorHAnsi"/>
          <w:sz w:val="24"/>
          <w:szCs w:val="24"/>
          <w:lang w:val="en-US"/>
        </w:rPr>
        <w:br/>
      </w:r>
    </w:p>
    <w:p w14:paraId="7C2AB473" w14:textId="77777777" w:rsidR="00412F49" w:rsidRPr="001B0D35" w:rsidRDefault="00412F49" w:rsidP="00412F49">
      <w:pPr>
        <w:rPr>
          <w:lang w:val="en-US"/>
        </w:rPr>
      </w:pPr>
      <w:r w:rsidRPr="001B0D35">
        <w:rPr>
          <w:noProof/>
          <w:lang w:val="en-IE" w:eastAsia="en-IE"/>
        </w:rPr>
        <w:lastRenderedPageBreak/>
        <w:drawing>
          <wp:inline distT="0" distB="0" distL="0" distR="0" wp14:anchorId="5E3AE84F" wp14:editId="14EEFCE3">
            <wp:extent cx="4554220" cy="28926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3723"/>
                    <a:stretch/>
                  </pic:blipFill>
                  <pic:spPr bwMode="auto">
                    <a:xfrm>
                      <a:off x="0" y="0"/>
                      <a:ext cx="4554220" cy="2892688"/>
                    </a:xfrm>
                    <a:prstGeom prst="rect">
                      <a:avLst/>
                    </a:prstGeom>
                    <a:noFill/>
                    <a:ln>
                      <a:noFill/>
                    </a:ln>
                    <a:extLst>
                      <a:ext uri="{53640926-AAD7-44D8-BBD7-CCE9431645EC}">
                        <a14:shadowObscured xmlns:a14="http://schemas.microsoft.com/office/drawing/2010/main"/>
                      </a:ext>
                    </a:extLst>
                  </pic:spPr>
                </pic:pic>
              </a:graphicData>
            </a:graphic>
          </wp:inline>
        </w:drawing>
      </w:r>
    </w:p>
    <w:p w14:paraId="0D598ED3" w14:textId="77777777" w:rsidR="00412F49" w:rsidRPr="001B0D35" w:rsidRDefault="00412F49" w:rsidP="00412F49">
      <w:pPr>
        <w:rPr>
          <w:sz w:val="24"/>
          <w:szCs w:val="24"/>
          <w:lang w:val="en-US"/>
        </w:rPr>
      </w:pPr>
      <w:r w:rsidRPr="001B0D35">
        <w:rPr>
          <w:sz w:val="24"/>
          <w:szCs w:val="24"/>
          <w:lang w:val="en-US"/>
        </w:rPr>
        <w:t>Figure 2. Risk reporting matrix</w:t>
      </w:r>
    </w:p>
    <w:p w14:paraId="3FC8EF9F" w14:textId="77777777" w:rsidR="00412F49" w:rsidRDefault="00412F49" w:rsidP="00412F49">
      <w:pPr>
        <w:rPr>
          <w:b/>
          <w:sz w:val="28"/>
          <w:szCs w:val="28"/>
          <w:lang w:val="en-US"/>
        </w:rPr>
      </w:pPr>
    </w:p>
    <w:p w14:paraId="1A9D7EBB" w14:textId="77777777" w:rsidR="00412F49" w:rsidRDefault="00412F49" w:rsidP="00412F49">
      <w:pPr>
        <w:spacing w:line="259" w:lineRule="auto"/>
        <w:jc w:val="left"/>
        <w:rPr>
          <w:b/>
          <w:sz w:val="28"/>
          <w:szCs w:val="28"/>
          <w:lang w:val="en-US"/>
        </w:rPr>
      </w:pPr>
      <w:r>
        <w:rPr>
          <w:b/>
          <w:sz w:val="28"/>
          <w:szCs w:val="28"/>
          <w:lang w:val="en-US"/>
        </w:rPr>
        <w:br w:type="page"/>
      </w:r>
    </w:p>
    <w:p w14:paraId="271388DA" w14:textId="77777777" w:rsidR="00412F49" w:rsidRPr="0065715A" w:rsidRDefault="00412F49" w:rsidP="00412F49">
      <w:pPr>
        <w:rPr>
          <w:b/>
          <w:sz w:val="28"/>
          <w:szCs w:val="28"/>
          <w:lang w:val="en-US"/>
        </w:rPr>
      </w:pPr>
      <w:r w:rsidRPr="0065715A">
        <w:rPr>
          <w:b/>
          <w:sz w:val="28"/>
          <w:szCs w:val="28"/>
          <w:lang w:val="en-US"/>
        </w:rPr>
        <w:lastRenderedPageBreak/>
        <w:t>Appendix 4</w:t>
      </w:r>
      <w:r>
        <w:rPr>
          <w:b/>
          <w:sz w:val="28"/>
          <w:szCs w:val="28"/>
          <w:lang w:val="en-US"/>
        </w:rPr>
        <w:t>.</w:t>
      </w:r>
      <w:r w:rsidRPr="0065715A">
        <w:rPr>
          <w:b/>
          <w:sz w:val="28"/>
          <w:szCs w:val="28"/>
          <w:lang w:val="en-US"/>
        </w:rPr>
        <w:t xml:space="preserve"> Example page of SurveyMonkey 2</w:t>
      </w:r>
      <w:r w:rsidRPr="0065715A">
        <w:rPr>
          <w:b/>
          <w:sz w:val="28"/>
          <w:szCs w:val="28"/>
          <w:vertAlign w:val="superscript"/>
          <w:lang w:val="en-US"/>
        </w:rPr>
        <w:t>nd</w:t>
      </w:r>
      <w:r w:rsidRPr="0065715A">
        <w:rPr>
          <w:b/>
          <w:sz w:val="28"/>
          <w:szCs w:val="28"/>
          <w:lang w:val="en-US"/>
        </w:rPr>
        <w:t xml:space="preserve"> Delphi survey</w:t>
      </w:r>
    </w:p>
    <w:p w14:paraId="3375E086" w14:textId="77777777" w:rsidR="00412F49" w:rsidRDefault="00412F49" w:rsidP="00412F49">
      <w:pPr>
        <w:rPr>
          <w:b/>
          <w:lang w:val="en-US"/>
        </w:rPr>
      </w:pPr>
      <w:r>
        <w:rPr>
          <w:b/>
          <w:noProof/>
          <w:lang w:val="en-IE" w:eastAsia="en-IE"/>
        </w:rPr>
        <w:drawing>
          <wp:inline distT="0" distB="0" distL="0" distR="0" wp14:anchorId="2F68504E" wp14:editId="4FDD90E2">
            <wp:extent cx="5761355" cy="34626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462655"/>
                    </a:xfrm>
                    <a:prstGeom prst="rect">
                      <a:avLst/>
                    </a:prstGeom>
                    <a:noFill/>
                  </pic:spPr>
                </pic:pic>
              </a:graphicData>
            </a:graphic>
          </wp:inline>
        </w:drawing>
      </w:r>
    </w:p>
    <w:p w14:paraId="4C33398A" w14:textId="77777777" w:rsidR="00412F49" w:rsidRDefault="00412F49" w:rsidP="00412F49">
      <w:pPr>
        <w:ind w:left="-567"/>
        <w:rPr>
          <w:b/>
          <w:sz w:val="28"/>
          <w:szCs w:val="28"/>
          <w:lang w:val="en-US"/>
        </w:rPr>
      </w:pPr>
    </w:p>
    <w:p w14:paraId="64333A33" w14:textId="77777777" w:rsidR="00412F49" w:rsidRDefault="00412F49" w:rsidP="00412F49">
      <w:pPr>
        <w:ind w:left="-567"/>
        <w:rPr>
          <w:b/>
          <w:sz w:val="28"/>
          <w:szCs w:val="28"/>
          <w:lang w:val="en-US"/>
        </w:rPr>
      </w:pPr>
    </w:p>
    <w:p w14:paraId="1C4C92EB" w14:textId="77777777" w:rsidR="00412F49" w:rsidRDefault="00412F49" w:rsidP="00412F49">
      <w:pPr>
        <w:spacing w:line="259" w:lineRule="auto"/>
        <w:jc w:val="left"/>
        <w:rPr>
          <w:b/>
          <w:sz w:val="28"/>
          <w:szCs w:val="28"/>
          <w:lang w:val="en-US"/>
        </w:rPr>
      </w:pPr>
      <w:r>
        <w:rPr>
          <w:b/>
          <w:sz w:val="28"/>
          <w:szCs w:val="28"/>
          <w:lang w:val="en-US"/>
        </w:rPr>
        <w:br w:type="page"/>
      </w:r>
    </w:p>
    <w:p w14:paraId="40ACF36C" w14:textId="77777777" w:rsidR="00412F49" w:rsidRDefault="00412F49" w:rsidP="00412F49">
      <w:pPr>
        <w:ind w:left="-567"/>
        <w:rPr>
          <w:b/>
          <w:sz w:val="28"/>
          <w:szCs w:val="28"/>
          <w:lang w:val="en-US"/>
        </w:rPr>
      </w:pPr>
      <w:r>
        <w:rPr>
          <w:b/>
          <w:sz w:val="28"/>
          <w:szCs w:val="28"/>
          <w:lang w:val="en-US"/>
        </w:rPr>
        <w:lastRenderedPageBreak/>
        <w:t>A</w:t>
      </w:r>
      <w:r w:rsidRPr="0065715A">
        <w:rPr>
          <w:b/>
          <w:sz w:val="28"/>
          <w:szCs w:val="28"/>
          <w:lang w:val="en-US"/>
        </w:rPr>
        <w:t xml:space="preserve">ppendix </w:t>
      </w:r>
      <w:r>
        <w:rPr>
          <w:b/>
          <w:sz w:val="28"/>
          <w:szCs w:val="28"/>
          <w:lang w:val="en-US"/>
        </w:rPr>
        <w:t>5.</w:t>
      </w:r>
      <w:r w:rsidRPr="0065715A">
        <w:rPr>
          <w:b/>
          <w:sz w:val="28"/>
          <w:szCs w:val="28"/>
          <w:lang w:val="en-US"/>
        </w:rPr>
        <w:t xml:space="preserve"> </w:t>
      </w:r>
      <w:r>
        <w:rPr>
          <w:b/>
          <w:sz w:val="28"/>
          <w:szCs w:val="28"/>
          <w:lang w:val="en-US"/>
        </w:rPr>
        <w:t xml:space="preserve">Figures from </w:t>
      </w:r>
      <w:proofErr w:type="gramStart"/>
      <w:r>
        <w:rPr>
          <w:b/>
          <w:sz w:val="28"/>
          <w:szCs w:val="28"/>
          <w:lang w:val="en-US"/>
        </w:rPr>
        <w:t xml:space="preserve">the </w:t>
      </w:r>
      <w:r w:rsidRPr="0065715A">
        <w:rPr>
          <w:b/>
          <w:sz w:val="28"/>
          <w:szCs w:val="28"/>
          <w:lang w:val="en-US"/>
        </w:rPr>
        <w:t xml:space="preserve"> 2</w:t>
      </w:r>
      <w:proofErr w:type="gramEnd"/>
      <w:r w:rsidRPr="0065715A">
        <w:rPr>
          <w:b/>
          <w:sz w:val="28"/>
          <w:szCs w:val="28"/>
          <w:vertAlign w:val="superscript"/>
          <w:lang w:val="en-US"/>
        </w:rPr>
        <w:t>nd</w:t>
      </w:r>
      <w:r w:rsidRPr="0065715A">
        <w:rPr>
          <w:b/>
          <w:sz w:val="28"/>
          <w:szCs w:val="28"/>
          <w:lang w:val="en-US"/>
        </w:rPr>
        <w:t xml:space="preserve"> Delphi survey</w:t>
      </w:r>
      <w:r>
        <w:rPr>
          <w:b/>
          <w:sz w:val="28"/>
          <w:szCs w:val="28"/>
          <w:lang w:val="en-US"/>
        </w:rPr>
        <w:t>, equivalent to those presented in the first survey (in Appendix 3), and figures from the first round equivalent Figures 3 and 4.</w:t>
      </w:r>
    </w:p>
    <w:p w14:paraId="46035CF6" w14:textId="77777777" w:rsidR="00412F49" w:rsidRDefault="00412F49" w:rsidP="00412F49">
      <w:pPr>
        <w:ind w:left="-567"/>
        <w:rPr>
          <w:b/>
          <w:sz w:val="28"/>
          <w:szCs w:val="28"/>
          <w:lang w:val="en-US"/>
        </w:rPr>
      </w:pPr>
      <w:r>
        <w:rPr>
          <w:b/>
          <w:noProof/>
          <w:lang w:val="en-IE" w:eastAsia="en-IE"/>
        </w:rPr>
        <w:drawing>
          <wp:inline distT="0" distB="0" distL="0" distR="0" wp14:anchorId="020C120F" wp14:editId="241D88C4">
            <wp:extent cx="5731510" cy="30524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052445"/>
                    </a:xfrm>
                    <a:prstGeom prst="rect">
                      <a:avLst/>
                    </a:prstGeom>
                    <a:noFill/>
                  </pic:spPr>
                </pic:pic>
              </a:graphicData>
            </a:graphic>
          </wp:inline>
        </w:drawing>
      </w:r>
    </w:p>
    <w:p w14:paraId="0A122455" w14:textId="77777777" w:rsidR="00412F49" w:rsidRDefault="00412F49" w:rsidP="00412F49">
      <w:pPr>
        <w:ind w:left="-567"/>
        <w:rPr>
          <w:b/>
          <w:sz w:val="28"/>
          <w:szCs w:val="28"/>
          <w:lang w:val="en-US"/>
        </w:rPr>
      </w:pPr>
      <w:r>
        <w:rPr>
          <w:b/>
          <w:noProof/>
          <w:lang w:val="en-IE" w:eastAsia="en-IE"/>
        </w:rPr>
        <w:drawing>
          <wp:inline distT="0" distB="0" distL="0" distR="0" wp14:anchorId="1C148D57" wp14:editId="5B7F0DAF">
            <wp:extent cx="5731510" cy="305689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56890"/>
                    </a:xfrm>
                    <a:prstGeom prst="rect">
                      <a:avLst/>
                    </a:prstGeom>
                    <a:noFill/>
                  </pic:spPr>
                </pic:pic>
              </a:graphicData>
            </a:graphic>
          </wp:inline>
        </w:drawing>
      </w:r>
    </w:p>
    <w:p w14:paraId="750897FC" w14:textId="77777777" w:rsidR="00412F49" w:rsidRDefault="00412F49" w:rsidP="00412F49">
      <w:pPr>
        <w:ind w:left="-567"/>
        <w:rPr>
          <w:b/>
          <w:sz w:val="28"/>
          <w:szCs w:val="28"/>
          <w:lang w:val="en-US"/>
        </w:rPr>
      </w:pPr>
      <w:r>
        <w:rPr>
          <w:b/>
          <w:noProof/>
          <w:lang w:val="en-IE" w:eastAsia="en-IE"/>
        </w:rPr>
        <w:lastRenderedPageBreak/>
        <w:drawing>
          <wp:inline distT="0" distB="0" distL="0" distR="0" wp14:anchorId="343CCC90" wp14:editId="1B808FEC">
            <wp:extent cx="5731510" cy="239522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395220"/>
                    </a:xfrm>
                    <a:prstGeom prst="rect">
                      <a:avLst/>
                    </a:prstGeom>
                    <a:noFill/>
                  </pic:spPr>
                </pic:pic>
              </a:graphicData>
            </a:graphic>
          </wp:inline>
        </w:drawing>
      </w:r>
    </w:p>
    <w:p w14:paraId="65BB86D8" w14:textId="77777777" w:rsidR="00412F49" w:rsidRDefault="00412F49" w:rsidP="00412F49">
      <w:pPr>
        <w:ind w:left="-567"/>
        <w:rPr>
          <w:b/>
          <w:sz w:val="28"/>
          <w:szCs w:val="28"/>
          <w:lang w:val="en-US"/>
        </w:rPr>
      </w:pPr>
    </w:p>
    <w:p w14:paraId="663106AD" w14:textId="77777777" w:rsidR="00412F49" w:rsidRDefault="00412F49" w:rsidP="00412F49">
      <w:pPr>
        <w:ind w:left="-567"/>
        <w:rPr>
          <w:b/>
          <w:sz w:val="28"/>
          <w:szCs w:val="28"/>
          <w:lang w:val="en-US"/>
        </w:rPr>
      </w:pPr>
    </w:p>
    <w:p w14:paraId="01D9FE82" w14:textId="77777777" w:rsidR="00412F49" w:rsidRDefault="00412F49" w:rsidP="00412F49">
      <w:pPr>
        <w:ind w:left="-567"/>
        <w:rPr>
          <w:b/>
          <w:sz w:val="28"/>
          <w:szCs w:val="28"/>
          <w:lang w:val="en-US"/>
        </w:rPr>
      </w:pPr>
    </w:p>
    <w:p w14:paraId="230564AB" w14:textId="77777777" w:rsidR="00412F49" w:rsidRDefault="00412F49" w:rsidP="00412F49">
      <w:pPr>
        <w:ind w:left="-567"/>
        <w:rPr>
          <w:b/>
          <w:sz w:val="28"/>
          <w:szCs w:val="28"/>
          <w:lang w:val="en-US"/>
        </w:rPr>
      </w:pPr>
    </w:p>
    <w:p w14:paraId="20F3CABE" w14:textId="77777777" w:rsidR="00412F49" w:rsidRDefault="00412F49" w:rsidP="00412F49">
      <w:pPr>
        <w:ind w:left="-567"/>
        <w:rPr>
          <w:b/>
          <w:sz w:val="28"/>
          <w:szCs w:val="28"/>
          <w:lang w:val="en-US"/>
        </w:rPr>
      </w:pPr>
    </w:p>
    <w:p w14:paraId="43B5A49A" w14:textId="77777777" w:rsidR="00412F49" w:rsidRDefault="00412F49" w:rsidP="00412F49">
      <w:pPr>
        <w:ind w:left="-567"/>
        <w:rPr>
          <w:b/>
          <w:sz w:val="28"/>
          <w:szCs w:val="28"/>
          <w:lang w:val="en-US"/>
        </w:rPr>
      </w:pPr>
    </w:p>
    <w:p w14:paraId="2A789006" w14:textId="77777777" w:rsidR="00412F49" w:rsidRDefault="00412F49" w:rsidP="00412F49">
      <w:pPr>
        <w:ind w:left="-567"/>
        <w:rPr>
          <w:b/>
          <w:sz w:val="28"/>
          <w:szCs w:val="28"/>
          <w:lang w:val="en-US"/>
        </w:rPr>
      </w:pPr>
    </w:p>
    <w:p w14:paraId="6E39F51E" w14:textId="77777777" w:rsidR="00412F49" w:rsidRDefault="00412F49" w:rsidP="00412F49">
      <w:pPr>
        <w:ind w:left="-567"/>
        <w:rPr>
          <w:b/>
          <w:sz w:val="28"/>
          <w:szCs w:val="28"/>
          <w:lang w:val="en-US"/>
        </w:rPr>
      </w:pPr>
    </w:p>
    <w:p w14:paraId="407D6FEB" w14:textId="77777777" w:rsidR="00412F49" w:rsidRDefault="00412F49" w:rsidP="00412F49">
      <w:pPr>
        <w:ind w:left="-567"/>
        <w:rPr>
          <w:b/>
          <w:sz w:val="28"/>
          <w:szCs w:val="28"/>
          <w:lang w:val="en-US"/>
        </w:rPr>
      </w:pPr>
    </w:p>
    <w:p w14:paraId="273B5321" w14:textId="77777777" w:rsidR="00412F49" w:rsidRDefault="00412F49" w:rsidP="00412F49">
      <w:pPr>
        <w:ind w:left="-567"/>
        <w:rPr>
          <w:b/>
          <w:sz w:val="28"/>
          <w:szCs w:val="28"/>
          <w:lang w:val="en-US"/>
        </w:rPr>
      </w:pPr>
    </w:p>
    <w:p w14:paraId="29F0DAC7" w14:textId="77777777" w:rsidR="00412F49" w:rsidRDefault="00412F49" w:rsidP="00412F49">
      <w:pPr>
        <w:ind w:left="-567"/>
        <w:rPr>
          <w:b/>
          <w:sz w:val="28"/>
          <w:szCs w:val="28"/>
          <w:lang w:val="en-US"/>
        </w:rPr>
      </w:pPr>
    </w:p>
    <w:p w14:paraId="1805CA34" w14:textId="77777777" w:rsidR="00412F49" w:rsidRDefault="00412F49" w:rsidP="00412F49">
      <w:pPr>
        <w:ind w:left="-567"/>
        <w:rPr>
          <w:b/>
          <w:sz w:val="28"/>
          <w:szCs w:val="28"/>
          <w:lang w:val="en-US"/>
        </w:rPr>
      </w:pPr>
    </w:p>
    <w:p w14:paraId="312AF26D" w14:textId="77777777" w:rsidR="00412F49" w:rsidRDefault="00412F49" w:rsidP="00412F49">
      <w:pPr>
        <w:ind w:left="-567"/>
        <w:rPr>
          <w:b/>
          <w:sz w:val="28"/>
          <w:szCs w:val="28"/>
          <w:lang w:val="en-US"/>
        </w:rPr>
      </w:pPr>
    </w:p>
    <w:p w14:paraId="57A308A7" w14:textId="77777777" w:rsidR="00412F49" w:rsidRDefault="00412F49" w:rsidP="00412F49">
      <w:pPr>
        <w:ind w:left="-567"/>
        <w:rPr>
          <w:b/>
          <w:sz w:val="28"/>
          <w:szCs w:val="28"/>
          <w:lang w:val="en-US"/>
        </w:rPr>
      </w:pPr>
    </w:p>
    <w:p w14:paraId="248FCC55" w14:textId="77777777" w:rsidR="00412F49" w:rsidRDefault="00412F49" w:rsidP="00412F49">
      <w:pPr>
        <w:ind w:left="-567"/>
        <w:rPr>
          <w:b/>
          <w:sz w:val="28"/>
          <w:szCs w:val="28"/>
          <w:lang w:val="en-US"/>
        </w:rPr>
      </w:pPr>
    </w:p>
    <w:p w14:paraId="3B9E8E4E" w14:textId="77777777" w:rsidR="00412F49" w:rsidRDefault="00412F49" w:rsidP="00412F49">
      <w:pPr>
        <w:keepNext/>
        <w:rPr>
          <w:szCs w:val="20"/>
        </w:rPr>
        <w:sectPr w:rsidR="00412F49" w:rsidSect="00E12401">
          <w:pgSz w:w="11906" w:h="16838"/>
          <w:pgMar w:top="1440" w:right="1440" w:bottom="1440" w:left="1440" w:header="709" w:footer="709" w:gutter="0"/>
          <w:cols w:space="708"/>
          <w:docGrid w:linePitch="360"/>
        </w:sectPr>
      </w:pPr>
    </w:p>
    <w:p w14:paraId="4CC60D5E" w14:textId="77777777" w:rsidR="00412F49" w:rsidRPr="00704F9B" w:rsidRDefault="00412F49" w:rsidP="00412F49">
      <w:pPr>
        <w:ind w:left="-567"/>
        <w:jc w:val="center"/>
        <w:rPr>
          <w:b/>
          <w:sz w:val="28"/>
          <w:szCs w:val="28"/>
          <w:lang w:val="en-US"/>
        </w:rPr>
      </w:pPr>
      <w:r>
        <w:rPr>
          <w:noProof/>
          <w:lang w:val="en-IE" w:eastAsia="en-IE"/>
        </w:rPr>
        <w:lastRenderedPageBreak/>
        <w:drawing>
          <wp:inline distT="0" distB="0" distL="0" distR="0" wp14:anchorId="2E1E21E2" wp14:editId="5506AA13">
            <wp:extent cx="5731510" cy="7979849"/>
            <wp:effectExtent l="0" t="0" r="2540" b="25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sz w:val="24"/>
          <w:szCs w:val="24"/>
          <w:lang w:val="en-US"/>
        </w:rPr>
        <w:t>Figure 4</w:t>
      </w:r>
      <w:r w:rsidRPr="00666891">
        <w:rPr>
          <w:rFonts w:ascii="Times New Roman" w:hAnsi="Times New Roman" w:cs="Times New Roman"/>
          <w:sz w:val="24"/>
          <w:szCs w:val="24"/>
          <w:lang w:val="en-US"/>
        </w:rPr>
        <w:t>: Ecosystem service risk levels from the negative effects of different human drivers</w:t>
      </w:r>
      <w:r>
        <w:rPr>
          <w:rFonts w:ascii="Times New Roman" w:hAnsi="Times New Roman" w:cs="Times New Roman"/>
          <w:sz w:val="24"/>
          <w:szCs w:val="24"/>
          <w:lang w:val="en-US"/>
        </w:rPr>
        <w:t xml:space="preserve"> from first survey (equivalent to Figure 3 from the second survey).</w:t>
      </w:r>
    </w:p>
    <w:p w14:paraId="64FBB07A" w14:textId="77777777" w:rsidR="00412F49" w:rsidRDefault="00412F49" w:rsidP="00412F49">
      <w:pPr>
        <w:keepNext/>
        <w:rPr>
          <w:szCs w:val="20"/>
        </w:rPr>
      </w:pPr>
      <w:r>
        <w:rPr>
          <w:noProof/>
          <w:lang w:val="en-IE" w:eastAsia="en-IE"/>
        </w:rPr>
        <w:lastRenderedPageBreak/>
        <w:drawing>
          <wp:inline distT="0" distB="0" distL="0" distR="0" wp14:anchorId="7BB785F9" wp14:editId="4A9B90F3">
            <wp:extent cx="5745707" cy="7069540"/>
            <wp:effectExtent l="0" t="0" r="7620"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AE36A7" w14:textId="77777777" w:rsidR="00412F49" w:rsidRPr="00704F9B" w:rsidRDefault="00412F49" w:rsidP="00412F49">
      <w:pPr>
        <w:rPr>
          <w:rFonts w:ascii="Times New Roman" w:hAnsi="Times New Roman" w:cs="Times New Roman"/>
          <w:sz w:val="24"/>
          <w:szCs w:val="24"/>
          <w:lang w:val="en-US"/>
        </w:rPr>
      </w:pPr>
      <w:r w:rsidRPr="00666891">
        <w:rPr>
          <w:rFonts w:ascii="Times New Roman" w:hAnsi="Times New Roman" w:cs="Times New Roman"/>
          <w:sz w:val="24"/>
          <w:szCs w:val="24"/>
          <w:lang w:val="en-US"/>
        </w:rPr>
        <w:t xml:space="preserve">Figure </w:t>
      </w:r>
      <w:r>
        <w:rPr>
          <w:rFonts w:ascii="Times New Roman" w:hAnsi="Times New Roman" w:cs="Times New Roman"/>
          <w:sz w:val="24"/>
          <w:szCs w:val="24"/>
          <w:lang w:val="en-US"/>
        </w:rPr>
        <w:t>5</w:t>
      </w:r>
      <w:r w:rsidRPr="00666891">
        <w:rPr>
          <w:rFonts w:ascii="Times New Roman" w:hAnsi="Times New Roman" w:cs="Times New Roman"/>
          <w:sz w:val="24"/>
          <w:szCs w:val="24"/>
          <w:lang w:val="en-US"/>
        </w:rPr>
        <w:t>: Human drivers risk levels upon ecosystem services. From the assessment of negative effects of human drivers on ecosystem services</w:t>
      </w:r>
      <w:r>
        <w:rPr>
          <w:rFonts w:ascii="Times New Roman" w:hAnsi="Times New Roman" w:cs="Times New Roman"/>
          <w:sz w:val="24"/>
          <w:szCs w:val="24"/>
          <w:lang w:val="en-US"/>
        </w:rPr>
        <w:t xml:space="preserve"> for first survey (equivalent to Figure 4 from the second survey)</w:t>
      </w:r>
      <w:r w:rsidRPr="00666891">
        <w:rPr>
          <w:rFonts w:ascii="Times New Roman" w:hAnsi="Times New Roman" w:cs="Times New Roman"/>
          <w:sz w:val="24"/>
          <w:szCs w:val="24"/>
          <w:lang w:val="en-US"/>
        </w:rPr>
        <w:t>.</w:t>
      </w:r>
    </w:p>
    <w:p w14:paraId="04736197" w14:textId="77777777" w:rsidR="00412F49" w:rsidRDefault="00412F49" w:rsidP="00412F49">
      <w:pPr>
        <w:keepNext/>
        <w:rPr>
          <w:szCs w:val="20"/>
        </w:rPr>
      </w:pPr>
      <w:bookmarkStart w:id="0" w:name="_GoBack"/>
    </w:p>
    <w:p w14:paraId="597384D1" w14:textId="77777777" w:rsidR="00412F49" w:rsidRPr="00983ED6" w:rsidRDefault="00412F49" w:rsidP="00412F49">
      <w:pPr>
        <w:keepNext/>
        <w:rPr>
          <w:szCs w:val="20"/>
        </w:rPr>
      </w:pPr>
    </w:p>
    <w:bookmarkEnd w:id="0"/>
    <w:p w14:paraId="3FBB3126" w14:textId="77777777" w:rsidR="00AF5F36" w:rsidRDefault="00AF5F36"/>
    <w:sectPr w:rsidR="00AF5F36" w:rsidSect="00E12401">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C1893"/>
    <w:multiLevelType w:val="hybridMultilevel"/>
    <w:tmpl w:val="75327FB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2B23611"/>
    <w:multiLevelType w:val="hybridMultilevel"/>
    <w:tmpl w:val="03D686BA"/>
    <w:lvl w:ilvl="0" w:tplc="177AEE3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49"/>
    <w:rsid w:val="00412F49"/>
    <w:rsid w:val="00AF5F36"/>
    <w:rsid w:val="00E124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01F3"/>
  <w15:chartTrackingRefBased/>
  <w15:docId w15:val="{2E6519FA-EFF4-48B4-8A7A-AD9426DAA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F49"/>
    <w:pPr>
      <w:spacing w:line="360" w:lineRule="auto"/>
      <w:jc w:val="both"/>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F49"/>
    <w:pPr>
      <w:numPr>
        <w:numId w:val="1"/>
      </w:numPr>
      <w:spacing w:after="240"/>
      <w:ind w:left="426" w:hanging="426"/>
      <w:contextualSpacing/>
    </w:pPr>
    <w:rPr>
      <w:rFonts w:eastAsia="MS Mincho" w:cs="Times New Roman"/>
      <w:szCs w:val="24"/>
    </w:rPr>
  </w:style>
  <w:style w:type="character" w:customStyle="1" w:styleId="il">
    <w:name w:val="il"/>
    <w:basedOn w:val="DefaultParagraphFont"/>
    <w:rsid w:val="00412F49"/>
  </w:style>
  <w:style w:type="character" w:styleId="LineNumber">
    <w:name w:val="line number"/>
    <w:basedOn w:val="DefaultParagraphFont"/>
    <w:uiPriority w:val="99"/>
    <w:semiHidden/>
    <w:unhideWhenUsed/>
    <w:rsid w:val="00412F49"/>
  </w:style>
  <w:style w:type="paragraph" w:styleId="BalloonText">
    <w:name w:val="Balloon Text"/>
    <w:basedOn w:val="Normal"/>
    <w:link w:val="BalloonTextChar"/>
    <w:uiPriority w:val="99"/>
    <w:semiHidden/>
    <w:unhideWhenUsed/>
    <w:rsid w:val="00E12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401"/>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hart" Target="charts/chart2.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Sheet5!$B$3</c:f>
              <c:strCache>
                <c:ptCount val="1"/>
                <c:pt idx="0">
                  <c:v>Low</c:v>
                </c:pt>
              </c:strCache>
            </c:strRef>
          </c:tx>
          <c:spPr>
            <a:solidFill>
              <a:srgbClr val="00B050"/>
            </a:solidFill>
            <a:ln>
              <a:noFill/>
            </a:ln>
            <a:effectLst/>
          </c:spPr>
          <c:invertIfNegative val="0"/>
          <c:cat>
            <c:strRef>
              <c:f>Sheet5!$A$4:$A$24</c:f>
              <c:strCache>
                <c:ptCount val="21"/>
                <c:pt idx="0">
                  <c:v>Raw materials</c:v>
                </c:pt>
                <c:pt idx="1">
                  <c:v>Primary production</c:v>
                </c:pt>
                <c:pt idx="2">
                  <c:v>Educational</c:v>
                </c:pt>
                <c:pt idx="3">
                  <c:v>Recreation/tourism</c:v>
                </c:pt>
                <c:pt idx="4">
                  <c:v>Biological control</c:v>
                </c:pt>
                <c:pt idx="5">
                  <c:v>Waste absorption/detoxification</c:v>
                </c:pt>
                <c:pt idx="6">
                  <c:v>Nutrient cycling / biological pump</c:v>
                </c:pt>
                <c:pt idx="7">
                  <c:v>Chemicals/pharmaceuticals </c:v>
                </c:pt>
                <c:pt idx="8">
                  <c:v>Resilience</c:v>
                </c:pt>
                <c:pt idx="9">
                  <c:v>Existence/bequest</c:v>
                </c:pt>
                <c:pt idx="10">
                  <c:v>Cultural heritage</c:v>
                </c:pt>
                <c:pt idx="11">
                  <c:v>Minerals</c:v>
                </c:pt>
                <c:pt idx="12">
                  <c:v>Oil/gas/energy</c:v>
                </c:pt>
                <c:pt idx="13">
                  <c:v>Waste disposal sites</c:v>
                </c:pt>
                <c:pt idx="14">
                  <c:v>Carbon sequestration/absorption</c:v>
                </c:pt>
                <c:pt idx="15">
                  <c:v>Water circulation/exchange</c:v>
                </c:pt>
                <c:pt idx="16">
                  <c:v>Climate regulation</c:v>
                </c:pt>
                <c:pt idx="17">
                  <c:v>Fish/shellfish</c:v>
                </c:pt>
                <c:pt idx="18">
                  <c:v>Habitat</c:v>
                </c:pt>
                <c:pt idx="19">
                  <c:v>Biodiversity (supporting)</c:v>
                </c:pt>
                <c:pt idx="20">
                  <c:v>Biodiversity (cultural)</c:v>
                </c:pt>
              </c:strCache>
            </c:strRef>
          </c:cat>
          <c:val>
            <c:numRef>
              <c:f>Sheet5!$B$4:$B$24</c:f>
              <c:numCache>
                <c:formatCode>General</c:formatCode>
                <c:ptCount val="21"/>
                <c:pt idx="0">
                  <c:v>7</c:v>
                </c:pt>
                <c:pt idx="1">
                  <c:v>5</c:v>
                </c:pt>
                <c:pt idx="2">
                  <c:v>4</c:v>
                </c:pt>
                <c:pt idx="3">
                  <c:v>4</c:v>
                </c:pt>
                <c:pt idx="4">
                  <c:v>4</c:v>
                </c:pt>
                <c:pt idx="5">
                  <c:v>4</c:v>
                </c:pt>
                <c:pt idx="6">
                  <c:v>3</c:v>
                </c:pt>
                <c:pt idx="7">
                  <c:v>3</c:v>
                </c:pt>
                <c:pt idx="8">
                  <c:v>2</c:v>
                </c:pt>
                <c:pt idx="9">
                  <c:v>1</c:v>
                </c:pt>
                <c:pt idx="10">
                  <c:v>1</c:v>
                </c:pt>
                <c:pt idx="11">
                  <c:v>6</c:v>
                </c:pt>
                <c:pt idx="12">
                  <c:v>5</c:v>
                </c:pt>
                <c:pt idx="13">
                  <c:v>5</c:v>
                </c:pt>
                <c:pt idx="14">
                  <c:v>4</c:v>
                </c:pt>
                <c:pt idx="15">
                  <c:v>3</c:v>
                </c:pt>
                <c:pt idx="16">
                  <c:v>4</c:v>
                </c:pt>
                <c:pt idx="17">
                  <c:v>3</c:v>
                </c:pt>
                <c:pt idx="18">
                  <c:v>2</c:v>
                </c:pt>
                <c:pt idx="19">
                  <c:v>2</c:v>
                </c:pt>
                <c:pt idx="20">
                  <c:v>2</c:v>
                </c:pt>
              </c:numCache>
            </c:numRef>
          </c:val>
          <c:extLst>
            <c:ext xmlns:c16="http://schemas.microsoft.com/office/drawing/2014/chart" uri="{C3380CC4-5D6E-409C-BE32-E72D297353CC}">
              <c16:uniqueId val="{00000000-092B-4C3C-869E-82974FFEA29F}"/>
            </c:ext>
          </c:extLst>
        </c:ser>
        <c:ser>
          <c:idx val="1"/>
          <c:order val="1"/>
          <c:tx>
            <c:strRef>
              <c:f>Sheet5!$C$3</c:f>
              <c:strCache>
                <c:ptCount val="1"/>
                <c:pt idx="0">
                  <c:v>Medium</c:v>
                </c:pt>
              </c:strCache>
            </c:strRef>
          </c:tx>
          <c:spPr>
            <a:solidFill>
              <a:srgbClr val="FFFF00"/>
            </a:solidFill>
            <a:ln>
              <a:noFill/>
            </a:ln>
            <a:effectLst/>
          </c:spPr>
          <c:invertIfNegative val="0"/>
          <c:cat>
            <c:strRef>
              <c:f>Sheet5!$A$4:$A$24</c:f>
              <c:strCache>
                <c:ptCount val="21"/>
                <c:pt idx="0">
                  <c:v>Raw materials</c:v>
                </c:pt>
                <c:pt idx="1">
                  <c:v>Primary production</c:v>
                </c:pt>
                <c:pt idx="2">
                  <c:v>Educational</c:v>
                </c:pt>
                <c:pt idx="3">
                  <c:v>Recreation/tourism</c:v>
                </c:pt>
                <c:pt idx="4">
                  <c:v>Biological control</c:v>
                </c:pt>
                <c:pt idx="5">
                  <c:v>Waste absorption/detoxification</c:v>
                </c:pt>
                <c:pt idx="6">
                  <c:v>Nutrient cycling / biological pump</c:v>
                </c:pt>
                <c:pt idx="7">
                  <c:v>Chemicals/pharmaceuticals </c:v>
                </c:pt>
                <c:pt idx="8">
                  <c:v>Resilience</c:v>
                </c:pt>
                <c:pt idx="9">
                  <c:v>Existence/bequest</c:v>
                </c:pt>
                <c:pt idx="10">
                  <c:v>Cultural heritage</c:v>
                </c:pt>
                <c:pt idx="11">
                  <c:v>Minerals</c:v>
                </c:pt>
                <c:pt idx="12">
                  <c:v>Oil/gas/energy</c:v>
                </c:pt>
                <c:pt idx="13">
                  <c:v>Waste disposal sites</c:v>
                </c:pt>
                <c:pt idx="14">
                  <c:v>Carbon sequestration/absorption</c:v>
                </c:pt>
                <c:pt idx="15">
                  <c:v>Water circulation/exchange</c:v>
                </c:pt>
                <c:pt idx="16">
                  <c:v>Climate regulation</c:v>
                </c:pt>
                <c:pt idx="17">
                  <c:v>Fish/shellfish</c:v>
                </c:pt>
                <c:pt idx="18">
                  <c:v>Habitat</c:v>
                </c:pt>
                <c:pt idx="19">
                  <c:v>Biodiversity (supporting)</c:v>
                </c:pt>
                <c:pt idx="20">
                  <c:v>Biodiversity (cultural)</c:v>
                </c:pt>
              </c:strCache>
            </c:strRef>
          </c:cat>
          <c:val>
            <c:numRef>
              <c:f>Sheet5!$C$4:$C$24</c:f>
              <c:numCache>
                <c:formatCode>General</c:formatCode>
                <c:ptCount val="21"/>
                <c:pt idx="0">
                  <c:v>2</c:v>
                </c:pt>
                <c:pt idx="1">
                  <c:v>4</c:v>
                </c:pt>
                <c:pt idx="2">
                  <c:v>4</c:v>
                </c:pt>
                <c:pt idx="3">
                  <c:v>5</c:v>
                </c:pt>
                <c:pt idx="4">
                  <c:v>5</c:v>
                </c:pt>
                <c:pt idx="5">
                  <c:v>5</c:v>
                </c:pt>
                <c:pt idx="6">
                  <c:v>6</c:v>
                </c:pt>
                <c:pt idx="7">
                  <c:v>6</c:v>
                </c:pt>
                <c:pt idx="8">
                  <c:v>7</c:v>
                </c:pt>
                <c:pt idx="9">
                  <c:v>8</c:v>
                </c:pt>
                <c:pt idx="10">
                  <c:v>8</c:v>
                </c:pt>
                <c:pt idx="11">
                  <c:v>2</c:v>
                </c:pt>
                <c:pt idx="12">
                  <c:v>2</c:v>
                </c:pt>
                <c:pt idx="13">
                  <c:v>3</c:v>
                </c:pt>
                <c:pt idx="14">
                  <c:v>4</c:v>
                </c:pt>
                <c:pt idx="15">
                  <c:v>5</c:v>
                </c:pt>
                <c:pt idx="16">
                  <c:v>3</c:v>
                </c:pt>
                <c:pt idx="17">
                  <c:v>4</c:v>
                </c:pt>
                <c:pt idx="18">
                  <c:v>5</c:v>
                </c:pt>
                <c:pt idx="19">
                  <c:v>4</c:v>
                </c:pt>
                <c:pt idx="20">
                  <c:v>4</c:v>
                </c:pt>
              </c:numCache>
            </c:numRef>
          </c:val>
          <c:extLst>
            <c:ext xmlns:c16="http://schemas.microsoft.com/office/drawing/2014/chart" uri="{C3380CC4-5D6E-409C-BE32-E72D297353CC}">
              <c16:uniqueId val="{00000001-092B-4C3C-869E-82974FFEA29F}"/>
            </c:ext>
          </c:extLst>
        </c:ser>
        <c:ser>
          <c:idx val="2"/>
          <c:order val="2"/>
          <c:tx>
            <c:strRef>
              <c:f>Sheet5!$D$3</c:f>
              <c:strCache>
                <c:ptCount val="1"/>
                <c:pt idx="0">
                  <c:v>High</c:v>
                </c:pt>
              </c:strCache>
            </c:strRef>
          </c:tx>
          <c:spPr>
            <a:solidFill>
              <a:srgbClr val="FF0000"/>
            </a:solidFill>
            <a:ln>
              <a:noFill/>
            </a:ln>
            <a:effectLst/>
          </c:spPr>
          <c:invertIfNegative val="0"/>
          <c:cat>
            <c:strRef>
              <c:f>Sheet5!$A$4:$A$24</c:f>
              <c:strCache>
                <c:ptCount val="21"/>
                <c:pt idx="0">
                  <c:v>Raw materials</c:v>
                </c:pt>
                <c:pt idx="1">
                  <c:v>Primary production</c:v>
                </c:pt>
                <c:pt idx="2">
                  <c:v>Educational</c:v>
                </c:pt>
                <c:pt idx="3">
                  <c:v>Recreation/tourism</c:v>
                </c:pt>
                <c:pt idx="4">
                  <c:v>Biological control</c:v>
                </c:pt>
                <c:pt idx="5">
                  <c:v>Waste absorption/detoxification</c:v>
                </c:pt>
                <c:pt idx="6">
                  <c:v>Nutrient cycling / biological pump</c:v>
                </c:pt>
                <c:pt idx="7">
                  <c:v>Chemicals/pharmaceuticals </c:v>
                </c:pt>
                <c:pt idx="8">
                  <c:v>Resilience</c:v>
                </c:pt>
                <c:pt idx="9">
                  <c:v>Existence/bequest</c:v>
                </c:pt>
                <c:pt idx="10">
                  <c:v>Cultural heritage</c:v>
                </c:pt>
                <c:pt idx="11">
                  <c:v>Minerals</c:v>
                </c:pt>
                <c:pt idx="12">
                  <c:v>Oil/gas/energy</c:v>
                </c:pt>
                <c:pt idx="13">
                  <c:v>Waste disposal sites</c:v>
                </c:pt>
                <c:pt idx="14">
                  <c:v>Carbon sequestration/absorption</c:v>
                </c:pt>
                <c:pt idx="15">
                  <c:v>Water circulation/exchange</c:v>
                </c:pt>
                <c:pt idx="16">
                  <c:v>Climate regulation</c:v>
                </c:pt>
                <c:pt idx="17">
                  <c:v>Fish/shellfish</c:v>
                </c:pt>
                <c:pt idx="18">
                  <c:v>Habitat</c:v>
                </c:pt>
                <c:pt idx="19">
                  <c:v>Biodiversity (supporting)</c:v>
                </c:pt>
                <c:pt idx="20">
                  <c:v>Biodiversity (cultural)</c:v>
                </c:pt>
              </c:strCache>
            </c:strRef>
          </c:cat>
          <c:val>
            <c:numRef>
              <c:f>Sheet5!$D$4:$D$24</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1</c:v>
                </c:pt>
                <c:pt idx="12">
                  <c:v>1</c:v>
                </c:pt>
                <c:pt idx="13">
                  <c:v>1</c:v>
                </c:pt>
                <c:pt idx="14">
                  <c:v>1</c:v>
                </c:pt>
                <c:pt idx="15">
                  <c:v>1</c:v>
                </c:pt>
                <c:pt idx="16">
                  <c:v>2</c:v>
                </c:pt>
                <c:pt idx="17">
                  <c:v>2</c:v>
                </c:pt>
                <c:pt idx="18">
                  <c:v>2</c:v>
                </c:pt>
                <c:pt idx="19">
                  <c:v>3</c:v>
                </c:pt>
                <c:pt idx="20">
                  <c:v>3</c:v>
                </c:pt>
              </c:numCache>
            </c:numRef>
          </c:val>
          <c:extLst>
            <c:ext xmlns:c16="http://schemas.microsoft.com/office/drawing/2014/chart" uri="{C3380CC4-5D6E-409C-BE32-E72D297353CC}">
              <c16:uniqueId val="{00000002-092B-4C3C-869E-82974FFEA29F}"/>
            </c:ext>
          </c:extLst>
        </c:ser>
        <c:dLbls>
          <c:showLegendKey val="0"/>
          <c:showVal val="0"/>
          <c:showCatName val="0"/>
          <c:showSerName val="0"/>
          <c:showPercent val="0"/>
          <c:showBubbleSize val="0"/>
        </c:dLbls>
        <c:gapWidth val="150"/>
        <c:overlap val="100"/>
        <c:axId val="414267256"/>
        <c:axId val="414266864"/>
      </c:barChart>
      <c:catAx>
        <c:axId val="414267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414266864"/>
        <c:crosses val="autoZero"/>
        <c:auto val="1"/>
        <c:lblAlgn val="ctr"/>
        <c:lblOffset val="100"/>
        <c:noMultiLvlLbl val="0"/>
      </c:catAx>
      <c:valAx>
        <c:axId val="414266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414267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Sheet4!$B$2</c:f>
              <c:strCache>
                <c:ptCount val="1"/>
                <c:pt idx="0">
                  <c:v>Low</c:v>
                </c:pt>
              </c:strCache>
            </c:strRef>
          </c:tx>
          <c:spPr>
            <a:solidFill>
              <a:srgbClr val="00B050"/>
            </a:solidFill>
            <a:ln>
              <a:noFill/>
            </a:ln>
            <a:effectLst/>
          </c:spPr>
          <c:invertIfNegative val="0"/>
          <c:cat>
            <c:strRef>
              <c:f>Sheet4!$A$3:$A$11</c:f>
              <c:strCache>
                <c:ptCount val="9"/>
                <c:pt idx="0">
                  <c:v>BLUE BIOTECH</c:v>
                </c:pt>
                <c:pt idx="1">
                  <c:v>TOURISM</c:v>
                </c:pt>
                <c:pt idx="2">
                  <c:v>OIL/GAS</c:v>
                </c:pt>
                <c:pt idx="3">
                  <c:v>MINING</c:v>
                </c:pt>
                <c:pt idx="4">
                  <c:v>FISHING</c:v>
                </c:pt>
                <c:pt idx="5">
                  <c:v>CUMULATIVE</c:v>
                </c:pt>
                <c:pt idx="6">
                  <c:v>TEMPERATURE CHANGE</c:v>
                </c:pt>
                <c:pt idx="7">
                  <c:v>POLLUTION</c:v>
                </c:pt>
                <c:pt idx="8">
                  <c:v>OCEAN ACCIDIFICATION</c:v>
                </c:pt>
              </c:strCache>
            </c:strRef>
          </c:cat>
          <c:val>
            <c:numRef>
              <c:f>Sheet4!$B$3:$B$11</c:f>
              <c:numCache>
                <c:formatCode>General</c:formatCode>
                <c:ptCount val="9"/>
                <c:pt idx="0">
                  <c:v>19</c:v>
                </c:pt>
                <c:pt idx="1">
                  <c:v>16</c:v>
                </c:pt>
                <c:pt idx="2">
                  <c:v>11</c:v>
                </c:pt>
                <c:pt idx="3">
                  <c:v>7</c:v>
                </c:pt>
                <c:pt idx="4">
                  <c:v>9</c:v>
                </c:pt>
                <c:pt idx="5">
                  <c:v>6</c:v>
                </c:pt>
                <c:pt idx="6">
                  <c:v>3</c:v>
                </c:pt>
                <c:pt idx="7">
                  <c:v>2</c:v>
                </c:pt>
                <c:pt idx="8">
                  <c:v>2</c:v>
                </c:pt>
              </c:numCache>
            </c:numRef>
          </c:val>
          <c:extLst>
            <c:ext xmlns:c16="http://schemas.microsoft.com/office/drawing/2014/chart" uri="{C3380CC4-5D6E-409C-BE32-E72D297353CC}">
              <c16:uniqueId val="{00000000-2213-4F27-8971-FAC5E4280A30}"/>
            </c:ext>
          </c:extLst>
        </c:ser>
        <c:ser>
          <c:idx val="1"/>
          <c:order val="1"/>
          <c:tx>
            <c:strRef>
              <c:f>Sheet4!$C$2</c:f>
              <c:strCache>
                <c:ptCount val="1"/>
                <c:pt idx="0">
                  <c:v>Medium</c:v>
                </c:pt>
              </c:strCache>
            </c:strRef>
          </c:tx>
          <c:spPr>
            <a:solidFill>
              <a:srgbClr val="FFFF00"/>
            </a:solidFill>
            <a:ln>
              <a:noFill/>
            </a:ln>
            <a:effectLst/>
          </c:spPr>
          <c:invertIfNegative val="0"/>
          <c:cat>
            <c:strRef>
              <c:f>Sheet4!$A$3:$A$11</c:f>
              <c:strCache>
                <c:ptCount val="9"/>
                <c:pt idx="0">
                  <c:v>BLUE BIOTECH</c:v>
                </c:pt>
                <c:pt idx="1">
                  <c:v>TOURISM</c:v>
                </c:pt>
                <c:pt idx="2">
                  <c:v>OIL/GAS</c:v>
                </c:pt>
                <c:pt idx="3">
                  <c:v>MINING</c:v>
                </c:pt>
                <c:pt idx="4">
                  <c:v>FISHING</c:v>
                </c:pt>
                <c:pt idx="5">
                  <c:v>CUMULATIVE</c:v>
                </c:pt>
                <c:pt idx="6">
                  <c:v>TEMPERATURE CHANGE</c:v>
                </c:pt>
                <c:pt idx="7">
                  <c:v>POLLUTION</c:v>
                </c:pt>
                <c:pt idx="8">
                  <c:v>OCEAN ACCIDIFICATION</c:v>
                </c:pt>
              </c:strCache>
            </c:strRef>
          </c:cat>
          <c:val>
            <c:numRef>
              <c:f>Sheet4!$C$3:$C$11</c:f>
              <c:numCache>
                <c:formatCode>General</c:formatCode>
                <c:ptCount val="9"/>
                <c:pt idx="0">
                  <c:v>2</c:v>
                </c:pt>
                <c:pt idx="1">
                  <c:v>5</c:v>
                </c:pt>
                <c:pt idx="2">
                  <c:v>9</c:v>
                </c:pt>
                <c:pt idx="3">
                  <c:v>13</c:v>
                </c:pt>
                <c:pt idx="4">
                  <c:v>10</c:v>
                </c:pt>
                <c:pt idx="5">
                  <c:v>13</c:v>
                </c:pt>
                <c:pt idx="6">
                  <c:v>14</c:v>
                </c:pt>
                <c:pt idx="7">
                  <c:v>15</c:v>
                </c:pt>
                <c:pt idx="8">
                  <c:v>13</c:v>
                </c:pt>
              </c:numCache>
            </c:numRef>
          </c:val>
          <c:extLst>
            <c:ext xmlns:c16="http://schemas.microsoft.com/office/drawing/2014/chart" uri="{C3380CC4-5D6E-409C-BE32-E72D297353CC}">
              <c16:uniqueId val="{00000001-2213-4F27-8971-FAC5E4280A30}"/>
            </c:ext>
          </c:extLst>
        </c:ser>
        <c:ser>
          <c:idx val="2"/>
          <c:order val="2"/>
          <c:tx>
            <c:strRef>
              <c:f>Sheet4!$D$2</c:f>
              <c:strCache>
                <c:ptCount val="1"/>
                <c:pt idx="0">
                  <c:v>High</c:v>
                </c:pt>
              </c:strCache>
            </c:strRef>
          </c:tx>
          <c:spPr>
            <a:solidFill>
              <a:srgbClr val="FF0000"/>
            </a:solidFill>
            <a:ln>
              <a:noFill/>
            </a:ln>
            <a:effectLst/>
          </c:spPr>
          <c:invertIfNegative val="0"/>
          <c:cat>
            <c:strRef>
              <c:f>Sheet4!$A$3:$A$11</c:f>
              <c:strCache>
                <c:ptCount val="9"/>
                <c:pt idx="0">
                  <c:v>BLUE BIOTECH</c:v>
                </c:pt>
                <c:pt idx="1">
                  <c:v>TOURISM</c:v>
                </c:pt>
                <c:pt idx="2">
                  <c:v>OIL/GAS</c:v>
                </c:pt>
                <c:pt idx="3">
                  <c:v>MINING</c:v>
                </c:pt>
                <c:pt idx="4">
                  <c:v>FISHING</c:v>
                </c:pt>
                <c:pt idx="5">
                  <c:v>CUMULATIVE</c:v>
                </c:pt>
                <c:pt idx="6">
                  <c:v>TEMPERATURE CHANGE</c:v>
                </c:pt>
                <c:pt idx="7">
                  <c:v>POLLUTION</c:v>
                </c:pt>
                <c:pt idx="8">
                  <c:v>OCEAN ACCIDIFICATION</c:v>
                </c:pt>
              </c:strCache>
            </c:strRef>
          </c:cat>
          <c:val>
            <c:numRef>
              <c:f>Sheet4!$D$3:$D$11</c:f>
              <c:numCache>
                <c:formatCode>General</c:formatCode>
                <c:ptCount val="9"/>
                <c:pt idx="0">
                  <c:v>0</c:v>
                </c:pt>
                <c:pt idx="1">
                  <c:v>0</c:v>
                </c:pt>
                <c:pt idx="2">
                  <c:v>1</c:v>
                </c:pt>
                <c:pt idx="3">
                  <c:v>1</c:v>
                </c:pt>
                <c:pt idx="4">
                  <c:v>2</c:v>
                </c:pt>
                <c:pt idx="5">
                  <c:v>2</c:v>
                </c:pt>
                <c:pt idx="6">
                  <c:v>3</c:v>
                </c:pt>
                <c:pt idx="7">
                  <c:v>4</c:v>
                </c:pt>
                <c:pt idx="8">
                  <c:v>5</c:v>
                </c:pt>
              </c:numCache>
            </c:numRef>
          </c:val>
          <c:extLst>
            <c:ext xmlns:c16="http://schemas.microsoft.com/office/drawing/2014/chart" uri="{C3380CC4-5D6E-409C-BE32-E72D297353CC}">
              <c16:uniqueId val="{00000002-2213-4F27-8971-FAC5E4280A30}"/>
            </c:ext>
          </c:extLst>
        </c:ser>
        <c:dLbls>
          <c:showLegendKey val="0"/>
          <c:showVal val="0"/>
          <c:showCatName val="0"/>
          <c:showSerName val="0"/>
          <c:showPercent val="0"/>
          <c:showBubbleSize val="0"/>
        </c:dLbls>
        <c:gapWidth val="150"/>
        <c:overlap val="100"/>
        <c:axId val="412331088"/>
        <c:axId val="412331480"/>
      </c:barChart>
      <c:catAx>
        <c:axId val="41233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412331480"/>
        <c:crosses val="autoZero"/>
        <c:auto val="1"/>
        <c:lblAlgn val="ctr"/>
        <c:lblOffset val="100"/>
        <c:noMultiLvlLbl val="0"/>
      </c:catAx>
      <c:valAx>
        <c:axId val="412331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41233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Foley</dc:creator>
  <cp:keywords/>
  <dc:description/>
  <cp:lastModifiedBy>Gillian Attard</cp:lastModifiedBy>
  <cp:revision>2</cp:revision>
  <dcterms:created xsi:type="dcterms:W3CDTF">2019-04-13T10:54:00Z</dcterms:created>
  <dcterms:modified xsi:type="dcterms:W3CDTF">2019-04-15T07:09:00Z</dcterms:modified>
</cp:coreProperties>
</file>