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09CA8EB" w14:textId="6532B45E" w:rsidR="008E71A7" w:rsidRDefault="008E71A7" w:rsidP="008E71A7">
      <w:pPr>
        <w:pStyle w:val="1"/>
      </w:pPr>
      <w:r w:rsidRPr="008E71A7">
        <w:t xml:space="preserve">Supplemental methods </w:t>
      </w:r>
    </w:p>
    <w:p w14:paraId="27E84344" w14:textId="77777777" w:rsidR="008E71A7" w:rsidRDefault="008E71A7" w:rsidP="008E71A7">
      <w:pPr>
        <w:pStyle w:val="2"/>
      </w:pPr>
      <w:r w:rsidRPr="006235B7">
        <w:t xml:space="preserve">EPS compositions. </w:t>
      </w:r>
    </w:p>
    <w:p w14:paraId="6A68216B" w14:textId="1BDFC38E" w:rsidR="008E71A7" w:rsidRPr="006235B7" w:rsidRDefault="008E71A7" w:rsidP="008E71A7">
      <w:pPr>
        <w:jc w:val="both"/>
        <w:rPr>
          <w:rFonts w:cs="Times New Roman"/>
          <w:szCs w:val="24"/>
        </w:rPr>
      </w:pPr>
      <w:r w:rsidRPr="006235B7">
        <w:rPr>
          <w:rFonts w:cs="Times New Roman"/>
          <w:szCs w:val="24"/>
        </w:rPr>
        <w:t xml:space="preserve">Total organic carbon (TOC) of the EPS solution </w:t>
      </w:r>
      <w:proofErr w:type="gramStart"/>
      <w:r w:rsidRPr="006235B7">
        <w:rPr>
          <w:rFonts w:cs="Times New Roman"/>
          <w:szCs w:val="24"/>
        </w:rPr>
        <w:t xml:space="preserve">was </w:t>
      </w:r>
      <w:r>
        <w:rPr>
          <w:rFonts w:cs="Times New Roman"/>
          <w:szCs w:val="24"/>
        </w:rPr>
        <w:t>analyzed</w:t>
      </w:r>
      <w:proofErr w:type="gramEnd"/>
      <w:r w:rsidRPr="006235B7">
        <w:rPr>
          <w:rFonts w:cs="Times New Roman"/>
          <w:szCs w:val="24"/>
        </w:rPr>
        <w:t xml:space="preserve"> using a TOC-5000A analyzer (Shimadzu, Kyoto, Japan). The protein content in the EPS </w:t>
      </w:r>
      <w:r w:rsidRPr="00755D65">
        <w:rPr>
          <w:rFonts w:cs="Times New Roman"/>
          <w:noProof/>
          <w:szCs w:val="24"/>
        </w:rPr>
        <w:t xml:space="preserve">was </w:t>
      </w:r>
      <w:r>
        <w:rPr>
          <w:rFonts w:cs="Times New Roman"/>
          <w:noProof/>
          <w:szCs w:val="24"/>
        </w:rPr>
        <w:t>obtained</w:t>
      </w:r>
      <w:r w:rsidRPr="006235B7">
        <w:rPr>
          <w:rFonts w:cs="Times New Roman"/>
          <w:szCs w:val="24"/>
        </w:rPr>
        <w:t xml:space="preserve"> by the Lowry method using bovine serum albumin as the standard</w:t>
      </w:r>
      <w:r>
        <w:rPr>
          <w:rFonts w:cs="Times New Roman"/>
          <w:szCs w:val="24"/>
        </w:rPr>
        <w:t xml:space="preserve"> </w:t>
      </w:r>
      <w:r w:rsidRPr="006235B7">
        <w:rPr>
          <w:rFonts w:cs="Times New Roman"/>
          <w:szCs w:val="24"/>
        </w:rPr>
        <w:fldChar w:fldCharType="begin"/>
      </w:r>
      <w:r w:rsidR="00FB699A">
        <w:rPr>
          <w:rFonts w:cs="Times New Roman"/>
          <w:szCs w:val="24"/>
        </w:rPr>
        <w:instrText xml:space="preserve"> ADDIN EN.CITE &lt;EndNote&gt;&lt;Cite&gt;&lt;Author&gt;Frølund&lt;/Author&gt;&lt;Year&gt;1995&lt;/Year&gt;&lt;RecNum&gt;191&lt;/RecNum&gt;&lt;DisplayText&gt;(Frølund et al., 1995)&lt;/DisplayText&gt;&lt;record&gt;&lt;rec-number&gt;191&lt;/rec-number&gt;&lt;foreign-keys&gt;&lt;key app="EN" db-id="a95exaxaqe2vdkerr96ptzr5wfwdaxrsdxrt" timestamp="1528873511"&gt;191&lt;/key&gt;&lt;/foreign-keys&gt;&lt;ref-type name="Journal Article"&gt;17&lt;/ref-type&gt;&lt;contributors&gt;&lt;authors&gt;&lt;author&gt;Frølund, B&lt;/author&gt;&lt;author&gt;Griebe, T&lt;/author&gt;&lt;author&gt;Nielsen, P. H.&lt;/author&gt;&lt;/authors&gt;&lt;/contributors&gt;&lt;titles&gt;&lt;title&gt;Enzymatic activity in the activated-sludge floc matrix&lt;/title&gt;&lt;secondary-title&gt;Applied Microbiology &amp;amp; Biotechnology&lt;/secondary-title&gt;&lt;/titles&gt;&lt;pages&gt;755-761&lt;/pages&gt;&lt;volume&gt;43&lt;/volume&gt;&lt;number&gt;4&lt;/number&gt;&lt;dates&gt;&lt;year&gt;1995&lt;/year&gt;&lt;/dates&gt;&lt;urls&gt;&lt;/urls&gt;&lt;/record&gt;&lt;/Cite&gt;&lt;/EndNote&gt;</w:instrText>
      </w:r>
      <w:r w:rsidRPr="006235B7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(Frølund et al., 1995)</w:t>
      </w:r>
      <w:r w:rsidRPr="006235B7">
        <w:rPr>
          <w:rFonts w:cs="Times New Roman"/>
          <w:szCs w:val="24"/>
        </w:rPr>
        <w:fldChar w:fldCharType="end"/>
      </w:r>
      <w:r w:rsidRPr="006235B7">
        <w:rPr>
          <w:rFonts w:cs="Times New Roman"/>
          <w:szCs w:val="24"/>
        </w:rPr>
        <w:t xml:space="preserve">. The carbohydrate content was </w:t>
      </w:r>
      <w:r>
        <w:rPr>
          <w:rFonts w:cs="Times New Roman"/>
          <w:szCs w:val="24"/>
        </w:rPr>
        <w:t>measured</w:t>
      </w:r>
      <w:r w:rsidRPr="006235B7">
        <w:rPr>
          <w:rFonts w:cs="Times New Roman"/>
          <w:szCs w:val="24"/>
        </w:rPr>
        <w:t xml:space="preserve"> by the phenol-</w:t>
      </w:r>
      <w:r>
        <w:rPr>
          <w:rFonts w:cs="Times New Roman"/>
          <w:szCs w:val="24"/>
        </w:rPr>
        <w:t>sulfuric</w:t>
      </w:r>
      <w:r w:rsidRPr="006235B7">
        <w:rPr>
          <w:rFonts w:cs="Times New Roman"/>
          <w:szCs w:val="24"/>
        </w:rPr>
        <w:t xml:space="preserve"> acid method using glucose as the standard</w:t>
      </w:r>
      <w:r>
        <w:rPr>
          <w:rFonts w:cs="Times New Roman"/>
          <w:szCs w:val="24"/>
        </w:rPr>
        <w:t xml:space="preserve"> </w:t>
      </w:r>
      <w:r w:rsidRPr="006235B7">
        <w:rPr>
          <w:rFonts w:cs="Times New Roman"/>
          <w:szCs w:val="24"/>
        </w:rPr>
        <w:fldChar w:fldCharType="begin"/>
      </w:r>
      <w:r w:rsidR="00FB699A">
        <w:rPr>
          <w:rFonts w:cs="Times New Roman"/>
          <w:szCs w:val="24"/>
        </w:rPr>
        <w:instrText xml:space="preserve"> ADDIN EN.CITE &lt;EndNote&gt;&lt;Cite&gt;&lt;Author&gt;DUBOIS&lt;/Author&gt;&lt;Year&gt;1956&lt;/Year&gt;&lt;RecNum&gt;192&lt;/RecNum&gt;&lt;DisplayText&gt;(DUBOIS et al., 1956)&lt;/DisplayText&gt;&lt;record&gt;&lt;rec-number&gt;192&lt;/rec-number&gt;&lt;foreign-keys&gt;&lt;key app="EN" db-id="a95exaxaqe2vdkerr96ptzr5wfwdaxrsdxrt" timestamp="1528873604"&gt;192&lt;/key&gt;&lt;/foreign-keys&gt;&lt;ref-type name="Journal Article"&gt;17&lt;/ref-type&gt;&lt;contributors&gt;&lt;authors&gt;&lt;author&gt;DUBOIS, M&lt;/author&gt;&lt;author&gt;GILLES, K. A&lt;/author&gt;&lt;author&gt;HAMILTON, J. K&lt;/author&gt;&lt;author&gt;REBERS, P. A&lt;/author&gt;&lt;author&gt;SMITH, F&lt;/author&gt;&lt;/authors&gt;&lt;/contributors&gt;&lt;titles&gt;&lt;title&gt;Colorimetric method for determination of sugars and related substances&lt;/title&gt;&lt;secondary-title&gt;Analytical Chemistry&lt;/secondary-title&gt;&lt;/titles&gt;&lt;periodical&gt;&lt;full-title&gt;Analytical Chemistry&lt;/full-title&gt;&lt;abbr-1&gt;Anal. Chem.&lt;/abbr-1&gt;&lt;abbr-2&gt;Anal Chem&lt;/abbr-2&gt;&lt;/periodical&gt;&lt;pages&gt;350-356&lt;/pages&gt;&lt;volume&gt;28&lt;/volume&gt;&lt;number&gt;3&lt;/number&gt;&lt;dates&gt;&lt;year&gt;1956&lt;/year&gt;&lt;/dates&gt;&lt;urls&gt;&lt;/urls&gt;&lt;/record&gt;&lt;/Cite&gt;&lt;/EndNote&gt;</w:instrText>
      </w:r>
      <w:r w:rsidRPr="006235B7">
        <w:rPr>
          <w:rFonts w:cs="Times New Roman"/>
          <w:szCs w:val="24"/>
        </w:rPr>
        <w:fldChar w:fldCharType="separate"/>
      </w:r>
      <w:r w:rsidR="00FB699A">
        <w:rPr>
          <w:rFonts w:cs="Times New Roman"/>
          <w:noProof/>
          <w:szCs w:val="24"/>
        </w:rPr>
        <w:t>(Dubois et al., 1956)</w:t>
      </w:r>
      <w:r w:rsidRPr="006235B7">
        <w:rPr>
          <w:rFonts w:cs="Times New Roman"/>
          <w:szCs w:val="24"/>
        </w:rPr>
        <w:fldChar w:fldCharType="end"/>
      </w:r>
      <w:r w:rsidRPr="006235B7">
        <w:rPr>
          <w:rFonts w:cs="Times New Roman"/>
          <w:szCs w:val="24"/>
        </w:rPr>
        <w:t xml:space="preserve">. The DNA content </w:t>
      </w:r>
      <w:r w:rsidRPr="00755D65">
        <w:rPr>
          <w:rFonts w:cs="Times New Roman"/>
          <w:noProof/>
          <w:szCs w:val="24"/>
        </w:rPr>
        <w:t xml:space="preserve">was </w:t>
      </w:r>
      <w:r>
        <w:rPr>
          <w:rFonts w:cs="Times New Roman"/>
          <w:noProof/>
          <w:szCs w:val="24"/>
        </w:rPr>
        <w:t>determined</w:t>
      </w:r>
      <w:r w:rsidRPr="006235B7">
        <w:rPr>
          <w:rFonts w:cs="Times New Roman"/>
          <w:szCs w:val="24"/>
        </w:rPr>
        <w:t xml:space="preserve"> by the diphenylamine colorimetric method using calf thymus DNA as the standard</w:t>
      </w:r>
      <w:r>
        <w:rPr>
          <w:rFonts w:cs="Times New Roman"/>
          <w:szCs w:val="24"/>
        </w:rPr>
        <w:t xml:space="preserve"> </w:t>
      </w:r>
      <w:r w:rsidRPr="006235B7">
        <w:rPr>
          <w:rFonts w:cs="Times New Roman"/>
          <w:szCs w:val="24"/>
        </w:rPr>
        <w:fldChar w:fldCharType="begin"/>
      </w:r>
      <w:r w:rsidR="00FB699A">
        <w:rPr>
          <w:rFonts w:cs="Times New Roman"/>
          <w:szCs w:val="24"/>
        </w:rPr>
        <w:instrText xml:space="preserve"> ADDIN EN.CITE &lt;EndNote&gt;&lt;Cite&gt;&lt;Author&gt;K&lt;/Author&gt;&lt;Year&gt;1956&lt;/Year&gt;&lt;RecNum&gt;193&lt;/RecNum&gt;&lt;DisplayText&gt;(K, 1956)&lt;/DisplayText&gt;&lt;record&gt;&lt;rec-number&gt;193&lt;/rec-number&gt;&lt;foreign-keys&gt;&lt;key app="EN" db-id="a95exaxaqe2vdkerr96ptzr5wfwdaxrsdxrt" timestamp="1528873730"&gt;193&lt;/key&gt;&lt;/foreign-keys&gt;&lt;ref-type name="Journal Article"&gt;17&lt;/ref-type&gt;&lt;contributors&gt;&lt;authors&gt;&lt;author&gt;BURTON K&lt;/author&gt;&lt;/authors&gt;&lt;/contributors&gt;&lt;titles&gt;&lt;title&gt;A study of the conditions and mechanism of the diphenylamine reaction for the colorimetric estimation of deoxyribonucleic acid&lt;/title&gt;&lt;secondary-title&gt;Biochemical Journal&lt;/secondary-title&gt;&lt;/titles&gt;&lt;periodical&gt;&lt;full-title&gt;Biochemical Journal&lt;/full-title&gt;&lt;abbr-1&gt;Biochem. J&lt;/abbr-1&gt;&lt;abbr-2&gt;Biochem J&lt;/abbr-2&gt;&lt;/periodical&gt;&lt;pages&gt;315-323&lt;/pages&gt;&lt;volume&gt;62&lt;/volume&gt;&lt;number&gt;2&lt;/number&gt;&lt;dates&gt;&lt;year&gt;1956&lt;/year&gt;&lt;/dates&gt;&lt;urls&gt;&lt;/urls&gt;&lt;/record&gt;&lt;/Cite&gt;&lt;/EndNote&gt;</w:instrText>
      </w:r>
      <w:r w:rsidRPr="006235B7">
        <w:rPr>
          <w:rFonts w:cs="Times New Roman"/>
          <w:szCs w:val="24"/>
        </w:rPr>
        <w:fldChar w:fldCharType="separate"/>
      </w:r>
      <w:r w:rsidR="00FB699A">
        <w:rPr>
          <w:rFonts w:cs="Times New Roman"/>
          <w:noProof/>
          <w:szCs w:val="24"/>
        </w:rPr>
        <w:t>(</w:t>
      </w:r>
      <w:r w:rsidR="000D5BC5">
        <w:t>Burton</w:t>
      </w:r>
      <w:r w:rsidR="00FB699A">
        <w:rPr>
          <w:rFonts w:cs="Times New Roman"/>
          <w:noProof/>
          <w:szCs w:val="24"/>
        </w:rPr>
        <w:t>, 1956)</w:t>
      </w:r>
      <w:r w:rsidRPr="006235B7">
        <w:rPr>
          <w:rFonts w:cs="Times New Roman"/>
          <w:szCs w:val="24"/>
        </w:rPr>
        <w:fldChar w:fldCharType="end"/>
      </w:r>
      <w:r w:rsidRPr="006235B7">
        <w:rPr>
          <w:rFonts w:cs="Times New Roman"/>
          <w:szCs w:val="24"/>
        </w:rPr>
        <w:t>.</w:t>
      </w:r>
    </w:p>
    <w:p w14:paraId="0475EBBE" w14:textId="77777777" w:rsidR="008E71A7" w:rsidRDefault="008E71A7" w:rsidP="008E71A7">
      <w:pPr>
        <w:pStyle w:val="2"/>
      </w:pPr>
      <w:r w:rsidRPr="006235B7">
        <w:t xml:space="preserve">Model computation. </w:t>
      </w:r>
    </w:p>
    <w:p w14:paraId="44E980F8" w14:textId="44B36209" w:rsidR="00994A3D" w:rsidRPr="00994A3D" w:rsidRDefault="008E71A7" w:rsidP="008E71A7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755D65">
        <w:rPr>
          <w:rFonts w:cs="Times New Roman"/>
          <w:noProof/>
          <w:szCs w:val="24"/>
        </w:rPr>
        <w:t>In accordance with</w:t>
      </w:r>
      <w:r w:rsidRPr="006235B7">
        <w:rPr>
          <w:rFonts w:cs="Times New Roman"/>
          <w:szCs w:val="24"/>
        </w:rPr>
        <w:t xml:space="preserve"> the binding sites for the EPS</w:t>
      </w:r>
      <w:r w:rsidRPr="006235B7">
        <w:rPr>
          <w:rFonts w:eastAsia="SimSun" w:cs="Times New Roman"/>
          <w:szCs w:val="24"/>
        </w:rPr>
        <w:t>-</w:t>
      </w:r>
      <w:r w:rsidRPr="006235B7">
        <w:rPr>
          <w:rFonts w:cs="Times New Roman"/>
          <w:szCs w:val="24"/>
        </w:rPr>
        <w:t>Ca</w:t>
      </w:r>
      <w:r w:rsidRPr="006235B7">
        <w:rPr>
          <w:rFonts w:cs="Times New Roman"/>
          <w:szCs w:val="24"/>
          <w:vertAlign w:val="superscript"/>
        </w:rPr>
        <w:t>2+</w:t>
      </w:r>
      <w:r w:rsidRPr="006235B7">
        <w:rPr>
          <w:rFonts w:eastAsia="SimSun" w:cs="Times New Roman"/>
          <w:szCs w:val="24"/>
        </w:rPr>
        <w:t>-</w:t>
      </w:r>
      <w:r w:rsidRPr="006235B7">
        <w:rPr>
          <w:rFonts w:cs="Times New Roman"/>
          <w:szCs w:val="24"/>
        </w:rPr>
        <w:t xml:space="preserve">DNA interaction </w:t>
      </w:r>
      <w:r>
        <w:rPr>
          <w:rFonts w:cs="Times New Roman"/>
          <w:szCs w:val="24"/>
        </w:rPr>
        <w:t>in</w:t>
      </w:r>
      <w:r w:rsidRPr="006235B7">
        <w:rPr>
          <w:rFonts w:cs="Times New Roman"/>
          <w:szCs w:val="24"/>
        </w:rPr>
        <w:t xml:space="preserve"> the XPS analyses combined with the findings in a previous study</w:t>
      </w:r>
      <w:r>
        <w:rPr>
          <w:rFonts w:cs="Times New Roman"/>
          <w:szCs w:val="24"/>
        </w:rPr>
        <w:t xml:space="preserve"> </w:t>
      </w:r>
      <w:r w:rsidRPr="006235B7">
        <w:rPr>
          <w:rFonts w:cs="Times New Roman"/>
          <w:szCs w:val="24"/>
        </w:rPr>
        <w:fldChar w:fldCharType="begin"/>
      </w:r>
      <w:r w:rsidR="00FB699A">
        <w:rPr>
          <w:rFonts w:cs="Times New Roman"/>
          <w:szCs w:val="24"/>
        </w:rPr>
        <w:instrText xml:space="preserve"> ADDIN EN.CITE &lt;EndNote&gt;&lt;Cite&gt;&lt;Author&gt;Kang&lt;/Author&gt;&lt;Year&gt;2013&lt;/Year&gt;&lt;RecNum&gt;78&lt;/RecNum&gt;&lt;DisplayText&gt;(Kang et al., 2013)&lt;/DisplayText&gt;&lt;record&gt;&lt;rec-number&gt;78&lt;/rec-number&gt;&lt;foreign-keys&gt;&lt;key app="EN" db-id="a95exaxaqe2vdkerr96ptzr5wfwdaxrsdxrt" timestamp="1519890730"&gt;78&lt;/key&gt;&lt;/foreign-keys&gt;&lt;ref-type name="Journal Article"&gt;17&lt;/ref-type&gt;&lt;contributors&gt;&lt;authors&gt;&lt;author&gt;Kang, Fuxing&lt;/author&gt;&lt;author&gt;Hong, Wang&lt;/author&gt;&lt;author&gt;Gao, Yanzheng&lt;/author&gt;&lt;author&gt;Jian, Long&lt;/author&gt;&lt;author&gt;Qian, Wang&lt;/author&gt;&lt;/authors&gt;&lt;/contributors&gt;&lt;titles&gt;&lt;title&gt;Ca2+ Promoted the Low Transformation Efficiency of Plasmid DNA Exposed to PAH Contaminants&lt;/title&gt;&lt;secondary-title&gt;Plos One&lt;/secondary-title&gt;&lt;/titles&gt;&lt;pages&gt;e58238&lt;/pages&gt;&lt;volume&gt;8&lt;/volume&gt;&lt;number&gt;3&lt;/number&gt;&lt;dates&gt;&lt;year&gt;2013&lt;/year&gt;&lt;/dates&gt;&lt;urls&gt;&lt;/urls&gt;&lt;/record&gt;&lt;/Cite&gt;&lt;/EndNote&gt;</w:instrText>
      </w:r>
      <w:r w:rsidRPr="006235B7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(Kang et al., 2013)</w:t>
      </w:r>
      <w:r w:rsidRPr="006235B7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,</w:t>
      </w:r>
      <w:r w:rsidRPr="006235B7">
        <w:rPr>
          <w:rFonts w:cs="Times New Roman"/>
          <w:szCs w:val="24"/>
        </w:rPr>
        <w:t xml:space="preserve"> five amino acid models and five monosaccharide models were structured to represent EPS and </w:t>
      </w:r>
      <w:r>
        <w:rPr>
          <w:rFonts w:ascii="SimSun" w:eastAsia="SimSun" w:hAnsi="SimSun" w:cs="Times New Roman" w:hint="eastAsia"/>
          <w:szCs w:val="24"/>
        </w:rPr>
        <w:t>-</w:t>
      </w:r>
      <w:r w:rsidRPr="006235B7">
        <w:rPr>
          <w:rFonts w:cs="Times New Roman"/>
          <w:szCs w:val="24"/>
        </w:rPr>
        <w:t>POO</w:t>
      </w:r>
      <w:r>
        <w:rPr>
          <w:rFonts w:ascii="SimSun" w:eastAsia="SimSun" w:hAnsi="SimSun" w:cs="Times New Roman" w:hint="eastAsia"/>
          <w:szCs w:val="24"/>
        </w:rPr>
        <w:t>-</w:t>
      </w:r>
      <w:r w:rsidRPr="006235B7">
        <w:rPr>
          <w:rFonts w:cs="Times New Roman"/>
          <w:szCs w:val="24"/>
        </w:rPr>
        <w:t xml:space="preserve"> group was used to represent DNA. Th</w:t>
      </w:r>
      <w:r>
        <w:rPr>
          <w:rFonts w:cs="Times New Roman"/>
          <w:szCs w:val="24"/>
        </w:rPr>
        <w:t>e</w:t>
      </w:r>
      <w:r w:rsidRPr="006235B7">
        <w:rPr>
          <w:rFonts w:cs="Times New Roman"/>
          <w:szCs w:val="24"/>
        </w:rPr>
        <w:t xml:space="preserve"> geometries were constructed u</w:t>
      </w:r>
      <w:r>
        <w:rPr>
          <w:rFonts w:cs="Times New Roman"/>
          <w:szCs w:val="24"/>
        </w:rPr>
        <w:t xml:space="preserve">sing the </w:t>
      </w:r>
      <w:proofErr w:type="spellStart"/>
      <w:r>
        <w:rPr>
          <w:rFonts w:cs="Times New Roman"/>
          <w:szCs w:val="24"/>
        </w:rPr>
        <w:t>ChemBioOffice</w:t>
      </w:r>
      <w:proofErr w:type="spellEnd"/>
      <w:r>
        <w:rPr>
          <w:rFonts w:cs="Times New Roman"/>
          <w:szCs w:val="24"/>
        </w:rPr>
        <w:t xml:space="preserve"> software, </w:t>
      </w:r>
      <w:r w:rsidRPr="006235B7">
        <w:rPr>
          <w:rFonts w:cs="Times New Roman"/>
          <w:szCs w:val="24"/>
        </w:rPr>
        <w:t>and the Semi-Empirical Method PM7 (Mopac2012 program)</w:t>
      </w:r>
      <w:r>
        <w:rPr>
          <w:rFonts w:cs="Times New Roman"/>
          <w:szCs w:val="24"/>
        </w:rPr>
        <w:t xml:space="preserve"> was applied to </w:t>
      </w:r>
      <w:r w:rsidRPr="006235B7">
        <w:rPr>
          <w:rFonts w:cs="Times New Roman"/>
          <w:szCs w:val="24"/>
        </w:rPr>
        <w:t xml:space="preserve">initially optimize </w:t>
      </w:r>
      <w:r>
        <w:rPr>
          <w:rFonts w:cs="Times New Roman"/>
          <w:szCs w:val="24"/>
        </w:rPr>
        <w:t>these geometries</w:t>
      </w:r>
      <w:r w:rsidR="00277519">
        <w:rPr>
          <w:rFonts w:cs="Times New Roman"/>
          <w:szCs w:val="24"/>
        </w:rPr>
        <w:t xml:space="preserve"> </w:t>
      </w:r>
      <w:r w:rsidRPr="006235B7">
        <w:rPr>
          <w:rFonts w:cs="Times New Roman"/>
          <w:szCs w:val="24"/>
        </w:rPr>
        <w:fldChar w:fldCharType="begin"/>
      </w:r>
      <w:r w:rsidR="00FB699A">
        <w:rPr>
          <w:rFonts w:cs="Times New Roman"/>
          <w:szCs w:val="24"/>
        </w:rPr>
        <w:instrText xml:space="preserve"> ADDIN EN.CITE &lt;EndNote&gt;&lt;Cite&gt;&lt;Author&gt;Stewart&lt;/Author&gt;&lt;RecNum&gt;79&lt;/RecNum&gt;&lt;DisplayText&gt;(Stewart)&lt;/DisplayText&gt;&lt;record&gt;&lt;rec-number&gt;79&lt;/rec-number&gt;&lt;foreign-keys&gt;&lt;key app="EN" db-id="a95exaxaqe2vdkerr96ptzr5wfwdaxrsdxrt" timestamp="1519899608"&gt;79&lt;/key&gt;&lt;/foreign-keys&gt;&lt;ref-type name="Journal Article"&gt;17&lt;/ref-type&gt;&lt;contributors&gt;&lt;authors&gt;&lt;author&gt;Stewart, James J. P.&lt;/author&gt;&lt;/authors&gt;&lt;/contributors&gt;&lt;titles&gt;&lt;title&gt;Stewart Computational Chemistry, 15210 Paddington Circle, Colorado Springs, Colorado 80921&lt;/title&gt;&lt;/titles&gt;&lt;dates&gt;&lt;/dates&gt;&lt;urls&gt;&lt;/urls&gt;&lt;/record&gt;&lt;/Cite&gt;&lt;/EndNote&gt;</w:instrText>
      </w:r>
      <w:r w:rsidRPr="006235B7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(Stewart)</w:t>
      </w:r>
      <w:r w:rsidRPr="006235B7">
        <w:rPr>
          <w:rFonts w:cs="Times New Roman"/>
          <w:szCs w:val="24"/>
        </w:rPr>
        <w:fldChar w:fldCharType="end"/>
      </w:r>
      <w:r w:rsidRPr="006235B7">
        <w:rPr>
          <w:rFonts w:cs="Times New Roman"/>
          <w:szCs w:val="24"/>
        </w:rPr>
        <w:t xml:space="preserve">. Then, all structural optimization and frequency analyses were carried out </w:t>
      </w:r>
      <w:r>
        <w:rPr>
          <w:rFonts w:cs="Times New Roman"/>
          <w:szCs w:val="24"/>
        </w:rPr>
        <w:t>by</w:t>
      </w:r>
      <w:r w:rsidRPr="006235B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applying </w:t>
      </w:r>
      <w:r w:rsidRPr="006235B7">
        <w:rPr>
          <w:rFonts w:cs="Times New Roman"/>
          <w:szCs w:val="24"/>
        </w:rPr>
        <w:t>the density functional theory (DFT</w:t>
      </w:r>
      <w:r>
        <w:rPr>
          <w:rFonts w:cs="Times New Roman"/>
          <w:szCs w:val="24"/>
        </w:rPr>
        <w:t xml:space="preserve">) at a main def2-TZVP basis set that is </w:t>
      </w:r>
      <w:r w:rsidRPr="006235B7">
        <w:rPr>
          <w:rFonts w:cs="Times New Roman"/>
          <w:szCs w:val="24"/>
        </w:rPr>
        <w:t>an auxiliary def2-TZVP/J basis set with dispersion-corrected DFT-D3 and GCP (DFT/SVP)</w:t>
      </w:r>
      <w:r>
        <w:rPr>
          <w:rFonts w:cs="Times New Roman"/>
          <w:szCs w:val="24"/>
        </w:rPr>
        <w:t xml:space="preserve"> </w:t>
      </w:r>
      <w:r w:rsidRPr="006235B7">
        <w:rPr>
          <w:rFonts w:cs="Times New Roman"/>
          <w:szCs w:val="24"/>
        </w:rPr>
        <w:fldChar w:fldCharType="begin"/>
      </w:r>
      <w:r w:rsidR="00FB699A">
        <w:rPr>
          <w:rFonts w:cs="Times New Roman"/>
          <w:szCs w:val="24"/>
        </w:rPr>
        <w:instrText xml:space="preserve"> ADDIN EN.CITE &lt;EndNote&gt;&lt;Cite&gt;&lt;Author&gt;Neese&lt;/Author&gt;&lt;Year&gt;2012&lt;/Year&gt;&lt;RecNum&gt;80&lt;/RecNum&gt;&lt;DisplayText&gt;(Neese, 2012)&lt;/DisplayText&gt;&lt;record&gt;&lt;rec-number&gt;80&lt;/rec-number&gt;&lt;foreign-keys&gt;&lt;key app="EN" db-id="a95exaxaqe2vdkerr96ptzr5wfwdaxrsdxrt" timestamp="1519900344"&gt;80&lt;/key&gt;&lt;/foreign-keys&gt;&lt;ref-type name="Journal Article"&gt;17&lt;/ref-type&gt;&lt;contributors&gt;&lt;authors&gt;&lt;author&gt;Neese, Frank&lt;/author&gt;&lt;/authors&gt;&lt;/contributors&gt;&lt;titles&gt;&lt;title&gt;The ORCA program system&lt;/title&gt;&lt;secondary-title&gt;Wiley Interdisciplinary Reviews Computational Molecular Science&lt;/secondary-title&gt;&lt;/titles&gt;&lt;pages&gt;73-78&lt;/pages&gt;&lt;volume&gt;2&lt;/volume&gt;&lt;number&gt;1&lt;/number&gt;&lt;dates&gt;&lt;year&gt;2012&lt;/year&gt;&lt;/dates&gt;&lt;urls&gt;&lt;/urls&gt;&lt;/record&gt;&lt;/Cite&gt;&lt;/EndNote&gt;</w:instrText>
      </w:r>
      <w:r w:rsidRPr="006235B7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(Neese, 2012)</w:t>
      </w:r>
      <w:r w:rsidRPr="006235B7">
        <w:rPr>
          <w:rFonts w:cs="Times New Roman"/>
          <w:szCs w:val="24"/>
        </w:rPr>
        <w:fldChar w:fldCharType="end"/>
      </w:r>
      <w:r w:rsidRPr="006235B7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After that, t</w:t>
      </w:r>
      <w:r w:rsidRPr="006235B7">
        <w:rPr>
          <w:rFonts w:cs="Times New Roman"/>
          <w:szCs w:val="24"/>
        </w:rPr>
        <w:t xml:space="preserve">he wave functions </w:t>
      </w:r>
      <w:r>
        <w:rPr>
          <w:rFonts w:cs="Times New Roman"/>
          <w:szCs w:val="24"/>
        </w:rPr>
        <w:t xml:space="preserve">obtained in previous step </w:t>
      </w:r>
      <w:r w:rsidRPr="00755D65">
        <w:rPr>
          <w:rFonts w:cs="Times New Roman"/>
          <w:noProof/>
          <w:szCs w:val="24"/>
        </w:rPr>
        <w:t>were analyzed</w:t>
      </w:r>
      <w:r w:rsidRPr="006235B7">
        <w:rPr>
          <w:rFonts w:cs="Times New Roman"/>
          <w:szCs w:val="24"/>
        </w:rPr>
        <w:t xml:space="preserve"> by </w:t>
      </w:r>
      <w:r>
        <w:rPr>
          <w:rFonts w:cs="Times New Roman"/>
          <w:szCs w:val="24"/>
        </w:rPr>
        <w:t xml:space="preserve">applying </w:t>
      </w:r>
      <w:r w:rsidRPr="006235B7">
        <w:rPr>
          <w:rFonts w:cs="Times New Roman"/>
          <w:szCs w:val="24"/>
        </w:rPr>
        <w:t xml:space="preserve">the </w:t>
      </w:r>
      <w:proofErr w:type="spellStart"/>
      <w:r w:rsidRPr="006235B7">
        <w:rPr>
          <w:rFonts w:cs="Times New Roman"/>
          <w:szCs w:val="24"/>
        </w:rPr>
        <w:t>Multiwfn</w:t>
      </w:r>
      <w:proofErr w:type="spellEnd"/>
      <w:r w:rsidRPr="006235B7">
        <w:rPr>
          <w:rFonts w:cs="Times New Roman"/>
          <w:szCs w:val="24"/>
        </w:rPr>
        <w:t xml:space="preserve"> program to </w:t>
      </w:r>
      <w:r>
        <w:rPr>
          <w:rFonts w:cs="Times New Roman"/>
          <w:szCs w:val="24"/>
        </w:rPr>
        <w:t>get</w:t>
      </w:r>
      <w:r w:rsidRPr="006235B7">
        <w:rPr>
          <w:rFonts w:cs="Times New Roman"/>
          <w:szCs w:val="24"/>
        </w:rPr>
        <w:t xml:space="preserve"> the information of reduced density gradient (RDG). The topological analysis and a graphic illustration of the distribution of the electron density in EPS</w:t>
      </w:r>
      <w:r w:rsidRPr="006235B7">
        <w:rPr>
          <w:rFonts w:eastAsia="SimSun" w:cs="Times New Roman"/>
          <w:szCs w:val="24"/>
        </w:rPr>
        <w:t>-</w:t>
      </w:r>
      <w:r w:rsidRPr="006235B7">
        <w:rPr>
          <w:rFonts w:cs="Times New Roman"/>
          <w:szCs w:val="24"/>
        </w:rPr>
        <w:t>Ca</w:t>
      </w:r>
      <w:r w:rsidRPr="006235B7">
        <w:rPr>
          <w:rFonts w:cs="Times New Roman"/>
          <w:szCs w:val="24"/>
          <w:vertAlign w:val="superscript"/>
        </w:rPr>
        <w:t>2+</w:t>
      </w:r>
      <w:r w:rsidRPr="006235B7">
        <w:rPr>
          <w:rFonts w:eastAsia="SimSun" w:cs="Times New Roman"/>
          <w:szCs w:val="24"/>
        </w:rPr>
        <w:t>-</w:t>
      </w:r>
      <w:r w:rsidRPr="006235B7">
        <w:rPr>
          <w:rFonts w:cs="Times New Roman"/>
          <w:szCs w:val="24"/>
        </w:rPr>
        <w:t xml:space="preserve">DNA </w:t>
      </w:r>
      <w:r w:rsidRPr="00755D65">
        <w:rPr>
          <w:rFonts w:cs="Times New Roman"/>
          <w:noProof/>
          <w:szCs w:val="24"/>
        </w:rPr>
        <w:t>were also obtained</w:t>
      </w:r>
      <w:r>
        <w:rPr>
          <w:rFonts w:cs="Times New Roman"/>
          <w:szCs w:val="24"/>
        </w:rPr>
        <w:t xml:space="preserve"> by using the </w:t>
      </w:r>
      <w:proofErr w:type="spellStart"/>
      <w:r>
        <w:rPr>
          <w:rFonts w:cs="Times New Roman"/>
          <w:szCs w:val="24"/>
        </w:rPr>
        <w:t>Multiwfn</w:t>
      </w:r>
      <w:proofErr w:type="spellEnd"/>
      <w:r>
        <w:rPr>
          <w:rFonts w:cs="Times New Roman"/>
          <w:szCs w:val="24"/>
        </w:rPr>
        <w:t xml:space="preserve"> program</w:t>
      </w:r>
      <w:r w:rsidR="003123F4">
        <w:rPr>
          <w:rFonts w:eastAsia="Times New Roman" w:cs="Times New Roman"/>
          <w:szCs w:val="24"/>
          <w:lang w:val="en-GB" w:eastAsia="en-GB"/>
        </w:rPr>
        <w:t>.</w:t>
      </w:r>
    </w:p>
    <w:p w14:paraId="2D0A0D52" w14:textId="7FC9A8C0" w:rsidR="008E71A7" w:rsidRDefault="008E71A7" w:rsidP="008E71A7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9C08125" w14:textId="243D36A0" w:rsidR="008E71A7" w:rsidRDefault="008E71A7" w:rsidP="008E71A7">
      <w:pPr>
        <w:pStyle w:val="1"/>
      </w:pPr>
      <w:r w:rsidRPr="008E71A7">
        <w:lastRenderedPageBreak/>
        <w:t>Supplemental figures and tables</w:t>
      </w:r>
    </w:p>
    <w:p w14:paraId="28C783E9" w14:textId="0ED78E32" w:rsidR="008E71A7" w:rsidRPr="000055DD" w:rsidRDefault="00933AE9" w:rsidP="008E71A7">
      <w:pPr>
        <w:spacing w:line="48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zh-CN"/>
        </w:rPr>
        <w:drawing>
          <wp:inline distT="0" distB="0" distL="0" distR="0" wp14:anchorId="7E76BF8B" wp14:editId="4D84E389">
            <wp:extent cx="6208395" cy="4657725"/>
            <wp:effectExtent l="0" t="0" r="190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1-gao-gai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59FD" w14:textId="3C312A6F" w:rsidR="008E71A7" w:rsidRPr="00B90988" w:rsidRDefault="008E71A7" w:rsidP="008E71A7">
      <w:pPr>
        <w:jc w:val="both"/>
        <w:rPr>
          <w:rFonts w:cs="Times New Roman"/>
          <w:szCs w:val="24"/>
        </w:rPr>
      </w:pPr>
      <w:r w:rsidRPr="006235B7">
        <w:rPr>
          <w:rFonts w:cs="Times New Roman"/>
          <w:b/>
          <w:szCs w:val="24"/>
        </w:rPr>
        <w:t>Figure S1.</w:t>
      </w:r>
      <w:r w:rsidRPr="006235B7">
        <w:rPr>
          <w:szCs w:val="24"/>
        </w:rPr>
        <w:t xml:space="preserve"> </w:t>
      </w:r>
      <w:r w:rsidRPr="006235B7">
        <w:rPr>
          <w:rFonts w:cs="Times New Roman"/>
          <w:szCs w:val="24"/>
        </w:rPr>
        <w:t>Lateral transfer of plasmids into Ca</w:t>
      </w:r>
      <w:r w:rsidRPr="006235B7">
        <w:rPr>
          <w:rFonts w:cs="Times New Roman"/>
          <w:szCs w:val="24"/>
          <w:vertAlign w:val="superscript"/>
        </w:rPr>
        <w:t>2+</w:t>
      </w:r>
      <w:r w:rsidRPr="006235B7">
        <w:rPr>
          <w:rFonts w:cs="Times New Roman"/>
          <w:szCs w:val="24"/>
        </w:rPr>
        <w:t xml:space="preserve">-induced </w:t>
      </w:r>
      <w:r w:rsidRPr="006235B7">
        <w:rPr>
          <w:rFonts w:cs="Times New Roman"/>
          <w:i/>
          <w:szCs w:val="24"/>
        </w:rPr>
        <w:t xml:space="preserve">E. </w:t>
      </w:r>
      <w:r w:rsidRPr="00B90988">
        <w:rPr>
          <w:rFonts w:cs="Times New Roman"/>
          <w:i/>
          <w:szCs w:val="24"/>
        </w:rPr>
        <w:t>coli</w:t>
      </w:r>
      <w:r w:rsidRPr="00B90988">
        <w:rPr>
          <w:rFonts w:cs="Times New Roman"/>
          <w:szCs w:val="24"/>
        </w:rPr>
        <w:t xml:space="preserve"> cells with EPS (circles) or without EPS (triangles). (</w:t>
      </w:r>
      <w:r w:rsidR="00933AE9" w:rsidRPr="00B90988">
        <w:rPr>
          <w:rFonts w:cs="Times New Roman"/>
          <w:b/>
          <w:szCs w:val="24"/>
        </w:rPr>
        <w:t>A</w:t>
      </w:r>
      <w:r w:rsidRPr="00B90988">
        <w:rPr>
          <w:rFonts w:cs="Times New Roman"/>
          <w:szCs w:val="24"/>
        </w:rPr>
        <w:t xml:space="preserve">) </w:t>
      </w:r>
      <w:r w:rsidRPr="00755D65">
        <w:rPr>
          <w:rFonts w:cs="Times New Roman"/>
          <w:noProof/>
          <w:szCs w:val="24"/>
        </w:rPr>
        <w:t>Number</w:t>
      </w:r>
      <w:r w:rsidRPr="00B90988">
        <w:rPr>
          <w:rFonts w:cs="Times New Roman"/>
          <w:szCs w:val="24"/>
        </w:rPr>
        <w:t xml:space="preserve"> of </w:t>
      </w:r>
      <w:proofErr w:type="spellStart"/>
      <w:r w:rsidRPr="00B90988">
        <w:rPr>
          <w:rFonts w:cs="Times New Roman"/>
          <w:szCs w:val="24"/>
        </w:rPr>
        <w:t>transformants</w:t>
      </w:r>
      <w:proofErr w:type="spellEnd"/>
      <w:r w:rsidRPr="00B90988">
        <w:rPr>
          <w:rFonts w:cs="Times New Roman"/>
          <w:szCs w:val="24"/>
        </w:rPr>
        <w:t xml:space="preserve"> </w:t>
      </w:r>
      <w:proofErr w:type="gramStart"/>
      <w:r w:rsidRPr="00B90988">
        <w:rPr>
          <w:rFonts w:cs="Times New Roman"/>
          <w:szCs w:val="24"/>
        </w:rPr>
        <w:t xml:space="preserve">for the lateral transfer of pHSG298 into </w:t>
      </w:r>
      <w:r w:rsidRPr="00B90988">
        <w:rPr>
          <w:rFonts w:cs="Times New Roman"/>
          <w:i/>
          <w:szCs w:val="24"/>
        </w:rPr>
        <w:t>E. coli DH5α</w:t>
      </w:r>
      <w:r w:rsidRPr="00B90988">
        <w:rPr>
          <w:rFonts w:cs="Times New Roman"/>
          <w:szCs w:val="24"/>
        </w:rPr>
        <w:t>. (</w:t>
      </w:r>
      <w:r w:rsidR="00933AE9" w:rsidRPr="00B90988">
        <w:rPr>
          <w:rFonts w:cs="Times New Roman"/>
          <w:b/>
          <w:szCs w:val="24"/>
        </w:rPr>
        <w:t>B</w:t>
      </w:r>
      <w:r w:rsidRPr="00B90988">
        <w:rPr>
          <w:rFonts w:cs="Times New Roman"/>
          <w:szCs w:val="24"/>
        </w:rPr>
        <w:t xml:space="preserve">) </w:t>
      </w:r>
      <w:r w:rsidRPr="00755D65">
        <w:rPr>
          <w:rFonts w:cs="Times New Roman"/>
          <w:noProof/>
          <w:szCs w:val="24"/>
        </w:rPr>
        <w:t>Number</w:t>
      </w:r>
      <w:r w:rsidRPr="00B90988">
        <w:rPr>
          <w:rFonts w:cs="Times New Roman"/>
          <w:szCs w:val="24"/>
        </w:rPr>
        <w:t xml:space="preserve"> of </w:t>
      </w:r>
      <w:proofErr w:type="spellStart"/>
      <w:r w:rsidRPr="00B90988">
        <w:rPr>
          <w:rFonts w:cs="Times New Roman"/>
          <w:szCs w:val="24"/>
        </w:rPr>
        <w:t>transformants</w:t>
      </w:r>
      <w:proofErr w:type="spellEnd"/>
      <w:r w:rsidRPr="00B90988">
        <w:rPr>
          <w:rFonts w:cs="Times New Roman"/>
          <w:szCs w:val="24"/>
        </w:rPr>
        <w:t xml:space="preserve"> for the lateral transfer of pHSG396 into </w:t>
      </w:r>
      <w:r w:rsidRPr="00B90988">
        <w:rPr>
          <w:rFonts w:cs="Times New Roman"/>
          <w:i/>
          <w:szCs w:val="24"/>
        </w:rPr>
        <w:t>E. coli DH5α</w:t>
      </w:r>
      <w:r w:rsidRPr="00B90988">
        <w:rPr>
          <w:rFonts w:cs="Times New Roman"/>
          <w:noProof/>
          <w:szCs w:val="24"/>
        </w:rPr>
        <w:t>. (</w:t>
      </w:r>
      <w:r w:rsidR="00933AE9" w:rsidRPr="00B90988">
        <w:rPr>
          <w:rFonts w:cs="Times New Roman"/>
          <w:b/>
          <w:noProof/>
          <w:szCs w:val="24"/>
        </w:rPr>
        <w:t>C</w:t>
      </w:r>
      <w:r w:rsidRPr="00B90988">
        <w:rPr>
          <w:rFonts w:cs="Times New Roman"/>
          <w:noProof/>
          <w:szCs w:val="24"/>
        </w:rPr>
        <w:t xml:space="preserve">) </w:t>
      </w:r>
      <w:r w:rsidRPr="00755D65">
        <w:rPr>
          <w:rFonts w:cs="Times New Roman"/>
          <w:noProof/>
          <w:szCs w:val="24"/>
        </w:rPr>
        <w:t>Number</w:t>
      </w:r>
      <w:r w:rsidRPr="00B90988">
        <w:rPr>
          <w:rFonts w:cs="Times New Roman"/>
          <w:szCs w:val="24"/>
        </w:rPr>
        <w:t xml:space="preserve"> of </w:t>
      </w:r>
      <w:proofErr w:type="spellStart"/>
      <w:r w:rsidRPr="00B90988">
        <w:rPr>
          <w:rFonts w:cs="Times New Roman"/>
          <w:szCs w:val="24"/>
        </w:rPr>
        <w:t>transformants</w:t>
      </w:r>
      <w:proofErr w:type="spellEnd"/>
      <w:r w:rsidRPr="00B90988">
        <w:rPr>
          <w:rFonts w:cs="Times New Roman"/>
          <w:szCs w:val="24"/>
        </w:rPr>
        <w:t xml:space="preserve"> for the lateral transfer of pHSG298 into </w:t>
      </w:r>
      <w:r w:rsidRPr="00B90988">
        <w:rPr>
          <w:rFonts w:cs="Times New Roman"/>
          <w:i/>
          <w:szCs w:val="24"/>
        </w:rPr>
        <w:t>E. coli XL1 Blue</w:t>
      </w:r>
      <w:proofErr w:type="gramEnd"/>
      <w:r w:rsidRPr="00B90988">
        <w:rPr>
          <w:rFonts w:cs="Times New Roman"/>
          <w:szCs w:val="24"/>
        </w:rPr>
        <w:t>. (</w:t>
      </w:r>
      <w:r w:rsidR="00933AE9" w:rsidRPr="00B90988">
        <w:rPr>
          <w:rFonts w:cs="Times New Roman"/>
          <w:b/>
          <w:szCs w:val="24"/>
        </w:rPr>
        <w:t>D</w:t>
      </w:r>
      <w:r w:rsidR="00933AE9" w:rsidRPr="00B90988">
        <w:rPr>
          <w:rFonts w:cs="Times New Roman"/>
          <w:szCs w:val="24"/>
        </w:rPr>
        <w:t>)</w:t>
      </w:r>
      <w:r w:rsidRPr="00B90988">
        <w:rPr>
          <w:rFonts w:cs="Times New Roman"/>
          <w:szCs w:val="24"/>
        </w:rPr>
        <w:t xml:space="preserve"> </w:t>
      </w:r>
      <w:r w:rsidRPr="00755D65">
        <w:rPr>
          <w:rFonts w:cs="Times New Roman"/>
          <w:noProof/>
          <w:szCs w:val="24"/>
        </w:rPr>
        <w:t>Number</w:t>
      </w:r>
      <w:r w:rsidRPr="00B90988">
        <w:rPr>
          <w:rFonts w:cs="Times New Roman"/>
          <w:szCs w:val="24"/>
        </w:rPr>
        <w:t xml:space="preserve"> of </w:t>
      </w:r>
      <w:proofErr w:type="spellStart"/>
      <w:r w:rsidRPr="00B90988">
        <w:rPr>
          <w:rFonts w:cs="Times New Roman"/>
          <w:szCs w:val="24"/>
        </w:rPr>
        <w:t>transformants</w:t>
      </w:r>
      <w:proofErr w:type="spellEnd"/>
      <w:r w:rsidRPr="00B90988">
        <w:rPr>
          <w:rFonts w:cs="Times New Roman"/>
          <w:szCs w:val="24"/>
        </w:rPr>
        <w:t xml:space="preserve"> for the lateral transfer of pHSG396 into </w:t>
      </w:r>
      <w:r w:rsidRPr="00B90988">
        <w:rPr>
          <w:rFonts w:cs="Times New Roman"/>
          <w:i/>
          <w:szCs w:val="24"/>
        </w:rPr>
        <w:t>E. coli XL1 Blue</w:t>
      </w:r>
      <w:r w:rsidRPr="00B90988">
        <w:rPr>
          <w:rFonts w:cs="Times New Roman"/>
          <w:szCs w:val="24"/>
        </w:rPr>
        <w:t>. (</w:t>
      </w:r>
      <w:r w:rsidR="00933AE9" w:rsidRPr="00B90988">
        <w:rPr>
          <w:rFonts w:cs="Times New Roman"/>
          <w:b/>
          <w:szCs w:val="24"/>
        </w:rPr>
        <w:t>E</w:t>
      </w:r>
      <w:r w:rsidR="00933AE9" w:rsidRPr="00B90988">
        <w:rPr>
          <w:rFonts w:cs="Times New Roman"/>
          <w:szCs w:val="24"/>
        </w:rPr>
        <w:t>)</w:t>
      </w:r>
      <w:r w:rsidRPr="00B90988">
        <w:rPr>
          <w:rFonts w:cs="Times New Roman"/>
          <w:szCs w:val="24"/>
        </w:rPr>
        <w:t xml:space="preserve"> Transformation efficiency for lateral transfer of pHSG298 into </w:t>
      </w:r>
      <w:r w:rsidRPr="00B90988">
        <w:rPr>
          <w:rFonts w:cs="Times New Roman"/>
          <w:i/>
          <w:szCs w:val="24"/>
        </w:rPr>
        <w:t>E. coli DH5α</w:t>
      </w:r>
      <w:r w:rsidRPr="00B90988">
        <w:rPr>
          <w:rFonts w:cs="Times New Roman"/>
          <w:szCs w:val="24"/>
        </w:rPr>
        <w:t xml:space="preserve">. The transformation efficiency </w:t>
      </w:r>
      <w:r w:rsidRPr="00755D65">
        <w:rPr>
          <w:rFonts w:cs="Times New Roman"/>
          <w:noProof/>
          <w:szCs w:val="24"/>
        </w:rPr>
        <w:t>was calculated</w:t>
      </w:r>
      <w:r w:rsidRPr="00B90988">
        <w:rPr>
          <w:rFonts w:cs="Times New Roman"/>
          <w:szCs w:val="24"/>
        </w:rPr>
        <w:t xml:space="preserve"> as </w:t>
      </w:r>
      <w:proofErr w:type="spellStart"/>
      <w:r w:rsidRPr="00B90988">
        <w:rPr>
          <w:rFonts w:cs="Times New Roman"/>
          <w:szCs w:val="24"/>
        </w:rPr>
        <w:t>transformants</w:t>
      </w:r>
      <w:proofErr w:type="spellEnd"/>
      <w:r w:rsidRPr="00B90988">
        <w:rPr>
          <w:rFonts w:cs="Times New Roman"/>
          <w:szCs w:val="24"/>
        </w:rPr>
        <w:t xml:space="preserve"> per </w:t>
      </w:r>
      <w:proofErr w:type="spellStart"/>
      <w:r w:rsidRPr="00B90988">
        <w:rPr>
          <w:rFonts w:cs="Times New Roman"/>
          <w:szCs w:val="24"/>
        </w:rPr>
        <w:t>μ</w:t>
      </w:r>
      <w:r w:rsidRPr="00B90988">
        <w:rPr>
          <w:rFonts w:cs="Times New Roman" w:hint="eastAsia"/>
          <w:szCs w:val="24"/>
        </w:rPr>
        <w:t>g</w:t>
      </w:r>
      <w:proofErr w:type="spellEnd"/>
      <w:r w:rsidRPr="00B90988">
        <w:rPr>
          <w:rFonts w:cs="Times New Roman"/>
          <w:szCs w:val="24"/>
        </w:rPr>
        <w:t xml:space="preserve"> plasmids. (</w:t>
      </w:r>
      <w:r w:rsidR="00933AE9" w:rsidRPr="00B90988">
        <w:rPr>
          <w:rFonts w:cs="Times New Roman"/>
          <w:b/>
          <w:szCs w:val="24"/>
        </w:rPr>
        <w:t>F</w:t>
      </w:r>
      <w:r w:rsidR="00933AE9" w:rsidRPr="00B90988">
        <w:rPr>
          <w:rFonts w:cs="Times New Roman"/>
          <w:szCs w:val="24"/>
        </w:rPr>
        <w:t>)</w:t>
      </w:r>
      <w:r w:rsidRPr="00B90988">
        <w:rPr>
          <w:rFonts w:cs="Times New Roman"/>
          <w:szCs w:val="24"/>
        </w:rPr>
        <w:t xml:space="preserve"> Transformation efficiency </w:t>
      </w:r>
      <w:proofErr w:type="gramStart"/>
      <w:r w:rsidRPr="00B90988">
        <w:rPr>
          <w:rFonts w:cs="Times New Roman"/>
          <w:szCs w:val="24"/>
        </w:rPr>
        <w:t xml:space="preserve">for the lateral transfer of pHSG396 into </w:t>
      </w:r>
      <w:r w:rsidRPr="00B90988">
        <w:rPr>
          <w:rFonts w:cs="Times New Roman"/>
          <w:i/>
          <w:szCs w:val="24"/>
        </w:rPr>
        <w:t>E. coli DH5α</w:t>
      </w:r>
      <w:r w:rsidRPr="00B90988">
        <w:rPr>
          <w:rFonts w:cs="Times New Roman"/>
          <w:noProof/>
          <w:szCs w:val="24"/>
        </w:rPr>
        <w:t>.</w:t>
      </w:r>
      <w:r w:rsidRPr="00B90988">
        <w:rPr>
          <w:rFonts w:cs="Times New Roman"/>
          <w:szCs w:val="24"/>
        </w:rPr>
        <w:t xml:space="preserve"> (</w:t>
      </w:r>
      <w:r w:rsidR="00933AE9" w:rsidRPr="00B90988">
        <w:rPr>
          <w:rFonts w:cs="Times New Roman"/>
          <w:b/>
          <w:szCs w:val="24"/>
        </w:rPr>
        <w:t>G</w:t>
      </w:r>
      <w:r w:rsidRPr="00B90988">
        <w:rPr>
          <w:rFonts w:cs="Times New Roman"/>
          <w:szCs w:val="24"/>
        </w:rPr>
        <w:t>) Transformation efficiency for the lateral transfer of</w:t>
      </w:r>
      <w:r w:rsidRPr="00B90988">
        <w:rPr>
          <w:rFonts w:cs="Times New Roman"/>
          <w:noProof/>
          <w:szCs w:val="24"/>
        </w:rPr>
        <w:t xml:space="preserve"> </w:t>
      </w:r>
      <w:r w:rsidRPr="00B90988">
        <w:rPr>
          <w:rFonts w:cs="Times New Roman"/>
          <w:szCs w:val="24"/>
        </w:rPr>
        <w:t xml:space="preserve">pHSG298 into </w:t>
      </w:r>
      <w:r w:rsidRPr="00B90988">
        <w:rPr>
          <w:rFonts w:cs="Times New Roman"/>
          <w:i/>
          <w:szCs w:val="24"/>
        </w:rPr>
        <w:t>E. coli XL1 Blue</w:t>
      </w:r>
      <w:proofErr w:type="gramEnd"/>
      <w:r w:rsidRPr="00B90988">
        <w:rPr>
          <w:rFonts w:cs="Times New Roman"/>
          <w:szCs w:val="24"/>
        </w:rPr>
        <w:t>. (</w:t>
      </w:r>
      <w:r w:rsidR="00933AE9" w:rsidRPr="00B90988">
        <w:rPr>
          <w:rFonts w:cs="Times New Roman"/>
          <w:b/>
          <w:szCs w:val="24"/>
        </w:rPr>
        <w:t>H</w:t>
      </w:r>
      <w:r w:rsidRPr="00B90988">
        <w:rPr>
          <w:rFonts w:cs="Times New Roman"/>
          <w:szCs w:val="24"/>
        </w:rPr>
        <w:t>) Transformation efficiency for the lateral transfer of</w:t>
      </w:r>
      <w:r w:rsidRPr="00B90988">
        <w:rPr>
          <w:rFonts w:cs="Times New Roman"/>
          <w:noProof/>
          <w:szCs w:val="24"/>
        </w:rPr>
        <w:t xml:space="preserve"> </w:t>
      </w:r>
      <w:r w:rsidRPr="00B90988">
        <w:rPr>
          <w:rFonts w:cs="Times New Roman"/>
          <w:szCs w:val="24"/>
        </w:rPr>
        <w:t xml:space="preserve">pHSG396 into </w:t>
      </w:r>
      <w:r w:rsidRPr="00B90988">
        <w:rPr>
          <w:rFonts w:cs="Times New Roman"/>
          <w:i/>
          <w:szCs w:val="24"/>
        </w:rPr>
        <w:t>E. coli XL1 Blue</w:t>
      </w:r>
      <w:r w:rsidRPr="00B90988">
        <w:rPr>
          <w:rFonts w:cs="Times New Roman"/>
          <w:szCs w:val="24"/>
        </w:rPr>
        <w:t xml:space="preserve">. </w:t>
      </w:r>
      <w:r w:rsidRPr="00B90988">
        <w:rPr>
          <w:rFonts w:cs="Times New Roman"/>
          <w:noProof/>
          <w:szCs w:val="24"/>
        </w:rPr>
        <w:t xml:space="preserve">Error bars represent standard deviations of triplicates. </w:t>
      </w:r>
    </w:p>
    <w:p w14:paraId="1FB4F84F" w14:textId="77777777" w:rsidR="008E71A7" w:rsidRPr="00DD5812" w:rsidRDefault="008E71A7" w:rsidP="008E71A7">
      <w:pPr>
        <w:rPr>
          <w:szCs w:val="24"/>
        </w:rPr>
      </w:pPr>
      <w:r w:rsidRPr="00B90988">
        <w:rPr>
          <w:szCs w:val="24"/>
        </w:rPr>
        <w:br w:type="page"/>
      </w:r>
    </w:p>
    <w:p w14:paraId="7CA6A76B" w14:textId="65FA4EA9" w:rsidR="008E71A7" w:rsidRDefault="00933AE9" w:rsidP="008E71A7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zh-CN"/>
        </w:rPr>
        <w:lastRenderedPageBreak/>
        <w:drawing>
          <wp:inline distT="0" distB="0" distL="0" distR="0" wp14:anchorId="4EA8888E" wp14:editId="2A39AC8B">
            <wp:extent cx="5547908" cy="2722033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335" cy="272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A0F8" w14:textId="2187CED2" w:rsidR="008E71A7" w:rsidRPr="00B90988" w:rsidRDefault="008E71A7" w:rsidP="008E71A7">
      <w:pPr>
        <w:jc w:val="both"/>
        <w:rPr>
          <w:rFonts w:cs="Times New Roman"/>
          <w:b/>
          <w:szCs w:val="24"/>
        </w:rPr>
      </w:pPr>
      <w:r w:rsidRPr="00B90988">
        <w:rPr>
          <w:rFonts w:cs="Times New Roman" w:hint="eastAsia"/>
          <w:b/>
          <w:szCs w:val="24"/>
        </w:rPr>
        <w:t>F</w:t>
      </w:r>
      <w:r w:rsidRPr="00B90988">
        <w:rPr>
          <w:rFonts w:cs="Times New Roman"/>
          <w:b/>
          <w:szCs w:val="24"/>
        </w:rPr>
        <w:t xml:space="preserve">igure S2. </w:t>
      </w:r>
      <w:r w:rsidRPr="00B90988">
        <w:rPr>
          <w:rFonts w:cs="Times New Roman"/>
          <w:szCs w:val="24"/>
        </w:rPr>
        <w:t xml:space="preserve">Typical three-dimensional fluorescence excitation-emission matrix (EEM) spectra of original EPS for </w:t>
      </w:r>
      <w:r w:rsidRPr="00B90988">
        <w:rPr>
          <w:rFonts w:cs="Times New Roman"/>
          <w:i/>
          <w:szCs w:val="24"/>
        </w:rPr>
        <w:t>E. coli DH5α</w:t>
      </w:r>
      <w:r w:rsidRPr="00B90988">
        <w:rPr>
          <w:rFonts w:cs="Times New Roman"/>
          <w:szCs w:val="24"/>
        </w:rPr>
        <w:t xml:space="preserve"> (</w:t>
      </w:r>
      <w:r w:rsidR="00933AE9" w:rsidRPr="00B90988">
        <w:rPr>
          <w:rFonts w:cs="Times New Roman"/>
          <w:b/>
          <w:szCs w:val="24"/>
        </w:rPr>
        <w:t>A</w:t>
      </w:r>
      <w:r w:rsidRPr="00B90988">
        <w:rPr>
          <w:rFonts w:cs="Times New Roman"/>
          <w:szCs w:val="24"/>
        </w:rPr>
        <w:t xml:space="preserve">) and </w:t>
      </w:r>
      <w:r w:rsidRPr="00B90988">
        <w:rPr>
          <w:rFonts w:cs="Times New Roman"/>
          <w:i/>
          <w:szCs w:val="24"/>
        </w:rPr>
        <w:t>E. coli XL1 Blue</w:t>
      </w:r>
      <w:r w:rsidRPr="00B90988">
        <w:rPr>
          <w:rFonts w:cs="Times New Roman"/>
          <w:szCs w:val="24"/>
        </w:rPr>
        <w:t xml:space="preserve"> (</w:t>
      </w:r>
      <w:r w:rsidR="00933AE9" w:rsidRPr="00B90988">
        <w:rPr>
          <w:rFonts w:cs="Times New Roman"/>
          <w:b/>
          <w:szCs w:val="24"/>
        </w:rPr>
        <w:t>B</w:t>
      </w:r>
      <w:r w:rsidRPr="00B90988">
        <w:rPr>
          <w:rFonts w:cs="Times New Roman"/>
          <w:szCs w:val="24"/>
        </w:rPr>
        <w:t xml:space="preserve">) at pH 7.0 at 25 </w:t>
      </w:r>
      <w:r w:rsidRPr="00B90988">
        <w:rPr>
          <w:rFonts w:eastAsia="SimSun" w:cs="Times New Roman"/>
          <w:szCs w:val="24"/>
        </w:rPr>
        <w:t>℃</w:t>
      </w:r>
      <w:r w:rsidRPr="00B90988">
        <w:rPr>
          <w:rFonts w:cs="Times New Roman"/>
          <w:szCs w:val="24"/>
        </w:rPr>
        <w:t xml:space="preserve">. The EPS solution extracted from </w:t>
      </w:r>
      <w:r w:rsidRPr="00B90988">
        <w:rPr>
          <w:rFonts w:cs="Times New Roman"/>
          <w:i/>
          <w:szCs w:val="24"/>
        </w:rPr>
        <w:t>E. coli</w:t>
      </w:r>
      <w:r w:rsidRPr="00B90988">
        <w:rPr>
          <w:rFonts w:cs="Times New Roman"/>
          <w:szCs w:val="24"/>
        </w:rPr>
        <w:t xml:space="preserve"> cells </w:t>
      </w:r>
      <w:r w:rsidRPr="00755D65">
        <w:rPr>
          <w:rFonts w:cs="Times New Roman"/>
          <w:noProof/>
          <w:szCs w:val="24"/>
        </w:rPr>
        <w:t>was diluted</w:t>
      </w:r>
      <w:r w:rsidRPr="00B90988">
        <w:rPr>
          <w:rFonts w:cs="Times New Roman"/>
          <w:szCs w:val="24"/>
        </w:rPr>
        <w:t xml:space="preserve"> tenfold. </w:t>
      </w:r>
      <w:r w:rsidRPr="00B90988">
        <w:rPr>
          <w:rFonts w:cs="Times New Roman" w:hint="eastAsia"/>
          <w:szCs w:val="24"/>
        </w:rPr>
        <w:t>T</w:t>
      </w:r>
      <w:r w:rsidRPr="00B90988">
        <w:rPr>
          <w:rFonts w:cs="Times New Roman"/>
          <w:szCs w:val="24"/>
        </w:rPr>
        <w:t xml:space="preserve">he fluorescence EEM spectra </w:t>
      </w:r>
      <w:r w:rsidRPr="00755D65">
        <w:rPr>
          <w:rFonts w:cs="Times New Roman"/>
          <w:noProof/>
          <w:szCs w:val="24"/>
        </w:rPr>
        <w:t>were obtained</w:t>
      </w:r>
      <w:r w:rsidRPr="00B90988">
        <w:rPr>
          <w:rFonts w:cs="Times New Roman"/>
          <w:szCs w:val="24"/>
        </w:rPr>
        <w:t xml:space="preserve"> at 200–380 nm excitation wavelength and</w:t>
      </w:r>
      <w:r w:rsidRPr="00B90988">
        <w:rPr>
          <w:rFonts w:cs="Times New Roman" w:hint="eastAsia"/>
          <w:szCs w:val="24"/>
        </w:rPr>
        <w:t xml:space="preserve"> </w:t>
      </w:r>
      <w:r w:rsidRPr="00B90988">
        <w:rPr>
          <w:rFonts w:cs="Times New Roman"/>
          <w:szCs w:val="24"/>
        </w:rPr>
        <w:t>250–500 nm emission wavelength.</w:t>
      </w:r>
    </w:p>
    <w:p w14:paraId="42390F8D" w14:textId="77777777" w:rsidR="008E71A7" w:rsidRPr="00DD5812" w:rsidRDefault="008E71A7" w:rsidP="008E71A7">
      <w:pPr>
        <w:rPr>
          <w:szCs w:val="24"/>
        </w:rPr>
      </w:pPr>
      <w:r w:rsidRPr="00B90988">
        <w:rPr>
          <w:szCs w:val="24"/>
        </w:rPr>
        <w:br w:type="page"/>
      </w:r>
    </w:p>
    <w:p w14:paraId="22167CAD" w14:textId="65423BA7" w:rsidR="008E71A7" w:rsidRDefault="00607FB7" w:rsidP="008E71A7">
      <w:pPr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zh-CN"/>
        </w:rPr>
        <w:lastRenderedPageBreak/>
        <w:drawing>
          <wp:inline distT="0" distB="0" distL="0" distR="0" wp14:anchorId="38F7537B" wp14:editId="04BCB610">
            <wp:extent cx="6189133" cy="535407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3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74"/>
                    <a:stretch/>
                  </pic:blipFill>
                  <pic:spPr bwMode="auto">
                    <a:xfrm>
                      <a:off x="0" y="0"/>
                      <a:ext cx="6191072" cy="53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9B444" w14:textId="5A0A67E1" w:rsidR="008E71A7" w:rsidRPr="00B90988" w:rsidRDefault="008E71A7" w:rsidP="008E71A7">
      <w:pPr>
        <w:jc w:val="both"/>
        <w:rPr>
          <w:rFonts w:cs="Times New Roman"/>
          <w:szCs w:val="24"/>
        </w:rPr>
      </w:pPr>
      <w:r w:rsidRPr="00B90988">
        <w:rPr>
          <w:rFonts w:cs="Times New Roman"/>
          <w:b/>
          <w:szCs w:val="24"/>
        </w:rPr>
        <w:t>Figure S3.</w:t>
      </w:r>
      <w:r w:rsidRPr="00B90988">
        <w:rPr>
          <w:rFonts w:cs="Times New Roman"/>
          <w:szCs w:val="24"/>
        </w:rPr>
        <w:t xml:space="preserve"> Binding of pH</w:t>
      </w:r>
      <w:r w:rsidR="00277519" w:rsidRPr="00B90988">
        <w:rPr>
          <w:rFonts w:cs="Times New Roman"/>
          <w:szCs w:val="24"/>
        </w:rPr>
        <w:t>S</w:t>
      </w:r>
      <w:r w:rsidRPr="00B90988">
        <w:rPr>
          <w:rFonts w:cs="Times New Roman"/>
          <w:szCs w:val="24"/>
        </w:rPr>
        <w:t>G298 and pH</w:t>
      </w:r>
      <w:r w:rsidR="00277519" w:rsidRPr="00B90988">
        <w:rPr>
          <w:rFonts w:cs="Times New Roman"/>
          <w:szCs w:val="24"/>
        </w:rPr>
        <w:t>S</w:t>
      </w:r>
      <w:r w:rsidRPr="00B90988">
        <w:rPr>
          <w:rFonts w:cs="Times New Roman"/>
          <w:szCs w:val="24"/>
        </w:rPr>
        <w:t>G396 with EPS in the presence of Ca</w:t>
      </w:r>
      <w:r w:rsidRPr="00B90988">
        <w:rPr>
          <w:rFonts w:cs="Times New Roman"/>
          <w:szCs w:val="24"/>
          <w:vertAlign w:val="superscript"/>
        </w:rPr>
        <w:t>2+</w:t>
      </w:r>
      <w:r w:rsidRPr="00B90988">
        <w:rPr>
          <w:rFonts w:cs="Times New Roman"/>
          <w:szCs w:val="24"/>
        </w:rPr>
        <w:t xml:space="preserve"> probed by fluorescence quenching at pH 7.0 at 25 </w:t>
      </w:r>
      <w:r w:rsidRPr="00277519">
        <w:rPr>
          <w:rFonts w:eastAsia="SimSun" w:cs="Times New Roman"/>
          <w:szCs w:val="24"/>
        </w:rPr>
        <w:t>℃</w:t>
      </w:r>
      <w:r w:rsidRPr="00B90988">
        <w:rPr>
          <w:rFonts w:cs="Times New Roman"/>
          <w:szCs w:val="24"/>
        </w:rPr>
        <w:t>. (</w:t>
      </w:r>
      <w:r w:rsidR="00CD2587" w:rsidRPr="00B90988">
        <w:rPr>
          <w:rFonts w:cs="Times New Roman"/>
          <w:b/>
          <w:szCs w:val="24"/>
        </w:rPr>
        <w:t>A</w:t>
      </w:r>
      <w:r w:rsidR="00CD2587" w:rsidRPr="00B90988">
        <w:rPr>
          <w:rFonts w:ascii="SimSun" w:eastAsia="SimSun" w:hAnsi="SimSun" w:cs="Times New Roman"/>
          <w:szCs w:val="24"/>
        </w:rPr>
        <w:t>-</w:t>
      </w:r>
      <w:r w:rsidR="00CD2587" w:rsidRPr="00B90988">
        <w:rPr>
          <w:rFonts w:cs="Times New Roman"/>
          <w:b/>
          <w:szCs w:val="24"/>
        </w:rPr>
        <w:t>D</w:t>
      </w:r>
      <w:r w:rsidRPr="00B90988">
        <w:rPr>
          <w:rFonts w:cs="Times New Roman"/>
          <w:szCs w:val="24"/>
        </w:rPr>
        <w:t>) Stern−</w:t>
      </w:r>
      <w:proofErr w:type="spellStart"/>
      <w:r w:rsidRPr="00B90988">
        <w:rPr>
          <w:rFonts w:cs="Times New Roman"/>
          <w:szCs w:val="24"/>
        </w:rPr>
        <w:t>Volmer</w:t>
      </w:r>
      <w:proofErr w:type="spellEnd"/>
      <w:r w:rsidRPr="00B90988">
        <w:rPr>
          <w:rFonts w:cs="Times New Roman"/>
          <w:szCs w:val="24"/>
        </w:rPr>
        <w:t xml:space="preserve"> plots for the EPS of </w:t>
      </w:r>
      <w:r w:rsidRPr="00B90988">
        <w:rPr>
          <w:rFonts w:cs="Times New Roman"/>
          <w:i/>
          <w:szCs w:val="24"/>
        </w:rPr>
        <w:t>E. coli</w:t>
      </w:r>
      <w:r w:rsidRPr="00B90988">
        <w:rPr>
          <w:rFonts w:cs="Times New Roman"/>
          <w:szCs w:val="24"/>
        </w:rPr>
        <w:t xml:space="preserve"> </w:t>
      </w:r>
      <w:r w:rsidRPr="00B90988">
        <w:rPr>
          <w:rFonts w:cs="Times New Roman"/>
          <w:i/>
          <w:szCs w:val="24"/>
        </w:rPr>
        <w:t>DH5α</w:t>
      </w:r>
      <w:r w:rsidRPr="00B90988">
        <w:rPr>
          <w:rFonts w:cs="Times New Roman"/>
          <w:szCs w:val="24"/>
        </w:rPr>
        <w:t xml:space="preserve"> quenched by pH</w:t>
      </w:r>
      <w:r w:rsidR="00277519" w:rsidRPr="00B90988">
        <w:rPr>
          <w:rFonts w:cs="Times New Roman"/>
          <w:szCs w:val="24"/>
        </w:rPr>
        <w:t>S</w:t>
      </w:r>
      <w:r w:rsidRPr="00B90988">
        <w:rPr>
          <w:rFonts w:cs="Times New Roman"/>
          <w:szCs w:val="24"/>
        </w:rPr>
        <w:t>G298 (</w:t>
      </w:r>
      <w:r w:rsidR="00CD2587" w:rsidRPr="00B90988">
        <w:rPr>
          <w:rFonts w:cs="Times New Roman"/>
          <w:b/>
          <w:szCs w:val="24"/>
        </w:rPr>
        <w:t>A</w:t>
      </w:r>
      <w:r w:rsidRPr="00B90988">
        <w:rPr>
          <w:rFonts w:cs="Times New Roman"/>
          <w:szCs w:val="24"/>
        </w:rPr>
        <w:t>) and pH</w:t>
      </w:r>
      <w:r w:rsidR="00277519" w:rsidRPr="00B90988">
        <w:rPr>
          <w:rFonts w:cs="Times New Roman"/>
          <w:szCs w:val="24"/>
        </w:rPr>
        <w:t>S</w:t>
      </w:r>
      <w:r w:rsidRPr="00B90988">
        <w:rPr>
          <w:rFonts w:cs="Times New Roman"/>
          <w:szCs w:val="24"/>
        </w:rPr>
        <w:t>G396 (</w:t>
      </w:r>
      <w:r w:rsidR="00CD2587" w:rsidRPr="00B90988">
        <w:rPr>
          <w:rFonts w:cs="Times New Roman"/>
          <w:b/>
          <w:szCs w:val="24"/>
        </w:rPr>
        <w:t>B</w:t>
      </w:r>
      <w:r w:rsidRPr="00B90988">
        <w:rPr>
          <w:rFonts w:cs="Times New Roman"/>
          <w:szCs w:val="24"/>
        </w:rPr>
        <w:t xml:space="preserve">), and for the EPS of </w:t>
      </w:r>
      <w:r w:rsidRPr="00B90988">
        <w:rPr>
          <w:rFonts w:cs="Times New Roman"/>
          <w:i/>
          <w:szCs w:val="24"/>
        </w:rPr>
        <w:t>E. coli XL1 Blue</w:t>
      </w:r>
      <w:r w:rsidRPr="00B90988">
        <w:rPr>
          <w:rFonts w:cs="Times New Roman"/>
          <w:szCs w:val="24"/>
        </w:rPr>
        <w:t xml:space="preserve"> quenched by pH</w:t>
      </w:r>
      <w:r w:rsidR="00277519" w:rsidRPr="00B90988">
        <w:rPr>
          <w:rFonts w:cs="Times New Roman"/>
          <w:szCs w:val="24"/>
        </w:rPr>
        <w:t>S</w:t>
      </w:r>
      <w:r w:rsidRPr="00B90988">
        <w:rPr>
          <w:rFonts w:cs="Times New Roman"/>
          <w:szCs w:val="24"/>
        </w:rPr>
        <w:t>G298 (</w:t>
      </w:r>
      <w:r w:rsidR="00277519" w:rsidRPr="00B90988">
        <w:rPr>
          <w:rFonts w:cs="Times New Roman"/>
          <w:b/>
          <w:szCs w:val="24"/>
        </w:rPr>
        <w:t>C</w:t>
      </w:r>
      <w:r w:rsidRPr="00B90988">
        <w:rPr>
          <w:rFonts w:cs="Times New Roman"/>
          <w:szCs w:val="24"/>
        </w:rPr>
        <w:t>) and pH</w:t>
      </w:r>
      <w:r w:rsidR="00277519" w:rsidRPr="00B90988">
        <w:rPr>
          <w:rFonts w:cs="Times New Roman"/>
          <w:szCs w:val="24"/>
        </w:rPr>
        <w:t>S</w:t>
      </w:r>
      <w:r w:rsidRPr="00B90988">
        <w:rPr>
          <w:rFonts w:cs="Times New Roman"/>
          <w:szCs w:val="24"/>
        </w:rPr>
        <w:t>G396 (</w:t>
      </w:r>
      <w:r w:rsidR="00CD2587" w:rsidRPr="00B90988">
        <w:rPr>
          <w:rFonts w:cs="Times New Roman"/>
          <w:b/>
          <w:szCs w:val="24"/>
        </w:rPr>
        <w:t>D</w:t>
      </w:r>
      <w:r w:rsidRPr="00B90988">
        <w:rPr>
          <w:rFonts w:cs="Times New Roman"/>
          <w:szCs w:val="24"/>
        </w:rPr>
        <w:t>). (</w:t>
      </w:r>
      <w:r w:rsidR="00CD2587" w:rsidRPr="00B90988">
        <w:rPr>
          <w:rFonts w:cs="Times New Roman"/>
          <w:b/>
          <w:szCs w:val="24"/>
        </w:rPr>
        <w:t>E</w:t>
      </w:r>
      <w:r w:rsidR="00CD2587" w:rsidRPr="00B90988">
        <w:rPr>
          <w:rFonts w:ascii="SimSun" w:eastAsia="SimSun" w:hAnsi="SimSun" w:cs="Times New Roman"/>
          <w:szCs w:val="24"/>
        </w:rPr>
        <w:t>-</w:t>
      </w:r>
      <w:r w:rsidR="00CD2587" w:rsidRPr="00B90988">
        <w:rPr>
          <w:rFonts w:cs="Times New Roman"/>
          <w:b/>
          <w:szCs w:val="24"/>
        </w:rPr>
        <w:t>H</w:t>
      </w:r>
      <w:r w:rsidRPr="00B90988">
        <w:rPr>
          <w:rFonts w:cs="Times New Roman"/>
          <w:szCs w:val="24"/>
        </w:rPr>
        <w:t>) Plots of log [(F</w:t>
      </w:r>
      <w:r w:rsidRPr="00B90988">
        <w:rPr>
          <w:rFonts w:cs="Times New Roman"/>
          <w:szCs w:val="24"/>
          <w:vertAlign w:val="subscript"/>
        </w:rPr>
        <w:t>0</w:t>
      </w:r>
      <w:r w:rsidRPr="00B90988">
        <w:rPr>
          <w:rFonts w:ascii="SimSun" w:eastAsia="SimSun" w:hAnsi="SimSun" w:cs="Times New Roman"/>
          <w:szCs w:val="24"/>
        </w:rPr>
        <w:t>-</w:t>
      </w:r>
      <w:r w:rsidRPr="00B90988">
        <w:rPr>
          <w:rFonts w:cs="Times New Roman"/>
          <w:szCs w:val="24"/>
        </w:rPr>
        <w:t xml:space="preserve">F)/F] </w:t>
      </w:r>
      <w:r w:rsidRPr="00755D65">
        <w:rPr>
          <w:rFonts w:cs="Times New Roman"/>
          <w:noProof/>
          <w:szCs w:val="24"/>
        </w:rPr>
        <w:t>vs</w:t>
      </w:r>
      <w:r>
        <w:rPr>
          <w:rFonts w:cs="Times New Roman"/>
          <w:noProof/>
          <w:szCs w:val="24"/>
        </w:rPr>
        <w:t>.</w:t>
      </w:r>
      <w:r w:rsidRPr="00B90988">
        <w:rPr>
          <w:rFonts w:cs="Times New Roman"/>
          <w:szCs w:val="24"/>
        </w:rPr>
        <w:t xml:space="preserve"> log [Q] for the EPS of </w:t>
      </w:r>
      <w:r w:rsidRPr="00B90988">
        <w:rPr>
          <w:rFonts w:cs="Times New Roman"/>
          <w:i/>
          <w:szCs w:val="24"/>
        </w:rPr>
        <w:t>E. coli DH5α</w:t>
      </w:r>
      <w:r w:rsidRPr="00B90988">
        <w:rPr>
          <w:rFonts w:cs="Times New Roman"/>
          <w:szCs w:val="24"/>
        </w:rPr>
        <w:t xml:space="preserve"> quenched by pH</w:t>
      </w:r>
      <w:r w:rsidR="00277519" w:rsidRPr="00B90988">
        <w:rPr>
          <w:rFonts w:cs="Times New Roman"/>
          <w:szCs w:val="24"/>
        </w:rPr>
        <w:t>S</w:t>
      </w:r>
      <w:r w:rsidRPr="00B90988">
        <w:rPr>
          <w:rFonts w:cs="Times New Roman"/>
          <w:szCs w:val="24"/>
        </w:rPr>
        <w:t>G298 (</w:t>
      </w:r>
      <w:r w:rsidR="00CD2587" w:rsidRPr="00B90988">
        <w:rPr>
          <w:rFonts w:cs="Times New Roman"/>
          <w:b/>
          <w:szCs w:val="24"/>
        </w:rPr>
        <w:t>E</w:t>
      </w:r>
      <w:r w:rsidRPr="00B90988">
        <w:rPr>
          <w:rFonts w:cs="Times New Roman"/>
          <w:szCs w:val="24"/>
        </w:rPr>
        <w:t>) and pH</w:t>
      </w:r>
      <w:r w:rsidR="00277519" w:rsidRPr="00B90988">
        <w:rPr>
          <w:rFonts w:cs="Times New Roman"/>
          <w:szCs w:val="24"/>
        </w:rPr>
        <w:t>S</w:t>
      </w:r>
      <w:r w:rsidRPr="00B90988">
        <w:rPr>
          <w:rFonts w:cs="Times New Roman"/>
          <w:szCs w:val="24"/>
        </w:rPr>
        <w:t>G396 (</w:t>
      </w:r>
      <w:r w:rsidR="00CD2587" w:rsidRPr="00B90988">
        <w:rPr>
          <w:rFonts w:cs="Times New Roman"/>
          <w:b/>
          <w:szCs w:val="24"/>
        </w:rPr>
        <w:t>F</w:t>
      </w:r>
      <w:r w:rsidRPr="00B90988">
        <w:rPr>
          <w:rFonts w:cs="Times New Roman"/>
          <w:szCs w:val="24"/>
        </w:rPr>
        <w:t xml:space="preserve">), and for the EPS of </w:t>
      </w:r>
      <w:r w:rsidRPr="00B90988">
        <w:rPr>
          <w:rFonts w:cs="Times New Roman"/>
          <w:i/>
          <w:szCs w:val="24"/>
        </w:rPr>
        <w:t>E. coli XL1 Blue</w:t>
      </w:r>
      <w:r w:rsidRPr="00B90988">
        <w:rPr>
          <w:rFonts w:cs="Times New Roman"/>
          <w:szCs w:val="24"/>
        </w:rPr>
        <w:t xml:space="preserve"> quenched by pH</w:t>
      </w:r>
      <w:r w:rsidR="00277519" w:rsidRPr="00B90988">
        <w:rPr>
          <w:rFonts w:cs="Times New Roman"/>
          <w:szCs w:val="24"/>
        </w:rPr>
        <w:t>S</w:t>
      </w:r>
      <w:r w:rsidRPr="00B90988">
        <w:rPr>
          <w:rFonts w:cs="Times New Roman"/>
          <w:szCs w:val="24"/>
        </w:rPr>
        <w:t>G298 (</w:t>
      </w:r>
      <w:r w:rsidR="00CD2587" w:rsidRPr="00B90988">
        <w:rPr>
          <w:rFonts w:cs="Times New Roman"/>
          <w:b/>
          <w:szCs w:val="24"/>
        </w:rPr>
        <w:t>G</w:t>
      </w:r>
      <w:r w:rsidRPr="00B90988">
        <w:rPr>
          <w:rFonts w:cs="Times New Roman"/>
          <w:szCs w:val="24"/>
        </w:rPr>
        <w:t>) and pH</w:t>
      </w:r>
      <w:r w:rsidR="00277519" w:rsidRPr="00B90988">
        <w:rPr>
          <w:rFonts w:cs="Times New Roman"/>
          <w:szCs w:val="24"/>
        </w:rPr>
        <w:t>S</w:t>
      </w:r>
      <w:r w:rsidRPr="00B90988">
        <w:rPr>
          <w:rFonts w:cs="Times New Roman"/>
          <w:szCs w:val="24"/>
        </w:rPr>
        <w:t>G396 (</w:t>
      </w:r>
      <w:r w:rsidR="00CD2587" w:rsidRPr="00B90988">
        <w:rPr>
          <w:rFonts w:cs="Times New Roman"/>
          <w:b/>
          <w:szCs w:val="24"/>
        </w:rPr>
        <w:t>H</w:t>
      </w:r>
      <w:r w:rsidRPr="00B90988">
        <w:rPr>
          <w:rFonts w:cs="Times New Roman"/>
          <w:szCs w:val="24"/>
        </w:rPr>
        <w:t>).</w:t>
      </w:r>
      <w:r>
        <w:rPr>
          <w:rFonts w:cs="Times New Roman"/>
          <w:szCs w:val="24"/>
        </w:rPr>
        <w:t xml:space="preserve"> </w:t>
      </w:r>
      <w:r w:rsidRPr="008E71A7">
        <w:rPr>
          <w:rFonts w:cs="Times New Roman"/>
          <w:szCs w:val="24"/>
        </w:rPr>
        <w:t xml:space="preserve">Notes: The EPS solution extracted from the </w:t>
      </w:r>
      <w:r w:rsidRPr="008E71A7">
        <w:rPr>
          <w:rFonts w:cs="Times New Roman"/>
          <w:i/>
          <w:szCs w:val="24"/>
        </w:rPr>
        <w:t>E. coli</w:t>
      </w:r>
      <w:r w:rsidRPr="008E71A7">
        <w:rPr>
          <w:rFonts w:cs="Times New Roman"/>
          <w:szCs w:val="24"/>
        </w:rPr>
        <w:t xml:space="preserve"> cells was filled with CaCl</w:t>
      </w:r>
      <w:r w:rsidRPr="008E71A7">
        <w:rPr>
          <w:rFonts w:cs="Times New Roman"/>
          <w:szCs w:val="24"/>
          <w:vertAlign w:val="subscript"/>
        </w:rPr>
        <w:t>2</w:t>
      </w:r>
      <w:r w:rsidRPr="008E71A7">
        <w:rPr>
          <w:rFonts w:cs="Times New Roman"/>
          <w:szCs w:val="24"/>
        </w:rPr>
        <w:t xml:space="preserve"> solution and sterile </w:t>
      </w:r>
      <w:proofErr w:type="spellStart"/>
      <w:r w:rsidRPr="008E71A7">
        <w:rPr>
          <w:rFonts w:cs="Times New Roman"/>
          <w:szCs w:val="24"/>
        </w:rPr>
        <w:t>Milli</w:t>
      </w:r>
      <w:proofErr w:type="spellEnd"/>
      <w:r w:rsidRPr="008E71A7">
        <w:rPr>
          <w:rFonts w:cs="Times New Roman"/>
          <w:szCs w:val="24"/>
        </w:rPr>
        <w:t>-Q water to a final Ca</w:t>
      </w:r>
      <w:r w:rsidRPr="008E71A7">
        <w:rPr>
          <w:rFonts w:cs="Times New Roman"/>
          <w:szCs w:val="24"/>
          <w:vertAlign w:val="superscript"/>
        </w:rPr>
        <w:t>2+</w:t>
      </w:r>
      <w:r w:rsidRPr="008E71A7">
        <w:rPr>
          <w:rFonts w:cs="Times New Roman"/>
          <w:szCs w:val="24"/>
        </w:rPr>
        <w:t xml:space="preserve"> concentration up to 0.05 </w:t>
      </w:r>
      <w:proofErr w:type="spellStart"/>
      <w:r w:rsidRPr="008E71A7">
        <w:rPr>
          <w:rFonts w:cs="Times New Roman"/>
          <w:szCs w:val="24"/>
        </w:rPr>
        <w:t>mol</w:t>
      </w:r>
      <w:proofErr w:type="spellEnd"/>
      <w:r w:rsidRPr="008E71A7">
        <w:rPr>
          <w:rFonts w:cs="Times New Roman"/>
          <w:szCs w:val="24"/>
        </w:rPr>
        <w:t xml:space="preserve"> L</w:t>
      </w:r>
      <w:r w:rsidRPr="008E71A7">
        <w:rPr>
          <w:rFonts w:cs="Times New Roman"/>
          <w:szCs w:val="24"/>
          <w:vertAlign w:val="superscript"/>
        </w:rPr>
        <w:t>-1</w:t>
      </w:r>
      <w:r w:rsidRPr="008E71A7">
        <w:rPr>
          <w:rFonts w:cs="Times New Roman"/>
          <w:szCs w:val="24"/>
        </w:rPr>
        <w:t xml:space="preserve"> (Millipore, 18 </w:t>
      </w:r>
      <w:proofErr w:type="spellStart"/>
      <w:r w:rsidRPr="008E71A7">
        <w:rPr>
          <w:rFonts w:cs="Times New Roman"/>
          <w:szCs w:val="24"/>
        </w:rPr>
        <w:t>MΩ·cm</w:t>
      </w:r>
      <w:proofErr w:type="spellEnd"/>
      <w:r w:rsidRPr="008E71A7">
        <w:rPr>
          <w:rFonts w:cs="Times New Roman"/>
          <w:szCs w:val="24"/>
        </w:rPr>
        <w:t>) and the EPS concentration was up to nearly 40 mg C L</w:t>
      </w:r>
      <w:r w:rsidRPr="008E71A7">
        <w:rPr>
          <w:rFonts w:cs="Times New Roman"/>
          <w:szCs w:val="24"/>
          <w:vertAlign w:val="superscript"/>
        </w:rPr>
        <w:t>-1</w:t>
      </w:r>
      <w:r w:rsidRPr="008E71A7">
        <w:rPr>
          <w:rFonts w:cs="Times New Roman"/>
          <w:szCs w:val="24"/>
        </w:rPr>
        <w:t xml:space="preserve">. The plasmid stock solution </w:t>
      </w:r>
      <w:proofErr w:type="gramStart"/>
      <w:r w:rsidRPr="008E71A7">
        <w:rPr>
          <w:rFonts w:cs="Times New Roman"/>
          <w:szCs w:val="24"/>
        </w:rPr>
        <w:t>was diluted</w:t>
      </w:r>
      <w:proofErr w:type="gramEnd"/>
      <w:r w:rsidRPr="008E71A7">
        <w:rPr>
          <w:rFonts w:cs="Times New Roman"/>
          <w:szCs w:val="24"/>
        </w:rPr>
        <w:t xml:space="preserve"> with sterile </w:t>
      </w:r>
      <w:proofErr w:type="spellStart"/>
      <w:r w:rsidRPr="008E71A7">
        <w:rPr>
          <w:rFonts w:cs="Times New Roman"/>
          <w:szCs w:val="24"/>
        </w:rPr>
        <w:t>Milli</w:t>
      </w:r>
      <w:proofErr w:type="spellEnd"/>
      <w:r w:rsidRPr="008E71A7">
        <w:rPr>
          <w:rFonts w:cs="Times New Roman"/>
          <w:szCs w:val="24"/>
        </w:rPr>
        <w:t>-Q water to achieve the final plasmid concentration of up to 2.5 ng μL</w:t>
      </w:r>
      <w:r w:rsidRPr="008E71A7">
        <w:rPr>
          <w:rFonts w:cs="Times New Roman"/>
          <w:szCs w:val="24"/>
          <w:vertAlign w:val="superscript"/>
        </w:rPr>
        <w:t>-1</w:t>
      </w:r>
      <w:r w:rsidRPr="008E71A7">
        <w:rPr>
          <w:rFonts w:cs="Times New Roman"/>
          <w:szCs w:val="24"/>
        </w:rPr>
        <w:t xml:space="preserve">. The plasmid solution was gradually titrated into 20 mL of the EPS solution and then mixed by magnetic stirring for 20 min at 160 rpm, pH 7.0, and 25 °C. Afterward, the fluorescence spectra and intensities </w:t>
      </w:r>
      <w:proofErr w:type="gramStart"/>
      <w:r w:rsidRPr="008E71A7">
        <w:rPr>
          <w:rFonts w:cs="Times New Roman"/>
          <w:szCs w:val="24"/>
        </w:rPr>
        <w:t>were obtained</w:t>
      </w:r>
      <w:proofErr w:type="gramEnd"/>
      <w:r w:rsidRPr="008E71A7">
        <w:rPr>
          <w:rFonts w:cs="Times New Roman"/>
          <w:szCs w:val="24"/>
        </w:rPr>
        <w:t xml:space="preserve"> at 200–380 nm excitation wavelength and 250–500 nm emission wavelength (F96PRO, </w:t>
      </w:r>
      <w:proofErr w:type="spellStart"/>
      <w:r w:rsidRPr="008E71A7">
        <w:rPr>
          <w:rFonts w:cs="Times New Roman"/>
          <w:szCs w:val="24"/>
        </w:rPr>
        <w:t>LengGuang</w:t>
      </w:r>
      <w:proofErr w:type="spellEnd"/>
      <w:r w:rsidRPr="008E71A7">
        <w:rPr>
          <w:rFonts w:cs="Times New Roman"/>
          <w:szCs w:val="24"/>
        </w:rPr>
        <w:t>).</w:t>
      </w:r>
      <w:r w:rsidRPr="00B90988">
        <w:rPr>
          <w:rFonts w:cs="Times New Roman"/>
          <w:szCs w:val="24"/>
        </w:rPr>
        <w:t xml:space="preserve"> </w:t>
      </w:r>
    </w:p>
    <w:p w14:paraId="1645701E" w14:textId="77777777" w:rsidR="008E71A7" w:rsidRDefault="008E71A7" w:rsidP="008E71A7">
      <w:pPr>
        <w:rPr>
          <w:rFonts w:cs="Times New Roman"/>
          <w:szCs w:val="24"/>
        </w:rPr>
      </w:pPr>
      <w:r w:rsidRPr="00B90988">
        <w:rPr>
          <w:rFonts w:cs="Times New Roman"/>
          <w:szCs w:val="24"/>
        </w:rPr>
        <w:br w:type="page"/>
      </w:r>
    </w:p>
    <w:p w14:paraId="7C5A4DF4" w14:textId="77777777" w:rsidR="003B44EE" w:rsidRPr="003B44EE" w:rsidRDefault="003B44EE" w:rsidP="003B44EE">
      <w:pPr>
        <w:spacing w:before="0" w:after="160" w:line="259" w:lineRule="auto"/>
        <w:rPr>
          <w:rFonts w:eastAsia="SimSun" w:cs="Times New Roman"/>
          <w:b/>
          <w:szCs w:val="24"/>
          <w:lang w:eastAsia="zh-CN"/>
        </w:rPr>
      </w:pPr>
      <w:r w:rsidRPr="003B44EE">
        <w:rPr>
          <w:rFonts w:eastAsia="SimSun" w:cs="Times New Roman" w:hint="eastAsia"/>
          <w:b/>
          <w:szCs w:val="24"/>
          <w:lang w:eastAsia="zh-CN"/>
        </w:rPr>
        <w:lastRenderedPageBreak/>
        <w:t>T</w:t>
      </w:r>
      <w:r w:rsidRPr="003B44EE">
        <w:rPr>
          <w:rFonts w:eastAsia="SimSun" w:cs="Times New Roman"/>
          <w:b/>
          <w:szCs w:val="24"/>
          <w:lang w:eastAsia="zh-CN"/>
        </w:rPr>
        <w:t xml:space="preserve">able S1. </w:t>
      </w:r>
      <w:r w:rsidRPr="003B44EE">
        <w:rPr>
          <w:rFonts w:eastAsia="SimSun" w:cs="Times New Roman"/>
          <w:noProof/>
          <w:szCs w:val="24"/>
          <w:lang w:eastAsia="zh-CN"/>
        </w:rPr>
        <w:t>Basic</w:t>
      </w:r>
      <w:r w:rsidRPr="003B44EE">
        <w:rPr>
          <w:rFonts w:eastAsia="SimSun" w:cs="Times New Roman"/>
          <w:szCs w:val="24"/>
          <w:lang w:eastAsia="zh-CN"/>
        </w:rPr>
        <w:t xml:space="preserve"> information of plasmids used in this study.</w:t>
      </w:r>
    </w:p>
    <w:tbl>
      <w:tblPr>
        <w:tblStyle w:val="11"/>
        <w:tblW w:w="4846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7"/>
        <w:gridCol w:w="5032"/>
        <w:gridCol w:w="2337"/>
      </w:tblGrid>
      <w:tr w:rsidR="003B44EE" w:rsidRPr="003B44EE" w14:paraId="43B18E20" w14:textId="77777777" w:rsidTr="003B44EE">
        <w:trPr>
          <w:jc w:val="center"/>
        </w:trPr>
        <w:tc>
          <w:tcPr>
            <w:tcW w:w="1112" w:type="pct"/>
            <w:tcBorders>
              <w:top w:val="single" w:sz="12" w:space="0" w:color="auto"/>
              <w:bottom w:val="single" w:sz="6" w:space="0" w:color="auto"/>
            </w:tcBorders>
            <w:shd w:val="clear" w:color="auto" w:fill="E2EFD9"/>
            <w:vAlign w:val="center"/>
          </w:tcPr>
          <w:p w14:paraId="2F6D8832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b/>
                <w:szCs w:val="24"/>
              </w:rPr>
            </w:pPr>
            <w:r w:rsidRPr="003B44EE">
              <w:rPr>
                <w:rFonts w:eastAsia="SimSun" w:cs="Times New Roman"/>
                <w:b/>
                <w:szCs w:val="24"/>
              </w:rPr>
              <w:t>Plasmids</w:t>
            </w:r>
          </w:p>
        </w:tc>
        <w:tc>
          <w:tcPr>
            <w:tcW w:w="2655" w:type="pct"/>
            <w:tcBorders>
              <w:top w:val="single" w:sz="12" w:space="0" w:color="auto"/>
              <w:bottom w:val="single" w:sz="6" w:space="0" w:color="auto"/>
            </w:tcBorders>
            <w:shd w:val="clear" w:color="auto" w:fill="E2EFD9"/>
            <w:vAlign w:val="center"/>
          </w:tcPr>
          <w:p w14:paraId="180EB810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b/>
                <w:szCs w:val="24"/>
              </w:rPr>
            </w:pPr>
            <w:r w:rsidRPr="003B44EE">
              <w:rPr>
                <w:rFonts w:eastAsia="SimSun" w:cs="Times New Roman" w:hint="eastAsia"/>
                <w:b/>
                <w:szCs w:val="24"/>
              </w:rPr>
              <w:t>A</w:t>
            </w:r>
            <w:r w:rsidRPr="003B44EE">
              <w:rPr>
                <w:rFonts w:eastAsia="SimSun" w:cs="Times New Roman"/>
                <w:b/>
                <w:szCs w:val="24"/>
              </w:rPr>
              <w:t>ntibiotic resistance</w:t>
            </w:r>
          </w:p>
        </w:tc>
        <w:tc>
          <w:tcPr>
            <w:tcW w:w="1233" w:type="pct"/>
            <w:tcBorders>
              <w:top w:val="single" w:sz="12" w:space="0" w:color="auto"/>
              <w:bottom w:val="single" w:sz="6" w:space="0" w:color="auto"/>
            </w:tcBorders>
            <w:shd w:val="clear" w:color="auto" w:fill="E2EFD9"/>
            <w:vAlign w:val="center"/>
          </w:tcPr>
          <w:p w14:paraId="07B805BF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b/>
                <w:szCs w:val="24"/>
              </w:rPr>
            </w:pPr>
            <w:r w:rsidRPr="003B44EE">
              <w:rPr>
                <w:rFonts w:eastAsia="SimSun" w:cs="Times New Roman"/>
                <w:b/>
                <w:szCs w:val="24"/>
              </w:rPr>
              <w:t>Chain length</w:t>
            </w:r>
          </w:p>
          <w:p w14:paraId="39C13240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b/>
                <w:szCs w:val="24"/>
              </w:rPr>
            </w:pPr>
            <w:r w:rsidRPr="003B44EE">
              <w:rPr>
                <w:rFonts w:eastAsia="SimSun" w:cs="Times New Roman"/>
                <w:b/>
                <w:szCs w:val="24"/>
              </w:rPr>
              <w:t>(</w:t>
            </w:r>
            <w:proofErr w:type="spellStart"/>
            <w:r w:rsidRPr="003B44EE">
              <w:rPr>
                <w:rFonts w:eastAsia="SimSun" w:cs="Times New Roman"/>
                <w:b/>
                <w:szCs w:val="24"/>
              </w:rPr>
              <w:t>bp</w:t>
            </w:r>
            <w:proofErr w:type="spellEnd"/>
            <w:r w:rsidRPr="003B44EE">
              <w:rPr>
                <w:rFonts w:eastAsia="SimSun" w:cs="Times New Roman"/>
                <w:b/>
                <w:szCs w:val="24"/>
              </w:rPr>
              <w:t>)</w:t>
            </w:r>
          </w:p>
        </w:tc>
      </w:tr>
      <w:tr w:rsidR="003B44EE" w:rsidRPr="003B44EE" w14:paraId="7568A2A3" w14:textId="77777777" w:rsidTr="003B44EE">
        <w:trPr>
          <w:jc w:val="center"/>
        </w:trPr>
        <w:tc>
          <w:tcPr>
            <w:tcW w:w="1112" w:type="pct"/>
            <w:tcBorders>
              <w:top w:val="single" w:sz="6" w:space="0" w:color="auto"/>
              <w:bottom w:val="nil"/>
            </w:tcBorders>
            <w:shd w:val="clear" w:color="auto" w:fill="DEEAF6"/>
            <w:vAlign w:val="center"/>
          </w:tcPr>
          <w:p w14:paraId="0DA64967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 w:hint="eastAsia"/>
                <w:szCs w:val="24"/>
              </w:rPr>
              <w:t>p</w:t>
            </w:r>
            <w:r w:rsidRPr="003B44EE">
              <w:rPr>
                <w:rFonts w:eastAsia="SimSun" w:cs="Times New Roman"/>
                <w:szCs w:val="24"/>
              </w:rPr>
              <w:t>UC19</w:t>
            </w:r>
          </w:p>
        </w:tc>
        <w:tc>
          <w:tcPr>
            <w:tcW w:w="2655" w:type="pct"/>
            <w:tcBorders>
              <w:top w:val="single" w:sz="6" w:space="0" w:color="auto"/>
              <w:bottom w:val="nil"/>
            </w:tcBorders>
            <w:shd w:val="clear" w:color="auto" w:fill="DEEAF6"/>
            <w:vAlign w:val="center"/>
          </w:tcPr>
          <w:p w14:paraId="3F5ABDD9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 w:hint="eastAsia"/>
                <w:szCs w:val="24"/>
              </w:rPr>
              <w:t>ampicillin resistance</w:t>
            </w:r>
          </w:p>
        </w:tc>
        <w:tc>
          <w:tcPr>
            <w:tcW w:w="1233" w:type="pct"/>
            <w:tcBorders>
              <w:top w:val="single" w:sz="6" w:space="0" w:color="auto"/>
              <w:bottom w:val="nil"/>
            </w:tcBorders>
            <w:shd w:val="clear" w:color="auto" w:fill="DEEAF6"/>
            <w:vAlign w:val="center"/>
          </w:tcPr>
          <w:p w14:paraId="173207F9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 w:hint="eastAsia"/>
                <w:szCs w:val="24"/>
              </w:rPr>
              <w:t>2</w:t>
            </w:r>
            <w:r w:rsidRPr="003B44EE">
              <w:rPr>
                <w:rFonts w:eastAsia="SimSun" w:cs="Times New Roman"/>
                <w:szCs w:val="24"/>
              </w:rPr>
              <w:t>686</w:t>
            </w:r>
          </w:p>
        </w:tc>
      </w:tr>
      <w:tr w:rsidR="003B44EE" w:rsidRPr="003B44EE" w14:paraId="0716D4C2" w14:textId="77777777" w:rsidTr="003B44EE">
        <w:trPr>
          <w:jc w:val="center"/>
        </w:trPr>
        <w:tc>
          <w:tcPr>
            <w:tcW w:w="1112" w:type="pct"/>
            <w:tcBorders>
              <w:top w:val="nil"/>
              <w:bottom w:val="nil"/>
            </w:tcBorders>
            <w:shd w:val="clear" w:color="auto" w:fill="DEEAF6"/>
            <w:vAlign w:val="center"/>
          </w:tcPr>
          <w:p w14:paraId="4A34367C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 w:hint="eastAsia"/>
                <w:szCs w:val="24"/>
              </w:rPr>
              <w:t>p</w:t>
            </w:r>
            <w:r w:rsidRPr="003B44EE">
              <w:rPr>
                <w:rFonts w:eastAsia="SimSun" w:cs="Times New Roman"/>
                <w:szCs w:val="24"/>
              </w:rPr>
              <w:t>HSG298</w:t>
            </w:r>
          </w:p>
        </w:tc>
        <w:tc>
          <w:tcPr>
            <w:tcW w:w="2655" w:type="pct"/>
            <w:tcBorders>
              <w:top w:val="nil"/>
              <w:bottom w:val="nil"/>
            </w:tcBorders>
            <w:shd w:val="clear" w:color="auto" w:fill="DEEAF6"/>
            <w:vAlign w:val="center"/>
          </w:tcPr>
          <w:p w14:paraId="501B02D8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kanamycin resistance</w:t>
            </w:r>
          </w:p>
        </w:tc>
        <w:tc>
          <w:tcPr>
            <w:tcW w:w="1233" w:type="pct"/>
            <w:tcBorders>
              <w:top w:val="nil"/>
              <w:bottom w:val="nil"/>
            </w:tcBorders>
            <w:shd w:val="clear" w:color="auto" w:fill="DEEAF6"/>
            <w:vAlign w:val="center"/>
          </w:tcPr>
          <w:p w14:paraId="37490378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 w:hint="eastAsia"/>
                <w:szCs w:val="24"/>
              </w:rPr>
              <w:t>2</w:t>
            </w:r>
            <w:r w:rsidRPr="003B44EE">
              <w:rPr>
                <w:rFonts w:eastAsia="SimSun" w:cs="Times New Roman"/>
                <w:szCs w:val="24"/>
              </w:rPr>
              <w:t>675</w:t>
            </w:r>
          </w:p>
        </w:tc>
      </w:tr>
      <w:tr w:rsidR="003B44EE" w:rsidRPr="003B44EE" w14:paraId="220225B8" w14:textId="77777777" w:rsidTr="003B44EE">
        <w:trPr>
          <w:jc w:val="center"/>
        </w:trPr>
        <w:tc>
          <w:tcPr>
            <w:tcW w:w="1112" w:type="pct"/>
            <w:tcBorders>
              <w:top w:val="nil"/>
              <w:bottom w:val="single" w:sz="12" w:space="0" w:color="auto"/>
            </w:tcBorders>
            <w:shd w:val="clear" w:color="auto" w:fill="DEEAF6"/>
            <w:vAlign w:val="center"/>
          </w:tcPr>
          <w:p w14:paraId="11ECD8DE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 w:hint="eastAsia"/>
                <w:szCs w:val="24"/>
              </w:rPr>
              <w:t>p</w:t>
            </w:r>
            <w:r w:rsidRPr="003B44EE">
              <w:rPr>
                <w:rFonts w:eastAsia="SimSun" w:cs="Times New Roman"/>
                <w:szCs w:val="24"/>
              </w:rPr>
              <w:t>HSG396</w:t>
            </w:r>
          </w:p>
        </w:tc>
        <w:tc>
          <w:tcPr>
            <w:tcW w:w="2655" w:type="pct"/>
            <w:tcBorders>
              <w:top w:val="nil"/>
              <w:bottom w:val="single" w:sz="12" w:space="0" w:color="auto"/>
            </w:tcBorders>
            <w:shd w:val="clear" w:color="auto" w:fill="DEEAF6"/>
            <w:vAlign w:val="center"/>
          </w:tcPr>
          <w:p w14:paraId="46486D94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 w:hint="eastAsia"/>
                <w:szCs w:val="24"/>
              </w:rPr>
              <w:t>chloramphenicol resistance</w:t>
            </w:r>
          </w:p>
        </w:tc>
        <w:tc>
          <w:tcPr>
            <w:tcW w:w="1233" w:type="pct"/>
            <w:tcBorders>
              <w:top w:val="nil"/>
              <w:bottom w:val="single" w:sz="12" w:space="0" w:color="auto"/>
            </w:tcBorders>
            <w:shd w:val="clear" w:color="auto" w:fill="DEEAF6"/>
            <w:vAlign w:val="center"/>
          </w:tcPr>
          <w:p w14:paraId="63A091B1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 w:hint="eastAsia"/>
                <w:szCs w:val="24"/>
              </w:rPr>
              <w:t>2</w:t>
            </w:r>
            <w:r w:rsidRPr="003B44EE">
              <w:rPr>
                <w:rFonts w:eastAsia="SimSun" w:cs="Times New Roman"/>
                <w:szCs w:val="24"/>
              </w:rPr>
              <w:t>238</w:t>
            </w:r>
          </w:p>
        </w:tc>
      </w:tr>
    </w:tbl>
    <w:p w14:paraId="705E5FE9" w14:textId="77777777" w:rsidR="008E71A7" w:rsidRPr="00DD5812" w:rsidRDefault="008E71A7" w:rsidP="008E71A7">
      <w:pPr>
        <w:rPr>
          <w:szCs w:val="24"/>
        </w:rPr>
      </w:pPr>
    </w:p>
    <w:p w14:paraId="3E9FC3BE" w14:textId="110F5EFE" w:rsidR="003B44EE" w:rsidRPr="003B44EE" w:rsidRDefault="003B44EE" w:rsidP="003B44EE">
      <w:pPr>
        <w:spacing w:before="0" w:after="160"/>
        <w:rPr>
          <w:rFonts w:eastAsia="SimSun" w:cs="Times New Roman"/>
          <w:b/>
          <w:szCs w:val="24"/>
          <w:lang w:eastAsia="zh-CN"/>
        </w:rPr>
      </w:pPr>
      <w:r w:rsidRPr="003B44EE">
        <w:rPr>
          <w:rFonts w:eastAsia="SimSun" w:cs="Times New Roman"/>
          <w:b/>
          <w:szCs w:val="24"/>
          <w:lang w:eastAsia="zh-CN"/>
        </w:rPr>
        <w:t xml:space="preserve">Table S2. </w:t>
      </w:r>
      <w:r w:rsidRPr="003B44EE">
        <w:rPr>
          <w:rFonts w:eastAsia="SimSun" w:cs="Times New Roman"/>
          <w:noProof/>
          <w:szCs w:val="24"/>
          <w:lang w:eastAsia="zh-CN"/>
        </w:rPr>
        <w:t>Peak</w:t>
      </w:r>
      <w:r w:rsidRPr="003B44EE">
        <w:rPr>
          <w:rFonts w:eastAsia="SimSun" w:cs="Times New Roman"/>
          <w:szCs w:val="24"/>
          <w:lang w:eastAsia="zh-CN"/>
        </w:rPr>
        <w:t xml:space="preserve"> position</w:t>
      </w:r>
      <w:r w:rsidR="003C3716">
        <w:rPr>
          <w:rFonts w:eastAsia="SimSun" w:cs="Times New Roman" w:hint="eastAsia"/>
          <w:szCs w:val="24"/>
          <w:lang w:eastAsia="zh-CN"/>
        </w:rPr>
        <w:t>s</w:t>
      </w:r>
      <w:r w:rsidRPr="003B44EE">
        <w:rPr>
          <w:rFonts w:eastAsia="SimSun" w:cs="Times New Roman"/>
          <w:szCs w:val="24"/>
          <w:lang w:eastAsia="zh-CN"/>
        </w:rPr>
        <w:t xml:space="preserve"> of fluorophores in EPS</w:t>
      </w:r>
      <w:r w:rsidR="003C3716">
        <w:rPr>
          <w:rFonts w:eastAsia="SimSun" w:cs="Times New Roman"/>
          <w:szCs w:val="24"/>
          <w:lang w:eastAsia="zh-CN"/>
        </w:rPr>
        <w:t xml:space="preserve"> </w:t>
      </w:r>
      <w:r w:rsidRPr="003B44EE">
        <w:rPr>
          <w:rFonts w:eastAsia="SimSun" w:cs="Times New Roman"/>
          <w:szCs w:val="24"/>
          <w:lang w:eastAsia="zh-CN"/>
        </w:rPr>
        <w:fldChar w:fldCharType="begin"/>
      </w:r>
      <w:r w:rsidRPr="003B44EE">
        <w:rPr>
          <w:rFonts w:eastAsia="SimSun" w:cs="Times New Roman"/>
          <w:szCs w:val="24"/>
          <w:lang w:eastAsia="zh-CN"/>
        </w:rPr>
        <w:instrText xml:space="preserve"> ADDIN EN.CITE &lt;EndNote&gt;&lt;Cite&gt;&lt;Author&gt;Chen&lt;/Author&gt;&lt;Year&gt;2003&lt;/Year&gt;&lt;RecNum&gt;231&lt;/RecNum&gt;&lt;DisplayText&gt;(Chen et al., 2003)&lt;/DisplayText&gt;&lt;record&gt;&lt;rec-number&gt;231&lt;/rec-number&gt;&lt;foreign-keys&gt;&lt;key app="EN" db-id="a95exaxaqe2vdkerr96ptzr5wfwdaxrsdxrt"&gt;231&lt;/key&gt;&lt;/foreign-keys&gt;&lt;ref-type name="Journal Article"&gt;17&lt;/ref-type&gt;&lt;contributors&gt;&lt;authors&gt;&lt;author&gt;Chen, W.&lt;/author&gt;&lt;author&gt;Westerhoff, P&lt;/author&gt;&lt;author&gt;Leenheer, J. A.&lt;/author&gt;&lt;author&gt;Booksh, K&lt;/author&gt;&lt;/authors&gt;&lt;/contributors&gt;&lt;titles&gt;&lt;title&gt;Fluorescence excitation-emission matrix regional integration to quantify spectra for dissolved organic matter&lt;/title&gt;&lt;secondary-title&gt;Environmental Science &amp;amp; Technology&lt;/secondary-title&gt;&lt;/titles&gt;&lt;periodical&gt;&lt;full-title&gt;Environmental science &amp;amp; technology&lt;/full-title&gt;&lt;/periodical&gt;&lt;pages&gt;5701-5710&lt;/pages&gt;&lt;volume&gt;37&lt;/volume&gt;&lt;number&gt;24&lt;/number&gt;&lt;dates&gt;&lt;year&gt;2003&lt;/year&gt;&lt;/dates&gt;&lt;urls&gt;&lt;/urls&gt;&lt;/record&gt;&lt;/Cite&gt;&lt;/EndNote&gt;</w:instrText>
      </w:r>
      <w:r w:rsidRPr="003B44EE">
        <w:rPr>
          <w:rFonts w:eastAsia="SimSun" w:cs="Times New Roman"/>
          <w:szCs w:val="24"/>
          <w:lang w:eastAsia="zh-CN"/>
        </w:rPr>
        <w:fldChar w:fldCharType="separate"/>
      </w:r>
      <w:r w:rsidRPr="003B44EE">
        <w:rPr>
          <w:rFonts w:eastAsia="SimSun" w:cs="Times New Roman"/>
          <w:noProof/>
          <w:szCs w:val="24"/>
          <w:lang w:eastAsia="zh-CN"/>
        </w:rPr>
        <w:t>(</w:t>
      </w:r>
      <w:hyperlink w:anchor="_ENREF_1" w:tooltip="Chen, 2003 #231" w:history="1">
        <w:r w:rsidRPr="003B44EE">
          <w:rPr>
            <w:rFonts w:eastAsia="SimSun" w:cs="Times New Roman"/>
            <w:noProof/>
            <w:szCs w:val="24"/>
            <w:lang w:eastAsia="zh-CN"/>
          </w:rPr>
          <w:t>Chen et al., 2003</w:t>
        </w:r>
      </w:hyperlink>
      <w:r w:rsidRPr="003B44EE">
        <w:rPr>
          <w:rFonts w:eastAsia="SimSun" w:cs="Times New Roman"/>
          <w:noProof/>
          <w:szCs w:val="24"/>
          <w:lang w:eastAsia="zh-CN"/>
        </w:rPr>
        <w:t>)</w:t>
      </w:r>
      <w:r w:rsidRPr="003B44EE">
        <w:rPr>
          <w:rFonts w:eastAsia="SimSun" w:cs="Times New Roman"/>
          <w:szCs w:val="24"/>
          <w:lang w:eastAsia="zh-CN"/>
        </w:rPr>
        <w:fldChar w:fldCharType="end"/>
      </w:r>
      <w:r w:rsidRPr="003B44EE">
        <w:rPr>
          <w:rFonts w:eastAsia="SimSun" w:cs="Times New Roman"/>
          <w:szCs w:val="24"/>
          <w:lang w:eastAsia="zh-CN"/>
        </w:rPr>
        <w:t>.</w:t>
      </w:r>
      <w:bookmarkStart w:id="0" w:name="_GoBack"/>
      <w:bookmarkEnd w:id="0"/>
    </w:p>
    <w:tbl>
      <w:tblPr>
        <w:tblStyle w:val="2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3"/>
        <w:gridCol w:w="1703"/>
        <w:gridCol w:w="5548"/>
      </w:tblGrid>
      <w:tr w:rsidR="003B44EE" w:rsidRPr="003B44EE" w14:paraId="510B216A" w14:textId="77777777" w:rsidTr="003B44EE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E2EFD9"/>
            <w:vAlign w:val="center"/>
          </w:tcPr>
          <w:p w14:paraId="122516D5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b/>
                <w:szCs w:val="24"/>
              </w:rPr>
            </w:pPr>
            <w:r w:rsidRPr="003B44EE">
              <w:rPr>
                <w:rFonts w:eastAsia="SimSun" w:cs="Times New Roman" w:hint="eastAsia"/>
                <w:b/>
                <w:szCs w:val="24"/>
              </w:rPr>
              <w:t>P</w:t>
            </w:r>
            <w:r w:rsidRPr="003B44EE">
              <w:rPr>
                <w:rFonts w:eastAsia="SimSun" w:cs="Times New Roman"/>
                <w:b/>
                <w:szCs w:val="24"/>
              </w:rPr>
              <w:t>eak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E2EFD9"/>
            <w:vAlign w:val="center"/>
          </w:tcPr>
          <w:p w14:paraId="33E9B5CF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shd w:val="clear" w:color="auto" w:fill="E2EFD9"/>
            <w:vAlign w:val="center"/>
          </w:tcPr>
          <w:p w14:paraId="27F0842B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b/>
                <w:szCs w:val="24"/>
              </w:rPr>
            </w:pPr>
            <w:r w:rsidRPr="003B44EE">
              <w:rPr>
                <w:rFonts w:eastAsia="SimSun" w:cs="Times New Roman"/>
                <w:b/>
                <w:szCs w:val="24"/>
              </w:rPr>
              <w:t>Fluorescence type</w:t>
            </w:r>
          </w:p>
        </w:tc>
      </w:tr>
      <w:tr w:rsidR="003B44EE" w:rsidRPr="003B44EE" w14:paraId="28DA3D11" w14:textId="77777777" w:rsidTr="003B44EE">
        <w:trPr>
          <w:trHeight w:val="454"/>
          <w:jc w:val="center"/>
        </w:trPr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E2EFD9"/>
            <w:vAlign w:val="center"/>
          </w:tcPr>
          <w:p w14:paraId="330DB766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b/>
                <w:szCs w:val="24"/>
              </w:rPr>
            </w:pPr>
            <w:r w:rsidRPr="003B44EE">
              <w:rPr>
                <w:rFonts w:eastAsia="SimSun" w:cs="Times New Roman" w:hint="eastAsia"/>
                <w:b/>
                <w:szCs w:val="24"/>
              </w:rPr>
              <w:t>E</w:t>
            </w:r>
            <w:r w:rsidRPr="003B44EE">
              <w:rPr>
                <w:rFonts w:eastAsia="SimSun" w:cs="Times New Roman"/>
                <w:b/>
                <w:szCs w:val="24"/>
              </w:rPr>
              <w:t>xcitation (nm)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E2EFD9"/>
            <w:vAlign w:val="center"/>
          </w:tcPr>
          <w:p w14:paraId="3041A05E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b/>
                <w:szCs w:val="24"/>
              </w:rPr>
            </w:pPr>
            <w:r w:rsidRPr="003B44EE">
              <w:rPr>
                <w:rFonts w:eastAsia="SimSun" w:cs="Times New Roman"/>
                <w:b/>
                <w:szCs w:val="24"/>
              </w:rPr>
              <w:t>Emission (nm)</w:t>
            </w:r>
          </w:p>
        </w:tc>
        <w:tc>
          <w:tcPr>
            <w:tcW w:w="0" w:type="auto"/>
            <w:vMerge/>
            <w:tcBorders>
              <w:bottom w:val="single" w:sz="6" w:space="0" w:color="auto"/>
            </w:tcBorders>
            <w:shd w:val="clear" w:color="auto" w:fill="E2EFD9"/>
            <w:vAlign w:val="center"/>
          </w:tcPr>
          <w:p w14:paraId="60B20798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</w:p>
        </w:tc>
      </w:tr>
      <w:tr w:rsidR="003B44EE" w:rsidRPr="003B44EE" w14:paraId="142B48C9" w14:textId="77777777" w:rsidTr="003B44EE">
        <w:trPr>
          <w:trHeight w:val="454"/>
          <w:jc w:val="center"/>
        </w:trPr>
        <w:tc>
          <w:tcPr>
            <w:tcW w:w="0" w:type="auto"/>
            <w:tcBorders>
              <w:top w:val="single" w:sz="6" w:space="0" w:color="auto"/>
            </w:tcBorders>
            <w:shd w:val="clear" w:color="auto" w:fill="DEEAF6"/>
            <w:vAlign w:val="center"/>
          </w:tcPr>
          <w:p w14:paraId="57658FC3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220 – 250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DEEAF6"/>
            <w:vAlign w:val="center"/>
          </w:tcPr>
          <w:p w14:paraId="6E491CD4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280 – 380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DEEAF6"/>
            <w:vAlign w:val="center"/>
          </w:tcPr>
          <w:p w14:paraId="05E3EDED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tyrosine and aromatics in protein-like</w:t>
            </w:r>
            <w:r w:rsidRPr="003B44EE">
              <w:rPr>
                <w:rFonts w:eastAsia="SimSun" w:cs="Times New Roman" w:hint="eastAsia"/>
                <w:szCs w:val="24"/>
              </w:rPr>
              <w:t xml:space="preserve"> </w:t>
            </w:r>
            <w:r w:rsidRPr="003B44EE">
              <w:rPr>
                <w:rFonts w:eastAsia="SimSun" w:cs="Times New Roman"/>
                <w:szCs w:val="24"/>
              </w:rPr>
              <w:t>components</w:t>
            </w:r>
          </w:p>
        </w:tc>
      </w:tr>
      <w:tr w:rsidR="003B44EE" w:rsidRPr="003B44EE" w14:paraId="77A4BD55" w14:textId="77777777" w:rsidTr="003B44EE">
        <w:trPr>
          <w:trHeight w:val="454"/>
          <w:jc w:val="center"/>
        </w:trPr>
        <w:tc>
          <w:tcPr>
            <w:tcW w:w="0" w:type="auto"/>
            <w:shd w:val="clear" w:color="auto" w:fill="DEEAF6"/>
            <w:vAlign w:val="center"/>
          </w:tcPr>
          <w:p w14:paraId="5B93F686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&gt; 250</w:t>
            </w:r>
          </w:p>
        </w:tc>
        <w:tc>
          <w:tcPr>
            <w:tcW w:w="0" w:type="auto"/>
            <w:shd w:val="clear" w:color="auto" w:fill="DEEAF6"/>
            <w:vAlign w:val="center"/>
          </w:tcPr>
          <w:p w14:paraId="566552A9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280 – 380</w:t>
            </w:r>
          </w:p>
        </w:tc>
        <w:tc>
          <w:tcPr>
            <w:tcW w:w="0" w:type="auto"/>
            <w:shd w:val="clear" w:color="auto" w:fill="DEEAF6"/>
            <w:vAlign w:val="center"/>
          </w:tcPr>
          <w:p w14:paraId="08211163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tryptophan in protein-like components</w:t>
            </w:r>
          </w:p>
        </w:tc>
      </w:tr>
      <w:tr w:rsidR="003B44EE" w:rsidRPr="003B44EE" w14:paraId="702EF1AE" w14:textId="77777777" w:rsidTr="003B44EE">
        <w:trPr>
          <w:trHeight w:val="454"/>
          <w:jc w:val="center"/>
        </w:trPr>
        <w:tc>
          <w:tcPr>
            <w:tcW w:w="0" w:type="auto"/>
            <w:shd w:val="clear" w:color="auto" w:fill="DEEAF6"/>
            <w:vAlign w:val="center"/>
          </w:tcPr>
          <w:p w14:paraId="060052D4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220 – 250</w:t>
            </w:r>
          </w:p>
        </w:tc>
        <w:tc>
          <w:tcPr>
            <w:tcW w:w="0" w:type="auto"/>
            <w:shd w:val="clear" w:color="auto" w:fill="DEEAF6"/>
            <w:vAlign w:val="center"/>
          </w:tcPr>
          <w:p w14:paraId="557646B0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&gt; 380</w:t>
            </w:r>
          </w:p>
        </w:tc>
        <w:tc>
          <w:tcPr>
            <w:tcW w:w="0" w:type="auto"/>
            <w:shd w:val="clear" w:color="auto" w:fill="DEEAF6"/>
            <w:vAlign w:val="center"/>
          </w:tcPr>
          <w:p w14:paraId="3582A634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proofErr w:type="spellStart"/>
            <w:r w:rsidRPr="003B44EE">
              <w:rPr>
                <w:rFonts w:eastAsia="SimSun" w:cs="Times New Roman"/>
                <w:szCs w:val="24"/>
              </w:rPr>
              <w:t>fulvic</w:t>
            </w:r>
            <w:proofErr w:type="spellEnd"/>
            <w:r w:rsidRPr="003B44EE">
              <w:rPr>
                <w:rFonts w:eastAsia="SimSun" w:cs="Times New Roman"/>
                <w:szCs w:val="24"/>
              </w:rPr>
              <w:t xml:space="preserve"> acid-like components (phenol/</w:t>
            </w:r>
            <w:proofErr w:type="spellStart"/>
            <w:r w:rsidRPr="003B44EE">
              <w:rPr>
                <w:rFonts w:eastAsia="SimSun" w:cs="Times New Roman"/>
                <w:szCs w:val="24"/>
              </w:rPr>
              <w:t>quinone</w:t>
            </w:r>
            <w:proofErr w:type="spellEnd"/>
            <w:r w:rsidRPr="003B44EE">
              <w:rPr>
                <w:rFonts w:eastAsia="SimSun" w:cs="Times New Roman"/>
                <w:szCs w:val="24"/>
              </w:rPr>
              <w:t xml:space="preserve"> structure)</w:t>
            </w:r>
          </w:p>
        </w:tc>
      </w:tr>
      <w:tr w:rsidR="003B44EE" w:rsidRPr="003B44EE" w14:paraId="7A65EF32" w14:textId="77777777" w:rsidTr="003B44EE">
        <w:trPr>
          <w:trHeight w:val="454"/>
          <w:jc w:val="center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DEEAF6"/>
            <w:vAlign w:val="center"/>
          </w:tcPr>
          <w:p w14:paraId="53FA836A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&gt; 250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DEEAF6"/>
            <w:vAlign w:val="center"/>
          </w:tcPr>
          <w:p w14:paraId="4C90663A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3B44EE">
              <w:rPr>
                <w:rFonts w:eastAsia="SimSun" w:cs="Times New Roman"/>
                <w:szCs w:val="24"/>
              </w:rPr>
              <w:t>&gt; 380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DEEAF6"/>
            <w:vAlign w:val="center"/>
          </w:tcPr>
          <w:p w14:paraId="5AAEAE6A" w14:textId="77777777" w:rsidR="003B44EE" w:rsidRPr="003B44EE" w:rsidRDefault="003B44EE" w:rsidP="003B44EE">
            <w:pPr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proofErr w:type="spellStart"/>
            <w:r w:rsidRPr="003B44EE">
              <w:rPr>
                <w:rFonts w:eastAsia="SimSun" w:cs="Times New Roman"/>
                <w:szCs w:val="24"/>
              </w:rPr>
              <w:t>humic</w:t>
            </w:r>
            <w:proofErr w:type="spellEnd"/>
            <w:r w:rsidRPr="003B44EE">
              <w:rPr>
                <w:rFonts w:eastAsia="SimSun" w:cs="Times New Roman"/>
                <w:szCs w:val="24"/>
              </w:rPr>
              <w:t xml:space="preserve"> acid-like components (phenol/</w:t>
            </w:r>
            <w:proofErr w:type="spellStart"/>
            <w:r w:rsidRPr="003B44EE">
              <w:rPr>
                <w:rFonts w:eastAsia="SimSun" w:cs="Times New Roman"/>
                <w:szCs w:val="24"/>
              </w:rPr>
              <w:t>quinone</w:t>
            </w:r>
            <w:proofErr w:type="spellEnd"/>
            <w:r w:rsidRPr="003B44EE">
              <w:rPr>
                <w:rFonts w:eastAsia="SimSun" w:cs="Times New Roman"/>
                <w:szCs w:val="24"/>
              </w:rPr>
              <w:t xml:space="preserve"> structure)</w:t>
            </w:r>
          </w:p>
        </w:tc>
      </w:tr>
    </w:tbl>
    <w:p w14:paraId="05187FF5" w14:textId="77777777" w:rsidR="00FC2E02" w:rsidRDefault="00FC2E02" w:rsidP="00FB699A">
      <w:pPr>
        <w:jc w:val="both"/>
        <w:rPr>
          <w:rFonts w:cs="Times New Roman"/>
          <w:b/>
          <w:szCs w:val="24"/>
        </w:rPr>
      </w:pPr>
    </w:p>
    <w:p w14:paraId="3E8F400C" w14:textId="4D851236" w:rsidR="00FB699A" w:rsidRPr="00FB699A" w:rsidRDefault="00FB699A" w:rsidP="00FB699A">
      <w:pPr>
        <w:jc w:val="both"/>
        <w:rPr>
          <w:rFonts w:cs="Times New Roman"/>
          <w:b/>
          <w:szCs w:val="24"/>
        </w:rPr>
      </w:pPr>
      <w:r w:rsidRPr="00FB699A">
        <w:rPr>
          <w:rFonts w:cs="Times New Roman"/>
          <w:b/>
          <w:szCs w:val="24"/>
        </w:rPr>
        <w:t>References</w:t>
      </w:r>
    </w:p>
    <w:p w14:paraId="6848D14F" w14:textId="2CC7F3DD" w:rsidR="00FB699A" w:rsidRPr="00FB699A" w:rsidRDefault="00FB699A" w:rsidP="003A0CF5">
      <w:pPr>
        <w:pStyle w:val="EndNoteBibliography"/>
        <w:spacing w:after="0"/>
        <w:ind w:left="720" w:hanging="720"/>
        <w:jc w:val="both"/>
      </w:pPr>
      <w:r w:rsidRPr="00EE50BF">
        <w:rPr>
          <w:szCs w:val="24"/>
        </w:rPr>
        <w:fldChar w:fldCharType="begin"/>
      </w:r>
      <w:r w:rsidRPr="00EE50BF">
        <w:rPr>
          <w:szCs w:val="24"/>
        </w:rPr>
        <w:instrText xml:space="preserve"> ADDIN EN.REFLIST </w:instrText>
      </w:r>
      <w:r w:rsidRPr="00EE50BF">
        <w:rPr>
          <w:szCs w:val="24"/>
        </w:rPr>
        <w:fldChar w:fldCharType="separate"/>
      </w:r>
      <w:r w:rsidRPr="00FB699A">
        <w:t xml:space="preserve">Chen, W., Westerhoff, P., Leenheer, J.A., and Booksh, K. (2003). Fluorescence excitation-emission matrix regional integration to quantify spectra for dissolved organic matter. </w:t>
      </w:r>
      <w:r w:rsidRPr="00FB699A">
        <w:rPr>
          <w:i/>
        </w:rPr>
        <w:t xml:space="preserve">Environ. Sci. Technol. </w:t>
      </w:r>
      <w:r w:rsidRPr="00FB699A">
        <w:t>37</w:t>
      </w:r>
      <w:r w:rsidRPr="00FB699A">
        <w:rPr>
          <w:rFonts w:ascii="SimSun" w:eastAsia="SimSun" w:hAnsi="SimSun"/>
        </w:rPr>
        <w:t>:</w:t>
      </w:r>
      <w:r w:rsidRPr="00FB699A">
        <w:t>24, 5701-5710.</w:t>
      </w:r>
      <w:r>
        <w:t xml:space="preserve"> DOI: </w:t>
      </w:r>
      <w:r w:rsidRPr="00FB699A">
        <w:rPr>
          <w:rFonts w:hint="eastAsia"/>
        </w:rPr>
        <w:t>10.1021/es034354c</w:t>
      </w:r>
    </w:p>
    <w:p w14:paraId="1C4BDDDF" w14:textId="4895EBB1" w:rsidR="00FB699A" w:rsidRPr="003A0CF5" w:rsidRDefault="00FB699A" w:rsidP="003A0CF5">
      <w:pPr>
        <w:pStyle w:val="EndNoteBibliography"/>
        <w:spacing w:after="0"/>
        <w:ind w:left="720" w:hanging="720"/>
        <w:jc w:val="both"/>
      </w:pPr>
      <w:r w:rsidRPr="00FB699A">
        <w:t xml:space="preserve">Dubois, M., Gilles, K.A., Hamilton, J.K., Rebers, P.A., and Smith, F. (1956). Colorimetric method for determination of sugars and related substances. </w:t>
      </w:r>
      <w:r w:rsidR="003A0CF5" w:rsidRPr="003A0CF5">
        <w:rPr>
          <w:i/>
        </w:rPr>
        <w:t>Anal. Chem.</w:t>
      </w:r>
      <w:r w:rsidRPr="00FB699A">
        <w:t xml:space="preserve"> 28</w:t>
      </w:r>
      <w:r w:rsidRPr="00FB699A">
        <w:rPr>
          <w:rFonts w:ascii="SimSun" w:eastAsia="SimSun" w:hAnsi="SimSun"/>
        </w:rPr>
        <w:t>:</w:t>
      </w:r>
      <w:r w:rsidRPr="00FB699A">
        <w:t>3, 350-356.</w:t>
      </w:r>
      <w:r w:rsidR="003A0CF5" w:rsidRPr="003A0CF5">
        <w:rPr>
          <w:rFonts w:ascii="Microsoft YaHei" w:eastAsia="Microsoft YaHei" w:hAnsi="Microsoft YaHei" w:hint="eastAsia"/>
          <w:color w:val="666666"/>
          <w:sz w:val="20"/>
          <w:szCs w:val="20"/>
        </w:rPr>
        <w:t xml:space="preserve"> </w:t>
      </w:r>
      <w:r w:rsidR="003A0CF5">
        <w:t xml:space="preserve">DOI: </w:t>
      </w:r>
      <w:r w:rsidR="003A0CF5" w:rsidRPr="003A0CF5">
        <w:rPr>
          <w:rFonts w:hint="eastAsia"/>
        </w:rPr>
        <w:t>10.1021/ac60111a017</w:t>
      </w:r>
    </w:p>
    <w:p w14:paraId="7B14CB65" w14:textId="6214856F" w:rsidR="003A0CF5" w:rsidRPr="003A0CF5" w:rsidRDefault="00FB699A" w:rsidP="003A0CF5">
      <w:pPr>
        <w:pStyle w:val="EndNoteBibliography"/>
        <w:ind w:left="720" w:hanging="720"/>
        <w:jc w:val="both"/>
      </w:pPr>
      <w:r w:rsidRPr="00FB699A">
        <w:t xml:space="preserve">Frølund, B., Griebe, T., and Nielsen, P.H. (1995). Enzymatic activity in the activated-sludge floc matrix. </w:t>
      </w:r>
      <w:r w:rsidR="003A0CF5" w:rsidRPr="003A0CF5">
        <w:rPr>
          <w:i/>
        </w:rPr>
        <w:t>Appl. Microbiol. Biotechnol.</w:t>
      </w:r>
      <w:r w:rsidRPr="00FB699A">
        <w:t xml:space="preserve"> 43</w:t>
      </w:r>
      <w:r w:rsidRPr="00FB699A">
        <w:rPr>
          <w:rFonts w:ascii="SimSun" w:eastAsia="SimSun" w:hAnsi="SimSun"/>
        </w:rPr>
        <w:t>:</w:t>
      </w:r>
      <w:r w:rsidRPr="00FB699A">
        <w:t>4, 755-761.</w:t>
      </w:r>
      <w:r w:rsidR="003A0CF5" w:rsidRPr="003A0CF5">
        <w:rPr>
          <w:rFonts w:ascii="Microsoft YaHei" w:eastAsia="Microsoft YaHei" w:hAnsi="Microsoft YaHei" w:cs="SimSun" w:hint="eastAsia"/>
          <w:color w:val="666666"/>
          <w:sz w:val="20"/>
          <w:szCs w:val="20"/>
        </w:rPr>
        <w:t xml:space="preserve"> </w:t>
      </w:r>
      <w:r w:rsidR="003A0CF5">
        <w:t xml:space="preserve">DOI: </w:t>
      </w:r>
      <w:r w:rsidR="003A0CF5" w:rsidRPr="003A0CF5">
        <w:rPr>
          <w:rFonts w:hint="eastAsia"/>
        </w:rPr>
        <w:t xml:space="preserve">10.1007/BF00164784 </w:t>
      </w:r>
    </w:p>
    <w:p w14:paraId="6182E3FB" w14:textId="0FF85DFF" w:rsidR="00FB699A" w:rsidRPr="005C5FE8" w:rsidRDefault="005C5FE8" w:rsidP="005C5FE8">
      <w:pPr>
        <w:pStyle w:val="EndNoteBibliography"/>
        <w:spacing w:after="0"/>
        <w:ind w:left="720" w:hanging="720"/>
        <w:jc w:val="both"/>
      </w:pPr>
      <w:r>
        <w:t>Burton K.</w:t>
      </w:r>
      <w:r w:rsidR="00FB699A" w:rsidRPr="00FB699A">
        <w:t xml:space="preserve"> (1956). A study of the conditions and mechanism of the diphenylamine reaction for the colorimetric estimation of deoxyribonucleic acid. </w:t>
      </w:r>
      <w:r w:rsidRPr="005C5FE8">
        <w:rPr>
          <w:i/>
        </w:rPr>
        <w:t>Biochem. J.</w:t>
      </w:r>
      <w:r w:rsidR="00FB699A" w:rsidRPr="00FB699A">
        <w:t xml:space="preserve"> 62</w:t>
      </w:r>
      <w:r w:rsidR="00FB699A" w:rsidRPr="00FB699A">
        <w:rPr>
          <w:rFonts w:ascii="SimSun" w:eastAsia="SimSun" w:hAnsi="SimSun"/>
        </w:rPr>
        <w:t>:</w:t>
      </w:r>
      <w:r w:rsidR="00FB699A" w:rsidRPr="00FB699A">
        <w:t>2, 315-323.</w:t>
      </w:r>
      <w:r w:rsidRPr="005C5FE8">
        <w:rPr>
          <w:rFonts w:ascii="Microsoft YaHei" w:eastAsia="Microsoft YaHei" w:hAnsi="Microsoft YaHei" w:hint="eastAsia"/>
          <w:color w:val="666666"/>
          <w:sz w:val="20"/>
          <w:szCs w:val="20"/>
        </w:rPr>
        <w:t xml:space="preserve"> </w:t>
      </w:r>
      <w:r>
        <w:t xml:space="preserve">DOI: </w:t>
      </w:r>
      <w:r w:rsidRPr="005C5FE8">
        <w:rPr>
          <w:rFonts w:hint="eastAsia"/>
        </w:rPr>
        <w:t>10.1042/bj0620315</w:t>
      </w:r>
    </w:p>
    <w:p w14:paraId="1009387A" w14:textId="3A585AE2" w:rsidR="004073FD" w:rsidRPr="004073FD" w:rsidRDefault="00FB699A" w:rsidP="004073FD">
      <w:pPr>
        <w:pStyle w:val="EndNoteBibliography"/>
        <w:ind w:left="720" w:hanging="720"/>
        <w:jc w:val="both"/>
      </w:pPr>
      <w:r w:rsidRPr="00FB699A">
        <w:t>Kang, F., Hong, W., Gao, Y., Jian, L., and Qian, W. (2013). Ca</w:t>
      </w:r>
      <w:r w:rsidRPr="005C5FE8">
        <w:rPr>
          <w:vertAlign w:val="superscript"/>
        </w:rPr>
        <w:t>2+</w:t>
      </w:r>
      <w:r w:rsidRPr="00FB699A">
        <w:t xml:space="preserve"> Promoted the </w:t>
      </w:r>
      <w:r w:rsidR="005C5FE8" w:rsidRPr="00FB699A">
        <w:t>low transformation efficiency of plasmid</w:t>
      </w:r>
      <w:r w:rsidRPr="00FB699A">
        <w:t xml:space="preserve"> DNA </w:t>
      </w:r>
      <w:r w:rsidR="005C5FE8" w:rsidRPr="00FB699A">
        <w:t>exposed to</w:t>
      </w:r>
      <w:r w:rsidRPr="00FB699A">
        <w:t xml:space="preserve"> PAH</w:t>
      </w:r>
      <w:r w:rsidR="005C5FE8" w:rsidRPr="00FB699A">
        <w:t xml:space="preserve"> contaminants</w:t>
      </w:r>
      <w:r w:rsidRPr="00FB699A">
        <w:t>.</w:t>
      </w:r>
      <w:r w:rsidR="005C5FE8" w:rsidRPr="005C5FE8">
        <w:rPr>
          <w:rFonts w:cstheme="minorBidi"/>
          <w:noProof w:val="0"/>
        </w:rPr>
        <w:t xml:space="preserve"> </w:t>
      </w:r>
      <w:r w:rsidR="005C5FE8" w:rsidRPr="005C5FE8">
        <w:rPr>
          <w:i/>
        </w:rPr>
        <w:t>PLoS One</w:t>
      </w:r>
      <w:r w:rsidRPr="00FB699A">
        <w:t xml:space="preserve"> 8</w:t>
      </w:r>
      <w:r w:rsidRPr="00FB699A">
        <w:rPr>
          <w:rFonts w:ascii="SimSun" w:eastAsia="SimSun" w:hAnsi="SimSun"/>
        </w:rPr>
        <w:t>:</w:t>
      </w:r>
      <w:r w:rsidRPr="00FB699A">
        <w:t>3, e58238.</w:t>
      </w:r>
      <w:r w:rsidR="005C5FE8" w:rsidRPr="005C5FE8">
        <w:rPr>
          <w:rFonts w:ascii="Microsoft YaHei" w:eastAsia="Microsoft YaHei" w:hAnsi="Microsoft YaHei" w:cs="SimSun" w:hint="eastAsia"/>
          <w:color w:val="666666"/>
          <w:sz w:val="20"/>
          <w:szCs w:val="20"/>
        </w:rPr>
        <w:t xml:space="preserve"> </w:t>
      </w:r>
      <w:r w:rsidR="005C5FE8">
        <w:t xml:space="preserve">DOI: </w:t>
      </w:r>
      <w:r w:rsidR="005C5FE8" w:rsidRPr="005C5FE8">
        <w:rPr>
          <w:rFonts w:hint="eastAsia"/>
        </w:rPr>
        <w:t xml:space="preserve">10.1371/journal.pone.0058238 </w:t>
      </w:r>
    </w:p>
    <w:p w14:paraId="40A44104" w14:textId="4340C811" w:rsidR="00FB699A" w:rsidRPr="00FB699A" w:rsidRDefault="00FB699A" w:rsidP="003A0CF5">
      <w:pPr>
        <w:pStyle w:val="EndNoteBibliography"/>
        <w:spacing w:after="0"/>
        <w:ind w:left="720" w:hanging="720"/>
        <w:jc w:val="both"/>
      </w:pPr>
      <w:r w:rsidRPr="00FB699A">
        <w:t xml:space="preserve">Neese, F. (2012). The ORCA program system. </w:t>
      </w:r>
      <w:r w:rsidR="004073FD" w:rsidRPr="004073FD">
        <w:rPr>
          <w:i/>
        </w:rPr>
        <w:t>Wiley Interdiscip. Rev.: Comput. Mol. Sci.</w:t>
      </w:r>
      <w:r w:rsidRPr="00FB699A">
        <w:t xml:space="preserve"> 2</w:t>
      </w:r>
      <w:r w:rsidRPr="00FB699A">
        <w:rPr>
          <w:rFonts w:ascii="SimSun" w:eastAsia="SimSun" w:hAnsi="SimSun"/>
        </w:rPr>
        <w:t>:</w:t>
      </w:r>
      <w:r w:rsidRPr="00FB699A">
        <w:t>1, 73-78.</w:t>
      </w:r>
      <w:r w:rsidR="004073FD" w:rsidRPr="004073FD">
        <w:rPr>
          <w:rFonts w:ascii="Microsoft YaHei" w:eastAsia="Microsoft YaHei" w:hAnsi="Microsoft YaHei" w:cstheme="minorBidi" w:hint="eastAsia"/>
          <w:noProof w:val="0"/>
          <w:color w:val="666666"/>
          <w:sz w:val="20"/>
          <w:szCs w:val="20"/>
          <w:lang w:eastAsia="en-US"/>
        </w:rPr>
        <w:t xml:space="preserve"> </w:t>
      </w:r>
      <w:r w:rsidR="004073FD">
        <w:t xml:space="preserve">DOI: </w:t>
      </w:r>
      <w:r w:rsidR="004073FD" w:rsidRPr="004073FD">
        <w:rPr>
          <w:rFonts w:hint="eastAsia"/>
        </w:rPr>
        <w:t>10.1002/wcms.81</w:t>
      </w:r>
    </w:p>
    <w:p w14:paraId="6F210006" w14:textId="77777777" w:rsidR="00FB699A" w:rsidRPr="00FB699A" w:rsidRDefault="00FB699A" w:rsidP="003A0CF5">
      <w:pPr>
        <w:pStyle w:val="EndNoteBibliography"/>
        <w:ind w:left="720" w:hanging="720"/>
        <w:jc w:val="both"/>
      </w:pPr>
      <w:r w:rsidRPr="00FB699A">
        <w:t>Stewart, J.J.P. Stewart Computational Chemistry, 15210 Paddington Circle, Colorado Springs, Colorado 80921.</w:t>
      </w:r>
    </w:p>
    <w:p w14:paraId="7B65BC41" w14:textId="785EFD1B" w:rsidR="00DE23E8" w:rsidRPr="001549D3" w:rsidRDefault="00FB699A" w:rsidP="00FB699A">
      <w:pPr>
        <w:spacing w:before="240"/>
      </w:pPr>
      <w:r w:rsidRPr="00EE50BF">
        <w:rPr>
          <w:szCs w:val="24"/>
        </w:rPr>
        <w:fldChar w:fldCharType="end"/>
      </w: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F9224" w14:textId="77777777" w:rsidR="005B348B" w:rsidRDefault="005B348B" w:rsidP="00117666">
      <w:pPr>
        <w:spacing w:after="0"/>
      </w:pPr>
      <w:r>
        <w:separator/>
      </w:r>
    </w:p>
  </w:endnote>
  <w:endnote w:type="continuationSeparator" w:id="0">
    <w:p w14:paraId="36F63F87" w14:textId="77777777" w:rsidR="005B348B" w:rsidRDefault="005B348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C75E5A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C371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C75E5A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C3716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E07DA5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C371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E07DA5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C3716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6A2B5" w14:textId="77777777" w:rsidR="005B348B" w:rsidRDefault="005B348B" w:rsidP="00117666">
      <w:pPr>
        <w:spacing w:after="0"/>
      </w:pPr>
      <w:r>
        <w:separator/>
      </w:r>
    </w:p>
  </w:footnote>
  <w:footnote w:type="continuationSeparator" w:id="0">
    <w:p w14:paraId="5E90F000" w14:textId="77777777" w:rsidR="005B348B" w:rsidRDefault="005B348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9355"/>
        </w:tabs>
        <w:ind w:left="9355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95exaxaqe2vdkerr96ptzr5wfwdaxrsdxrt&quot;&gt;My EndNote Library&lt;record-ids&gt;&lt;item&gt;78&lt;/item&gt;&lt;item&gt;79&lt;/item&gt;&lt;item&gt;80&lt;/item&gt;&lt;item&gt;191&lt;/item&gt;&lt;item&gt;192&lt;/item&gt;&lt;item&gt;193&lt;/item&gt;&lt;item&gt;231&lt;/item&gt;&lt;/record-ids&gt;&lt;/item&gt;&lt;/Libraries&gt;"/>
  </w:docVars>
  <w:rsids>
    <w:rsidRoot w:val="00ED20B5"/>
    <w:rsid w:val="0001436A"/>
    <w:rsid w:val="00034304"/>
    <w:rsid w:val="00035434"/>
    <w:rsid w:val="00052A14"/>
    <w:rsid w:val="00077D53"/>
    <w:rsid w:val="000D5BC5"/>
    <w:rsid w:val="00105FD9"/>
    <w:rsid w:val="00117666"/>
    <w:rsid w:val="001549D3"/>
    <w:rsid w:val="00160065"/>
    <w:rsid w:val="00177D84"/>
    <w:rsid w:val="00267D18"/>
    <w:rsid w:val="00274347"/>
    <w:rsid w:val="00277519"/>
    <w:rsid w:val="002868E2"/>
    <w:rsid w:val="002869C3"/>
    <w:rsid w:val="002936E4"/>
    <w:rsid w:val="002B4A57"/>
    <w:rsid w:val="002C74CA"/>
    <w:rsid w:val="003123F4"/>
    <w:rsid w:val="003258A2"/>
    <w:rsid w:val="003544FB"/>
    <w:rsid w:val="003A0CF5"/>
    <w:rsid w:val="003B44EE"/>
    <w:rsid w:val="003C3716"/>
    <w:rsid w:val="003D2F2D"/>
    <w:rsid w:val="00401590"/>
    <w:rsid w:val="004073FD"/>
    <w:rsid w:val="00447801"/>
    <w:rsid w:val="00452E9C"/>
    <w:rsid w:val="004735C8"/>
    <w:rsid w:val="004947A6"/>
    <w:rsid w:val="004961FF"/>
    <w:rsid w:val="004C4F93"/>
    <w:rsid w:val="00517A89"/>
    <w:rsid w:val="005250F2"/>
    <w:rsid w:val="00581DE6"/>
    <w:rsid w:val="00593EEA"/>
    <w:rsid w:val="005A5EEE"/>
    <w:rsid w:val="005B348B"/>
    <w:rsid w:val="005C5FE8"/>
    <w:rsid w:val="00607FB7"/>
    <w:rsid w:val="006245EF"/>
    <w:rsid w:val="006375C7"/>
    <w:rsid w:val="00654E8F"/>
    <w:rsid w:val="00660D05"/>
    <w:rsid w:val="006820B1"/>
    <w:rsid w:val="006A0C37"/>
    <w:rsid w:val="006B7D14"/>
    <w:rsid w:val="00701727"/>
    <w:rsid w:val="0070566C"/>
    <w:rsid w:val="00714C50"/>
    <w:rsid w:val="00725A7D"/>
    <w:rsid w:val="007501BE"/>
    <w:rsid w:val="00790BB3"/>
    <w:rsid w:val="007A1C31"/>
    <w:rsid w:val="007C206C"/>
    <w:rsid w:val="00817DD6"/>
    <w:rsid w:val="0083759F"/>
    <w:rsid w:val="00844E8E"/>
    <w:rsid w:val="00860EEF"/>
    <w:rsid w:val="00885156"/>
    <w:rsid w:val="008E71A7"/>
    <w:rsid w:val="009151AA"/>
    <w:rsid w:val="00933AE9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B0E93"/>
    <w:rsid w:val="00BE5354"/>
    <w:rsid w:val="00C52A7B"/>
    <w:rsid w:val="00C56BAF"/>
    <w:rsid w:val="00C679AA"/>
    <w:rsid w:val="00C75972"/>
    <w:rsid w:val="00CD066B"/>
    <w:rsid w:val="00CD2587"/>
    <w:rsid w:val="00CD512D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B699A"/>
    <w:rsid w:val="00FC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tabs>
        <w:tab w:val="clear" w:pos="9355"/>
        <w:tab w:val="num" w:pos="567"/>
      </w:tabs>
      <w:spacing w:after="200"/>
      <w:ind w:left="567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a0"/>
    <w:link w:val="EndNoteBibliography0"/>
    <w:rsid w:val="00FB699A"/>
    <w:pPr>
      <w:spacing w:before="0" w:after="160"/>
    </w:pPr>
    <w:rPr>
      <w:rFonts w:cs="Times New Roman"/>
      <w:noProof/>
      <w:lang w:eastAsia="zh-CN"/>
    </w:rPr>
  </w:style>
  <w:style w:type="character" w:customStyle="1" w:styleId="EndNoteBibliography0">
    <w:name w:val="EndNote Bibliography 字符"/>
    <w:basedOn w:val="a1"/>
    <w:link w:val="EndNoteBibliography"/>
    <w:rsid w:val="00FB699A"/>
    <w:rPr>
      <w:rFonts w:ascii="Times New Roman" w:hAnsi="Times New Roman" w:cs="Times New Roman"/>
      <w:noProof/>
      <w:sz w:val="24"/>
      <w:lang w:eastAsia="zh-CN"/>
    </w:rPr>
  </w:style>
  <w:style w:type="paragraph" w:customStyle="1" w:styleId="EndNoteBibliographyTitle">
    <w:name w:val="EndNote Bibliography Title"/>
    <w:basedOn w:val="a0"/>
    <w:link w:val="EndNoteBibliographyTitle0"/>
    <w:rsid w:val="00FB699A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1"/>
    <w:link w:val="EndNoteBibliographyTitle"/>
    <w:rsid w:val="00FB699A"/>
    <w:rPr>
      <w:rFonts w:ascii="Times New Roman" w:hAnsi="Times New Roman" w:cs="Times New Roman"/>
      <w:noProof/>
      <w:sz w:val="24"/>
    </w:rPr>
  </w:style>
  <w:style w:type="table" w:customStyle="1" w:styleId="11">
    <w:name w:val="网格型1"/>
    <w:basedOn w:val="a2"/>
    <w:next w:val="aff5"/>
    <w:uiPriority w:val="39"/>
    <w:rsid w:val="003B44EE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uiPriority w:val="39"/>
    <w:rsid w:val="003B44EE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5DA5529-2BEE-4064-A5A4-AC45FE174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124</TotalTime>
  <Pages>5</Pages>
  <Words>1739</Words>
  <Characters>9914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Xiaojie HU</cp:lastModifiedBy>
  <cp:revision>19</cp:revision>
  <cp:lastPrinted>2013-10-03T12:51:00Z</cp:lastPrinted>
  <dcterms:created xsi:type="dcterms:W3CDTF">2018-11-23T08:58:00Z</dcterms:created>
  <dcterms:modified xsi:type="dcterms:W3CDTF">2019-04-09T17:12:00Z</dcterms:modified>
</cp:coreProperties>
</file>