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94B7A" w14:textId="77777777" w:rsidR="00E75D46" w:rsidRPr="00BE3969" w:rsidRDefault="000B382B" w:rsidP="004125A0">
      <w:pPr>
        <w:pStyle w:val="Akapitzlist"/>
        <w:spacing w:before="240" w:after="120" w:line="360" w:lineRule="auto"/>
        <w:ind w:left="0"/>
        <w:jc w:val="both"/>
        <w:rPr>
          <w:rFonts w:cstheme="minorHAnsi"/>
          <w:b/>
          <w:sz w:val="24"/>
          <w:szCs w:val="24"/>
          <w:lang w:val="en-GB"/>
        </w:rPr>
      </w:pPr>
      <w:r w:rsidRPr="00BE3969">
        <w:rPr>
          <w:rFonts w:cstheme="minorHAnsi"/>
          <w:b/>
          <w:sz w:val="24"/>
          <w:szCs w:val="24"/>
          <w:lang w:val="en-GB"/>
        </w:rPr>
        <w:t>H</w:t>
      </w:r>
      <w:r w:rsidR="00E75D46" w:rsidRPr="00BE3969">
        <w:rPr>
          <w:rFonts w:cstheme="minorHAnsi"/>
          <w:b/>
          <w:sz w:val="24"/>
          <w:szCs w:val="24"/>
          <w:lang w:val="en-GB"/>
        </w:rPr>
        <w:t>ydroponic</w:t>
      </w:r>
      <w:r w:rsidR="007A0D63" w:rsidRPr="00BE3969">
        <w:rPr>
          <w:rFonts w:cstheme="minorHAnsi"/>
          <w:b/>
          <w:sz w:val="24"/>
          <w:szCs w:val="24"/>
          <w:lang w:val="en-GB"/>
        </w:rPr>
        <w:t xml:space="preserve"> AM</w:t>
      </w:r>
      <w:r w:rsidR="00E75D46" w:rsidRPr="00BE3969">
        <w:rPr>
          <w:rFonts w:cstheme="minorHAnsi"/>
          <w:b/>
          <w:sz w:val="24"/>
          <w:szCs w:val="24"/>
          <w:lang w:val="en-GB"/>
        </w:rPr>
        <w:t xml:space="preserve">-optimal nutrition </w:t>
      </w:r>
      <w:r w:rsidRPr="00BE3969">
        <w:rPr>
          <w:rFonts w:cstheme="minorHAnsi"/>
          <w:b/>
          <w:sz w:val="24"/>
          <w:szCs w:val="24"/>
          <w:lang w:val="en-GB"/>
        </w:rPr>
        <w:t xml:space="preserve">as compared </w:t>
      </w:r>
      <w:r w:rsidR="00E75D46" w:rsidRPr="00BE3969">
        <w:rPr>
          <w:rFonts w:cstheme="minorHAnsi"/>
          <w:b/>
          <w:sz w:val="24"/>
          <w:szCs w:val="24"/>
          <w:lang w:val="en-GB"/>
        </w:rPr>
        <w:t xml:space="preserve">to </w:t>
      </w:r>
      <w:r w:rsidR="00C53EC9" w:rsidRPr="00BE3969">
        <w:rPr>
          <w:rFonts w:cstheme="minorHAnsi"/>
          <w:b/>
          <w:sz w:val="24"/>
          <w:szCs w:val="24"/>
          <w:lang w:val="en-GB"/>
        </w:rPr>
        <w:t xml:space="preserve">fertilization </w:t>
      </w:r>
      <w:r w:rsidR="00E75D46" w:rsidRPr="00BE3969">
        <w:rPr>
          <w:rFonts w:cstheme="minorHAnsi"/>
          <w:b/>
          <w:sz w:val="24"/>
          <w:szCs w:val="24"/>
          <w:lang w:val="en-GB"/>
        </w:rPr>
        <w:t xml:space="preserve">recommended </w:t>
      </w:r>
      <w:r w:rsidR="00C53EC9" w:rsidRPr="00BE3969">
        <w:rPr>
          <w:rFonts w:cstheme="minorHAnsi"/>
          <w:b/>
          <w:sz w:val="24"/>
          <w:szCs w:val="24"/>
          <w:lang w:val="en-GB"/>
        </w:rPr>
        <w:t xml:space="preserve">for </w:t>
      </w:r>
      <w:r w:rsidR="00E75D46" w:rsidRPr="00BE3969">
        <w:rPr>
          <w:rFonts w:cstheme="minorHAnsi"/>
          <w:b/>
          <w:sz w:val="24"/>
          <w:szCs w:val="24"/>
          <w:lang w:val="en-GB"/>
        </w:rPr>
        <w:t xml:space="preserve">field </w:t>
      </w:r>
      <w:r w:rsidR="00C53EC9" w:rsidRPr="00BE3969">
        <w:rPr>
          <w:rFonts w:cstheme="minorHAnsi"/>
          <w:b/>
          <w:sz w:val="24"/>
          <w:szCs w:val="24"/>
          <w:lang w:val="en-GB"/>
        </w:rPr>
        <w:t xml:space="preserve">corn cultivation </w:t>
      </w:r>
    </w:p>
    <w:p w14:paraId="1751442A" w14:textId="2F4AA05E" w:rsidR="00E75D46" w:rsidRPr="00476FA8" w:rsidRDefault="00E75D46" w:rsidP="008747B8">
      <w:pPr>
        <w:tabs>
          <w:tab w:val="right" w:pos="284"/>
        </w:tabs>
        <w:spacing w:after="120" w:line="360" w:lineRule="auto"/>
        <w:jc w:val="both"/>
        <w:rPr>
          <w:rFonts w:cstheme="minorHAnsi"/>
          <w:sz w:val="24"/>
          <w:szCs w:val="24"/>
          <w:lang w:val="en-GB"/>
        </w:rPr>
      </w:pPr>
      <w:r w:rsidRPr="00BE3969">
        <w:rPr>
          <w:rFonts w:cstheme="minorHAnsi"/>
          <w:sz w:val="24"/>
          <w:szCs w:val="24"/>
          <w:lang w:val="en-US"/>
        </w:rPr>
        <w:t xml:space="preserve">The aim of experiments </w:t>
      </w:r>
      <w:r w:rsidR="00C53EC9" w:rsidRPr="00BE3969">
        <w:rPr>
          <w:rFonts w:cstheme="minorHAnsi"/>
          <w:sz w:val="24"/>
          <w:szCs w:val="24"/>
          <w:lang w:val="en-US"/>
        </w:rPr>
        <w:t xml:space="preserve">described in section 1a and 1b of Results </w:t>
      </w:r>
      <w:r w:rsidRPr="00BE3969">
        <w:rPr>
          <w:rFonts w:cstheme="minorHAnsi"/>
          <w:sz w:val="24"/>
          <w:szCs w:val="24"/>
          <w:lang w:val="en-US"/>
        </w:rPr>
        <w:t>was to define fertilization limits and optima for long-term intraradical hyphal vitality and symbiotic corn coexistence until the early generative stage</w:t>
      </w:r>
      <w:r w:rsidR="004E2297" w:rsidRPr="00BE3969">
        <w:rPr>
          <w:rFonts w:cstheme="minorHAnsi"/>
          <w:sz w:val="24"/>
          <w:szCs w:val="24"/>
          <w:lang w:val="en-US"/>
        </w:rPr>
        <w:t xml:space="preserve">. </w:t>
      </w:r>
      <w:r w:rsidRPr="00BE3969">
        <w:rPr>
          <w:rFonts w:cstheme="minorHAnsi"/>
          <w:sz w:val="24"/>
          <w:szCs w:val="24"/>
          <w:lang w:val="en-US"/>
        </w:rPr>
        <w:t>This objective has been achieved by the relatively high fertilizer application rate (1xD</w:t>
      </w:r>
      <w:r w:rsidR="00AE5B3C" w:rsidRPr="00BE3969">
        <w:rPr>
          <w:rFonts w:cstheme="minorHAnsi"/>
          <w:sz w:val="24"/>
          <w:szCs w:val="24"/>
          <w:lang w:val="en-US"/>
        </w:rPr>
        <w:t>, see below for nutrient composition details</w:t>
      </w:r>
      <w:r w:rsidRPr="00BE3969">
        <w:rPr>
          <w:rFonts w:cstheme="minorHAnsi"/>
          <w:sz w:val="24"/>
          <w:szCs w:val="24"/>
          <w:lang w:val="en-US"/>
        </w:rPr>
        <w:t xml:space="preserve">). </w:t>
      </w:r>
      <w:r w:rsidR="00476FA8" w:rsidRPr="00BE3969">
        <w:rPr>
          <w:rFonts w:cstheme="minorHAnsi"/>
          <w:sz w:val="24"/>
          <w:szCs w:val="24"/>
          <w:lang w:val="en-GB"/>
        </w:rPr>
        <w:t>Although up to 6</w:t>
      </w:r>
      <w:r w:rsidR="00476FA8" w:rsidRPr="00BE3969">
        <w:rPr>
          <w:rFonts w:cstheme="minorHAnsi"/>
          <w:sz w:val="24"/>
          <w:szCs w:val="24"/>
          <w:vertAlign w:val="superscript"/>
          <w:lang w:val="en-GB"/>
        </w:rPr>
        <w:t>th</w:t>
      </w:r>
      <w:r w:rsidR="00476FA8" w:rsidRPr="00BE3969">
        <w:rPr>
          <w:rFonts w:cstheme="minorHAnsi"/>
          <w:sz w:val="24"/>
          <w:szCs w:val="24"/>
          <w:lang w:val="en-GB"/>
        </w:rPr>
        <w:t xml:space="preserve"> week the nutrition was low (0.25xD), the later fertilization shift constantly exposed the symbiotic stability to the possibility of weakening. Nevertheless, we found that vitality of the mycelium was not diminished even in case of prolonged cultivation necessary to evaluate the influence of AM on green fodder yield. In this case, the pot cultures required on average 20 weeks to achieve the adequate grain maturity (see further details in Results section 3).</w:t>
      </w:r>
      <w:r w:rsidR="00476FA8">
        <w:rPr>
          <w:rFonts w:cstheme="minorHAnsi"/>
          <w:sz w:val="24"/>
          <w:szCs w:val="24"/>
          <w:lang w:val="en-GB"/>
        </w:rPr>
        <w:t xml:space="preserve"> </w:t>
      </w:r>
      <w:r w:rsidRPr="00BE3969">
        <w:rPr>
          <w:rFonts w:cstheme="minorHAnsi"/>
          <w:sz w:val="24"/>
          <w:szCs w:val="24"/>
          <w:lang w:val="en-US"/>
        </w:rPr>
        <w:t>This was particularly puzzling in the context of the lack of restrictions on mycelium vitality, which we expected with such a high concentration of mineral ingredients in the fertilizer solution</w:t>
      </w:r>
      <w:r w:rsidR="003A7D97">
        <w:rPr>
          <w:rFonts w:cstheme="minorHAnsi"/>
          <w:sz w:val="24"/>
          <w:szCs w:val="24"/>
          <w:lang w:val="en-US"/>
        </w:rPr>
        <w:t>.</w:t>
      </w:r>
      <w:r w:rsidRPr="00BE3969">
        <w:rPr>
          <w:rFonts w:cstheme="minorHAnsi"/>
          <w:sz w:val="24"/>
          <w:szCs w:val="24"/>
          <w:lang w:val="en-US"/>
        </w:rPr>
        <w:t xml:space="preserve"> According to two major components limiting fungal infection it was equal to 13.6 mM N and 0.85 mM Pi. This is equivalent to 0.9x N and 0.85x P fraction of Hoagland’s formula </w:t>
      </w:r>
      <w:r w:rsidRPr="00BE3969">
        <w:rPr>
          <w:rFonts w:cstheme="minorHAnsi"/>
          <w:noProof/>
          <w:sz w:val="24"/>
          <w:szCs w:val="24"/>
          <w:lang w:val="en-US"/>
        </w:rPr>
        <w:t>(Hoagland and Arnon, 1950)</w:t>
      </w:r>
      <w:r w:rsidRPr="00BE3969">
        <w:rPr>
          <w:rFonts w:cstheme="minorHAnsi"/>
          <w:sz w:val="24"/>
          <w:szCs w:val="24"/>
          <w:lang w:val="en-US"/>
        </w:rPr>
        <w:t xml:space="preserve"> and it goes far beyond the 0.1-0.5 mM Pi concentration range often suggested as critical for maintaining efficient mycorrhizal symbiosis in pot cultures </w:t>
      </w:r>
      <w:r w:rsidRPr="00BE3969">
        <w:rPr>
          <w:rFonts w:cstheme="minorHAnsi"/>
          <w:noProof/>
          <w:sz w:val="24"/>
          <w:szCs w:val="24"/>
          <w:lang w:val="en-US"/>
        </w:rPr>
        <w:t>(Balzergue et al., 2013, Bonneau et al., 2013, Breuillin et al., 2010, IJdo et al., 2011)</w:t>
      </w:r>
      <w:r w:rsidRPr="00BE3969">
        <w:rPr>
          <w:rFonts w:cstheme="minorHAnsi"/>
          <w:sz w:val="24"/>
          <w:szCs w:val="24"/>
          <w:lang w:val="en-US"/>
        </w:rPr>
        <w:t xml:space="preserve">. See Table 1 for several examples of P limitation reported for mycorrhizal </w:t>
      </w:r>
      <w:r w:rsidR="00140AAE" w:rsidRPr="00BE3969">
        <w:rPr>
          <w:rFonts w:cstheme="minorHAnsi"/>
          <w:sz w:val="24"/>
          <w:szCs w:val="24"/>
          <w:lang w:val="en-US"/>
        </w:rPr>
        <w:t xml:space="preserve">pot </w:t>
      </w:r>
      <w:r w:rsidRPr="00BE3969">
        <w:rPr>
          <w:rFonts w:cstheme="minorHAnsi"/>
          <w:sz w:val="24"/>
          <w:szCs w:val="24"/>
          <w:lang w:val="en-US"/>
        </w:rPr>
        <w:t xml:space="preserve">cultures of </w:t>
      </w:r>
      <w:r w:rsidR="003A7D97">
        <w:rPr>
          <w:rFonts w:cstheme="minorHAnsi"/>
          <w:sz w:val="24"/>
          <w:szCs w:val="24"/>
          <w:lang w:val="en-US"/>
        </w:rPr>
        <w:t>crop plants from recent studies and</w:t>
      </w:r>
      <w:r w:rsidRPr="00BE3969">
        <w:rPr>
          <w:rFonts w:cstheme="minorHAnsi"/>
          <w:sz w:val="24"/>
          <w:szCs w:val="24"/>
          <w:lang w:val="en-US"/>
        </w:rPr>
        <w:t xml:space="preserve"> </w:t>
      </w:r>
      <w:r w:rsidR="003A7D97" w:rsidRPr="00BE3969">
        <w:rPr>
          <w:rFonts w:cstheme="minorHAnsi"/>
          <w:sz w:val="24"/>
          <w:szCs w:val="24"/>
          <w:lang w:val="en-US"/>
        </w:rPr>
        <w:t>Discussion section</w:t>
      </w:r>
      <w:r w:rsidR="003A7D97">
        <w:rPr>
          <w:rFonts w:cstheme="minorHAnsi"/>
          <w:sz w:val="24"/>
          <w:szCs w:val="24"/>
          <w:lang w:val="en-US"/>
        </w:rPr>
        <w:t xml:space="preserve"> for</w:t>
      </w:r>
      <w:r w:rsidR="003A7D97" w:rsidRPr="00BE3969">
        <w:rPr>
          <w:rFonts w:cstheme="minorHAnsi"/>
          <w:sz w:val="24"/>
          <w:szCs w:val="24"/>
          <w:lang w:val="en-US"/>
        </w:rPr>
        <w:t xml:space="preserve"> comments </w:t>
      </w:r>
      <w:r w:rsidR="003A7D97">
        <w:rPr>
          <w:rFonts w:cstheme="minorHAnsi"/>
          <w:sz w:val="24"/>
          <w:szCs w:val="24"/>
          <w:lang w:val="en-US"/>
        </w:rPr>
        <w:t xml:space="preserve">of other authors works </w:t>
      </w:r>
      <w:r w:rsidR="003A7D97" w:rsidRPr="00BE3969">
        <w:rPr>
          <w:rFonts w:cstheme="minorHAnsi"/>
          <w:sz w:val="24"/>
          <w:szCs w:val="24"/>
          <w:lang w:val="en-US"/>
        </w:rPr>
        <w:t xml:space="preserve">addressing </w:t>
      </w:r>
      <w:r w:rsidR="003A7D97" w:rsidRPr="00BE3969">
        <w:rPr>
          <w:rFonts w:cstheme="minorHAnsi"/>
          <w:sz w:val="24"/>
          <w:szCs w:val="24"/>
          <w:lang w:val="en-GB"/>
        </w:rPr>
        <w:t xml:space="preserve">fertilization limits for </w:t>
      </w:r>
      <w:r w:rsidR="003A7D97">
        <w:rPr>
          <w:rFonts w:cstheme="minorHAnsi"/>
          <w:sz w:val="24"/>
          <w:szCs w:val="24"/>
          <w:lang w:val="en-GB"/>
        </w:rPr>
        <w:t xml:space="preserve">field-grown </w:t>
      </w:r>
      <w:r w:rsidR="003A7D97">
        <w:rPr>
          <w:rFonts w:cstheme="minorHAnsi"/>
          <w:sz w:val="24"/>
          <w:szCs w:val="24"/>
          <w:lang w:val="en-US"/>
        </w:rPr>
        <w:t>AM plants</w:t>
      </w:r>
      <w:r w:rsidR="003A7D97" w:rsidRPr="00BE3969">
        <w:rPr>
          <w:rFonts w:cstheme="minorHAnsi"/>
          <w:sz w:val="24"/>
          <w:szCs w:val="24"/>
          <w:lang w:val="en-US"/>
        </w:rPr>
        <w:t>.</w:t>
      </w:r>
    </w:p>
    <w:p w14:paraId="23B0C59E" w14:textId="77777777" w:rsidR="00E75D46" w:rsidRPr="00BE3969" w:rsidRDefault="00476FA8" w:rsidP="00B23744">
      <w:pPr>
        <w:tabs>
          <w:tab w:val="right" w:pos="284"/>
        </w:tabs>
        <w:spacing w:after="120" w:line="360" w:lineRule="auto"/>
        <w:jc w:val="both"/>
        <w:rPr>
          <w:rFonts w:cstheme="minorHAnsi"/>
          <w:sz w:val="24"/>
          <w:szCs w:val="24"/>
          <w:lang w:val="en-GB"/>
        </w:rPr>
      </w:pPr>
      <w:r w:rsidRPr="00BE3969">
        <w:rPr>
          <w:rFonts w:cstheme="minorHAnsi"/>
          <w:sz w:val="24"/>
          <w:szCs w:val="24"/>
          <w:lang w:val="en-GB"/>
        </w:rPr>
        <w:t xml:space="preserve">The risk of uncontrolled fertilizer concentration changes or even salts precipitation in pot substrate is common to soil-based cultures and might be the cause of discrepancies in fertilizing limits reported for mycorrhizal symbioses. Therefore we designed a soil-free semi-hydroponic system with a mixture of coconut </w:t>
      </w:r>
      <w:proofErr w:type="spellStart"/>
      <w:r w:rsidRPr="00BE3969">
        <w:rPr>
          <w:rFonts w:cstheme="minorHAnsi"/>
          <w:sz w:val="24"/>
          <w:szCs w:val="24"/>
          <w:lang w:val="en-GB"/>
        </w:rPr>
        <w:t>fiber</w:t>
      </w:r>
      <w:proofErr w:type="spellEnd"/>
      <w:r w:rsidRPr="00BE3969">
        <w:rPr>
          <w:rFonts w:cstheme="minorHAnsi"/>
          <w:sz w:val="24"/>
          <w:szCs w:val="24"/>
          <w:lang w:val="en-GB"/>
        </w:rPr>
        <w:t xml:space="preserve"> and sand, and frequent irrigation with a water-soluble fertilizer. </w:t>
      </w:r>
      <w:r w:rsidR="00E75D46" w:rsidRPr="00BE3969">
        <w:rPr>
          <w:rFonts w:cstheme="minorHAnsi"/>
          <w:sz w:val="24"/>
          <w:szCs w:val="24"/>
          <w:lang w:val="en-GB"/>
        </w:rPr>
        <w:t xml:space="preserve">Most of laboratory growth experiments report fertilization of mycorrhizal cultures with nutrient solution concentration units. However, such a formulation is adequately precise only for fully hydroponic systems, when the fertilizer solution is frequently changed. In contrast, fertilizer concentration formula in soil-based substrates might be misleading, </w:t>
      </w:r>
      <w:r w:rsidR="008520AA">
        <w:rPr>
          <w:rFonts w:cstheme="minorHAnsi"/>
          <w:sz w:val="24"/>
          <w:szCs w:val="24"/>
          <w:lang w:val="en-GB"/>
        </w:rPr>
        <w:t xml:space="preserve">as it is </w:t>
      </w:r>
      <w:r w:rsidR="00E75D46" w:rsidRPr="00BE3969">
        <w:rPr>
          <w:rFonts w:cstheme="minorHAnsi"/>
          <w:sz w:val="24"/>
          <w:szCs w:val="24"/>
          <w:lang w:val="en-GB"/>
        </w:rPr>
        <w:t xml:space="preserve">in case of inaccurate estimation of the P-fixing capacity of the pot substrate devoid of hyphal activity. Moreover, caution is required when interpreting mycorrhizal experiments with restricted fertilization or </w:t>
      </w:r>
      <w:r w:rsidR="00E75D46" w:rsidRPr="00BE3969">
        <w:rPr>
          <w:rFonts w:cstheme="minorHAnsi"/>
          <w:sz w:val="24"/>
          <w:szCs w:val="24"/>
          <w:lang w:val="en-GB"/>
        </w:rPr>
        <w:lastRenderedPageBreak/>
        <w:t>limited pot volume. Such factors might be sources of discrepancy in Pi concentration reported as critical for root colonization and long-term hyphal vitality.</w:t>
      </w:r>
    </w:p>
    <w:p w14:paraId="4F9A0761" w14:textId="77777777" w:rsidR="00E75D46" w:rsidRPr="00BE3969" w:rsidRDefault="00E75D46" w:rsidP="00EE2586">
      <w:pPr>
        <w:spacing w:after="120" w:line="360" w:lineRule="auto"/>
        <w:jc w:val="both"/>
        <w:rPr>
          <w:rFonts w:cstheme="minorHAnsi"/>
          <w:sz w:val="24"/>
          <w:szCs w:val="24"/>
          <w:lang w:val="en-GB"/>
        </w:rPr>
      </w:pPr>
      <w:r w:rsidRPr="00BE3969">
        <w:rPr>
          <w:rFonts w:cstheme="minorHAnsi"/>
          <w:sz w:val="24"/>
          <w:szCs w:val="24"/>
          <w:lang w:val="en-GB"/>
        </w:rPr>
        <w:t>Our observations led us to compare NPK doses applied in our pot cultures to those recommended for field corn cultivation. In the experiments we used an easily soluble commercial fertilizer (</w:t>
      </w:r>
      <w:proofErr w:type="spellStart"/>
      <w:r w:rsidRPr="00BE3969">
        <w:rPr>
          <w:rFonts w:cstheme="minorHAnsi"/>
          <w:sz w:val="24"/>
          <w:szCs w:val="24"/>
          <w:lang w:val="en-GB"/>
        </w:rPr>
        <w:t>Kristalon</w:t>
      </w:r>
      <w:proofErr w:type="spellEnd"/>
      <w:r w:rsidRPr="00BE3969">
        <w:rPr>
          <w:rFonts w:cstheme="minorHAnsi"/>
          <w:sz w:val="24"/>
          <w:szCs w:val="24"/>
          <w:lang w:val="en-GB"/>
        </w:rPr>
        <w:t xml:space="preserve"> Blue, </w:t>
      </w:r>
      <w:proofErr w:type="spellStart"/>
      <w:r w:rsidRPr="00BE3969">
        <w:rPr>
          <w:rFonts w:cstheme="minorHAnsi"/>
          <w:sz w:val="24"/>
          <w:szCs w:val="24"/>
          <w:lang w:val="en-GB"/>
        </w:rPr>
        <w:t>Yara</w:t>
      </w:r>
      <w:proofErr w:type="spellEnd"/>
      <w:r w:rsidRPr="00BE3969">
        <w:rPr>
          <w:rFonts w:cstheme="minorHAnsi"/>
          <w:sz w:val="24"/>
          <w:szCs w:val="24"/>
          <w:lang w:val="en-GB"/>
        </w:rPr>
        <w:t xml:space="preserve"> Poland) with a lowered P content (</w:t>
      </w:r>
      <w:proofErr w:type="spellStart"/>
      <w:r w:rsidRPr="00BE3969">
        <w:rPr>
          <w:rFonts w:cstheme="minorHAnsi"/>
          <w:sz w:val="24"/>
          <w:szCs w:val="24"/>
          <w:lang w:val="en-GB"/>
        </w:rPr>
        <w:t>NPKMg</w:t>
      </w:r>
      <w:proofErr w:type="spellEnd"/>
      <w:r w:rsidRPr="00BE3969">
        <w:rPr>
          <w:rFonts w:cstheme="minorHAnsi"/>
          <w:sz w:val="24"/>
          <w:szCs w:val="24"/>
          <w:lang w:val="en-GB"/>
        </w:rPr>
        <w:t xml:space="preserve"> 19:6:20:3). </w:t>
      </w:r>
      <w:proofErr w:type="spellStart"/>
      <w:r w:rsidRPr="00BE3969">
        <w:rPr>
          <w:rFonts w:cstheme="minorHAnsi"/>
          <w:sz w:val="24"/>
          <w:szCs w:val="24"/>
          <w:lang w:val="en-GB"/>
        </w:rPr>
        <w:t>Kristalon</w:t>
      </w:r>
      <w:proofErr w:type="spellEnd"/>
      <w:r w:rsidRPr="00BE3969">
        <w:rPr>
          <w:rFonts w:cstheme="minorHAnsi"/>
          <w:sz w:val="24"/>
          <w:szCs w:val="24"/>
          <w:lang w:val="en-GB"/>
        </w:rPr>
        <w:t xml:space="preserve"> Blue is produced with the same mineral components as </w:t>
      </w:r>
      <w:proofErr w:type="spellStart"/>
      <w:r w:rsidRPr="00BE3969">
        <w:rPr>
          <w:rFonts w:cstheme="minorHAnsi"/>
          <w:sz w:val="24"/>
          <w:szCs w:val="24"/>
          <w:lang w:val="en-GB"/>
        </w:rPr>
        <w:t>YaraMila</w:t>
      </w:r>
      <w:proofErr w:type="spellEnd"/>
      <w:r w:rsidRPr="00BE3969">
        <w:rPr>
          <w:rFonts w:cstheme="minorHAnsi"/>
          <w:sz w:val="24"/>
          <w:szCs w:val="24"/>
          <w:lang w:val="en-GB"/>
        </w:rPr>
        <w:t xml:space="preserve"> fertilizers recommended by Yara Poland for field corn cultivation. The coconut </w:t>
      </w:r>
      <w:proofErr w:type="spellStart"/>
      <w:r w:rsidRPr="00BE3969">
        <w:rPr>
          <w:rFonts w:cstheme="minorHAnsi"/>
          <w:sz w:val="24"/>
          <w:szCs w:val="24"/>
          <w:lang w:val="en-GB"/>
        </w:rPr>
        <w:t>fiber</w:t>
      </w:r>
      <w:proofErr w:type="spellEnd"/>
      <w:r w:rsidRPr="00BE3969">
        <w:rPr>
          <w:rFonts w:cstheme="minorHAnsi"/>
          <w:sz w:val="24"/>
          <w:szCs w:val="24"/>
          <w:lang w:val="en-GB"/>
        </w:rPr>
        <w:t>/sand substrate corresponds to characteristics of soils of very low fertility, for which the highest NPK fertilization should be applied. In such a case the manufacturer recommends soil supplementation with 500 kg ha</w:t>
      </w:r>
      <w:r w:rsidRPr="00BE3969">
        <w:rPr>
          <w:rFonts w:cstheme="minorHAnsi"/>
          <w:sz w:val="24"/>
          <w:szCs w:val="24"/>
          <w:vertAlign w:val="superscript"/>
          <w:lang w:val="en-GB"/>
        </w:rPr>
        <w:t>-1</w:t>
      </w:r>
      <w:r w:rsidRPr="00BE3969">
        <w:rPr>
          <w:rFonts w:cstheme="minorHAnsi"/>
          <w:sz w:val="24"/>
          <w:szCs w:val="24"/>
          <w:lang w:val="en-GB"/>
        </w:rPr>
        <w:t xml:space="preserve"> of </w:t>
      </w:r>
      <w:proofErr w:type="spellStart"/>
      <w:r w:rsidRPr="00BE3969">
        <w:rPr>
          <w:rFonts w:cstheme="minorHAnsi"/>
          <w:sz w:val="24"/>
          <w:szCs w:val="24"/>
          <w:lang w:val="en-GB"/>
        </w:rPr>
        <w:t>YaraMila</w:t>
      </w:r>
      <w:proofErr w:type="spellEnd"/>
      <w:r w:rsidRPr="00BE3969">
        <w:rPr>
          <w:rFonts w:cstheme="minorHAnsi"/>
          <w:sz w:val="24"/>
          <w:szCs w:val="24"/>
          <w:lang w:val="en-GB"/>
        </w:rPr>
        <w:t xml:space="preserve"> CORN (</w:t>
      </w:r>
      <w:proofErr w:type="spellStart"/>
      <w:r w:rsidRPr="00BE3969">
        <w:rPr>
          <w:rFonts w:cstheme="minorHAnsi"/>
          <w:sz w:val="24"/>
          <w:szCs w:val="24"/>
          <w:lang w:val="en-GB"/>
        </w:rPr>
        <w:t>NPKMg</w:t>
      </w:r>
      <w:proofErr w:type="spellEnd"/>
      <w:r w:rsidRPr="00BE3969">
        <w:rPr>
          <w:rFonts w:cstheme="minorHAnsi"/>
          <w:sz w:val="24"/>
          <w:szCs w:val="24"/>
          <w:lang w:val="en-GB"/>
        </w:rPr>
        <w:t xml:space="preserve"> 7:20:28:2) applied before sowing and 400 kg ha</w:t>
      </w:r>
      <w:r w:rsidRPr="00BE3969">
        <w:rPr>
          <w:rFonts w:cstheme="minorHAnsi"/>
          <w:sz w:val="24"/>
          <w:szCs w:val="24"/>
          <w:vertAlign w:val="superscript"/>
          <w:lang w:val="en-GB"/>
        </w:rPr>
        <w:t>-1</w:t>
      </w:r>
      <w:r w:rsidRPr="00BE3969">
        <w:rPr>
          <w:rFonts w:cstheme="minorHAnsi"/>
          <w:sz w:val="24"/>
          <w:szCs w:val="24"/>
          <w:lang w:val="en-GB"/>
        </w:rPr>
        <w:t xml:space="preserve"> of </w:t>
      </w:r>
      <w:proofErr w:type="spellStart"/>
      <w:r w:rsidRPr="00BE3969">
        <w:rPr>
          <w:rFonts w:cstheme="minorHAnsi"/>
          <w:sz w:val="24"/>
          <w:szCs w:val="24"/>
          <w:lang w:val="en-GB"/>
        </w:rPr>
        <w:t>YaraMila</w:t>
      </w:r>
      <w:proofErr w:type="spellEnd"/>
      <w:r w:rsidRPr="00BE3969">
        <w:rPr>
          <w:rFonts w:cstheme="minorHAnsi"/>
          <w:sz w:val="24"/>
          <w:szCs w:val="24"/>
          <w:lang w:val="en-GB"/>
        </w:rPr>
        <w:t xml:space="preserve"> </w:t>
      </w:r>
      <w:proofErr w:type="spellStart"/>
      <w:r w:rsidRPr="00BE3969">
        <w:rPr>
          <w:rFonts w:cstheme="minorHAnsi"/>
          <w:sz w:val="24"/>
          <w:szCs w:val="24"/>
          <w:lang w:val="en-GB"/>
        </w:rPr>
        <w:t>SuperCAN</w:t>
      </w:r>
      <w:proofErr w:type="spellEnd"/>
      <w:r w:rsidRPr="00BE3969">
        <w:rPr>
          <w:rFonts w:cstheme="minorHAnsi"/>
          <w:sz w:val="24"/>
          <w:szCs w:val="24"/>
          <w:lang w:val="en-GB"/>
        </w:rPr>
        <w:t xml:space="preserve"> (</w:t>
      </w:r>
      <w:proofErr w:type="spellStart"/>
      <w:r w:rsidRPr="00BE3969">
        <w:rPr>
          <w:rFonts w:cstheme="minorHAnsi"/>
          <w:sz w:val="24"/>
          <w:szCs w:val="24"/>
          <w:lang w:val="en-GB"/>
        </w:rPr>
        <w:t>NPKMg</w:t>
      </w:r>
      <w:proofErr w:type="spellEnd"/>
      <w:r w:rsidRPr="00BE3969">
        <w:rPr>
          <w:rFonts w:cstheme="minorHAnsi"/>
          <w:sz w:val="24"/>
          <w:szCs w:val="24"/>
          <w:lang w:val="en-GB"/>
        </w:rPr>
        <w:t xml:space="preserve"> 27:5:5:0) applied in the split dose system</w:t>
      </w:r>
      <w:r w:rsidRPr="00BE3969">
        <w:rPr>
          <w:rStyle w:val="Odwoanieprzypisudolnego"/>
          <w:rFonts w:cstheme="minorHAnsi"/>
          <w:sz w:val="24"/>
          <w:szCs w:val="24"/>
          <w:lang w:val="en-GB"/>
        </w:rPr>
        <w:footnoteReference w:id="1"/>
      </w:r>
      <w:r w:rsidRPr="00BE3969">
        <w:rPr>
          <w:rFonts w:cstheme="minorHAnsi"/>
          <w:sz w:val="24"/>
          <w:szCs w:val="24"/>
          <w:lang w:val="en-GB"/>
        </w:rPr>
        <w:t>. According to this nutrition program, the fertilization level should reach 140:120:160:11 kg N:P</w:t>
      </w:r>
      <w:r w:rsidRPr="00BE3969">
        <w:rPr>
          <w:rFonts w:cstheme="minorHAnsi"/>
          <w:sz w:val="24"/>
          <w:szCs w:val="24"/>
          <w:vertAlign w:val="subscript"/>
          <w:lang w:val="en-GB"/>
        </w:rPr>
        <w:t>2</w:t>
      </w:r>
      <w:r w:rsidRPr="00BE3969">
        <w:rPr>
          <w:rFonts w:cstheme="minorHAnsi"/>
          <w:sz w:val="24"/>
          <w:szCs w:val="24"/>
          <w:lang w:val="en-GB"/>
        </w:rPr>
        <w:t>O</w:t>
      </w:r>
      <w:r w:rsidRPr="00BE3969">
        <w:rPr>
          <w:rFonts w:cstheme="minorHAnsi"/>
          <w:sz w:val="24"/>
          <w:szCs w:val="24"/>
          <w:vertAlign w:val="subscript"/>
          <w:lang w:val="en-GB"/>
        </w:rPr>
        <w:t>5</w:t>
      </w:r>
      <w:r w:rsidRPr="00BE3969">
        <w:rPr>
          <w:rFonts w:cstheme="minorHAnsi"/>
          <w:sz w:val="24"/>
          <w:szCs w:val="24"/>
          <w:lang w:val="en-GB"/>
        </w:rPr>
        <w:t>:K</w:t>
      </w:r>
      <w:r w:rsidRPr="00BE3969">
        <w:rPr>
          <w:rFonts w:cstheme="minorHAnsi"/>
          <w:sz w:val="24"/>
          <w:szCs w:val="24"/>
          <w:vertAlign w:val="subscript"/>
          <w:lang w:val="en-GB"/>
        </w:rPr>
        <w:t>2</w:t>
      </w:r>
      <w:r w:rsidRPr="00BE3969">
        <w:rPr>
          <w:rFonts w:cstheme="minorHAnsi"/>
          <w:sz w:val="24"/>
          <w:szCs w:val="24"/>
          <w:lang w:val="en-GB"/>
        </w:rPr>
        <w:t>O:MgO ha</w:t>
      </w:r>
      <w:r w:rsidRPr="00BE3969">
        <w:rPr>
          <w:rFonts w:cstheme="minorHAnsi"/>
          <w:sz w:val="24"/>
          <w:szCs w:val="24"/>
          <w:vertAlign w:val="superscript"/>
          <w:lang w:val="en-GB"/>
        </w:rPr>
        <w:t>-1</w:t>
      </w:r>
      <w:r w:rsidRPr="00BE3969">
        <w:rPr>
          <w:rFonts w:cstheme="minorHAnsi"/>
          <w:sz w:val="24"/>
          <w:szCs w:val="24"/>
          <w:lang w:val="en-GB"/>
        </w:rPr>
        <w:t>, but only a moderate corn yield could be expected on poor soils.</w:t>
      </w:r>
    </w:p>
    <w:p w14:paraId="6319EAEE" w14:textId="77777777" w:rsidR="00E75D46" w:rsidRPr="00BE3969" w:rsidRDefault="00E75D46" w:rsidP="00EE2586">
      <w:pPr>
        <w:spacing w:after="120" w:line="360" w:lineRule="auto"/>
        <w:jc w:val="both"/>
        <w:rPr>
          <w:rFonts w:cstheme="minorHAnsi"/>
          <w:sz w:val="24"/>
          <w:szCs w:val="24"/>
          <w:lang w:val="en-US"/>
        </w:rPr>
      </w:pPr>
      <w:r w:rsidRPr="00BE3969">
        <w:rPr>
          <w:rFonts w:cstheme="minorHAnsi"/>
          <w:sz w:val="24"/>
          <w:szCs w:val="24"/>
          <w:lang w:val="en-US"/>
        </w:rPr>
        <w:t>The corn hybrid (‘</w:t>
      </w:r>
      <w:proofErr w:type="spellStart"/>
      <w:r w:rsidRPr="00BE3969">
        <w:rPr>
          <w:rFonts w:cstheme="minorHAnsi"/>
          <w:sz w:val="24"/>
          <w:szCs w:val="24"/>
          <w:lang w:val="en-US"/>
        </w:rPr>
        <w:t>Opoka</w:t>
      </w:r>
      <w:proofErr w:type="spellEnd"/>
      <w:r w:rsidRPr="00BE3969">
        <w:rPr>
          <w:rFonts w:cstheme="minorHAnsi"/>
          <w:sz w:val="24"/>
          <w:szCs w:val="24"/>
          <w:lang w:val="en-US"/>
        </w:rPr>
        <w:t xml:space="preserve">’) used in our study was bred specifically for silage production, and the breeder (HR </w:t>
      </w:r>
      <w:proofErr w:type="spellStart"/>
      <w:r w:rsidRPr="00BE3969">
        <w:rPr>
          <w:rFonts w:cstheme="minorHAnsi"/>
          <w:sz w:val="24"/>
          <w:szCs w:val="24"/>
          <w:lang w:val="en-US"/>
        </w:rPr>
        <w:t>Smolice</w:t>
      </w:r>
      <w:proofErr w:type="spellEnd"/>
      <w:r w:rsidRPr="00BE3969">
        <w:rPr>
          <w:rFonts w:cstheme="minorHAnsi"/>
          <w:sz w:val="24"/>
          <w:szCs w:val="24"/>
          <w:lang w:val="en-US"/>
        </w:rPr>
        <w:t>, Poland)</w:t>
      </w:r>
      <w:r w:rsidRPr="00BE3969">
        <w:rPr>
          <w:rStyle w:val="Odwoanieprzypisudolnego"/>
          <w:rFonts w:cstheme="minorHAnsi"/>
          <w:sz w:val="24"/>
          <w:szCs w:val="24"/>
          <w:lang w:val="en-US"/>
        </w:rPr>
        <w:footnoteReference w:id="2"/>
      </w:r>
      <w:r w:rsidRPr="00BE3969">
        <w:rPr>
          <w:rFonts w:cstheme="minorHAnsi"/>
          <w:sz w:val="24"/>
          <w:szCs w:val="24"/>
          <w:lang w:val="en-US"/>
        </w:rPr>
        <w:t xml:space="preserve"> recommends planting densities of 10-11/m</w:t>
      </w:r>
      <w:r w:rsidRPr="00BE3969">
        <w:rPr>
          <w:rFonts w:cstheme="minorHAnsi"/>
          <w:sz w:val="24"/>
          <w:szCs w:val="24"/>
          <w:vertAlign w:val="superscript"/>
          <w:lang w:val="en-US"/>
        </w:rPr>
        <w:t>2</w:t>
      </w:r>
      <w:r w:rsidRPr="00BE3969">
        <w:rPr>
          <w:rFonts w:cstheme="minorHAnsi"/>
          <w:sz w:val="24"/>
          <w:szCs w:val="24"/>
          <w:lang w:val="en-US"/>
        </w:rPr>
        <w:t>. Taking into account such a density and assuming that field cultivation would last as long as pot cultures (20 weeks), we can convert field fertilization values into per plant weight dose that we applied weekly in pot experiments. Such roughly estimated field units correspond to 72:60:80:6 mg N:</w:t>
      </w:r>
      <w:r w:rsidRPr="00BE3969">
        <w:rPr>
          <w:rFonts w:cstheme="minorHAnsi"/>
          <w:lang w:val="en-US"/>
        </w:rPr>
        <w:t xml:space="preserve"> </w:t>
      </w:r>
      <w:r w:rsidRPr="00BE3969">
        <w:rPr>
          <w:rFonts w:cstheme="minorHAnsi"/>
          <w:sz w:val="24"/>
          <w:szCs w:val="24"/>
          <w:lang w:val="en-US"/>
        </w:rPr>
        <w:t>P</w:t>
      </w:r>
      <w:r w:rsidRPr="00BE3969">
        <w:rPr>
          <w:rFonts w:cstheme="minorHAnsi"/>
          <w:sz w:val="24"/>
          <w:szCs w:val="24"/>
          <w:vertAlign w:val="subscript"/>
          <w:lang w:val="en-US"/>
        </w:rPr>
        <w:t>2</w:t>
      </w:r>
      <w:r w:rsidRPr="00BE3969">
        <w:rPr>
          <w:rFonts w:cstheme="minorHAnsi"/>
          <w:sz w:val="24"/>
          <w:szCs w:val="24"/>
          <w:lang w:val="en-US"/>
        </w:rPr>
        <w:t>O</w:t>
      </w:r>
      <w:r w:rsidRPr="00BE3969">
        <w:rPr>
          <w:rFonts w:cstheme="minorHAnsi"/>
          <w:sz w:val="24"/>
          <w:szCs w:val="24"/>
          <w:vertAlign w:val="subscript"/>
          <w:lang w:val="en-US"/>
        </w:rPr>
        <w:t>5</w:t>
      </w:r>
      <w:r w:rsidRPr="00BE3969">
        <w:rPr>
          <w:rFonts w:cstheme="minorHAnsi"/>
          <w:sz w:val="24"/>
          <w:szCs w:val="24"/>
          <w:lang w:val="en-US"/>
        </w:rPr>
        <w:t>:K</w:t>
      </w:r>
      <w:r w:rsidRPr="00BE3969">
        <w:rPr>
          <w:rFonts w:cstheme="minorHAnsi"/>
          <w:sz w:val="24"/>
          <w:szCs w:val="24"/>
          <w:vertAlign w:val="subscript"/>
          <w:lang w:val="en-US"/>
        </w:rPr>
        <w:t>2</w:t>
      </w:r>
      <w:r w:rsidRPr="00BE3969">
        <w:rPr>
          <w:rFonts w:cstheme="minorHAnsi"/>
          <w:sz w:val="24"/>
          <w:szCs w:val="24"/>
          <w:lang w:val="en-US"/>
        </w:rPr>
        <w:t>O:MgO, as expressed in weekly doses per plant. In the pot cultures, the highest weekly fertilizer dose per plant (1xD) being not detrimental for long-term hyphal vitality was 114:36:120:18 mg N:P</w:t>
      </w:r>
      <w:r w:rsidRPr="00BE3969">
        <w:rPr>
          <w:rFonts w:cstheme="minorHAnsi"/>
          <w:sz w:val="24"/>
          <w:szCs w:val="24"/>
          <w:vertAlign w:val="subscript"/>
          <w:lang w:val="en-US"/>
        </w:rPr>
        <w:t>2</w:t>
      </w:r>
      <w:r w:rsidRPr="00BE3969">
        <w:rPr>
          <w:rFonts w:cstheme="minorHAnsi"/>
          <w:sz w:val="24"/>
          <w:szCs w:val="24"/>
          <w:lang w:val="en-US"/>
        </w:rPr>
        <w:t>O</w:t>
      </w:r>
      <w:r w:rsidRPr="00BE3969">
        <w:rPr>
          <w:rFonts w:cstheme="minorHAnsi"/>
          <w:sz w:val="24"/>
          <w:szCs w:val="24"/>
          <w:vertAlign w:val="subscript"/>
          <w:lang w:val="en-US"/>
        </w:rPr>
        <w:t>5</w:t>
      </w:r>
      <w:r w:rsidRPr="00BE3969">
        <w:rPr>
          <w:rFonts w:cstheme="minorHAnsi"/>
          <w:sz w:val="24"/>
          <w:szCs w:val="24"/>
          <w:lang w:val="en-US"/>
        </w:rPr>
        <w:t>:K</w:t>
      </w:r>
      <w:r w:rsidRPr="00BE3969">
        <w:rPr>
          <w:rFonts w:cstheme="minorHAnsi"/>
          <w:sz w:val="24"/>
          <w:szCs w:val="24"/>
          <w:vertAlign w:val="subscript"/>
          <w:lang w:val="en-US"/>
        </w:rPr>
        <w:t>2</w:t>
      </w:r>
      <w:r w:rsidRPr="00BE3969">
        <w:rPr>
          <w:rFonts w:cstheme="minorHAnsi"/>
          <w:sz w:val="24"/>
          <w:szCs w:val="24"/>
          <w:lang w:val="en-US"/>
        </w:rPr>
        <w:t>O:MgO. Comparing both fertilization regimes it seems that the only restriction necessary to maintain symbiosis in AM pot cultures is a reduction of phosphorus application down to at least 60% of the level recommended for low-fertility soils. Moreover, according to foregoing calculations, at soils of medium fertility, prevailing in Poland, a moderate corn yield might be achieved</w:t>
      </w:r>
      <w:r w:rsidRPr="00BE3969">
        <w:rPr>
          <w:rStyle w:val="Odwoanieprzypisudolnego"/>
          <w:rFonts w:cstheme="minorHAnsi"/>
          <w:sz w:val="24"/>
          <w:szCs w:val="24"/>
          <w:lang w:val="en-US"/>
        </w:rPr>
        <w:footnoteReference w:id="3"/>
      </w:r>
      <w:r w:rsidRPr="00BE3969">
        <w:rPr>
          <w:rFonts w:cstheme="minorHAnsi"/>
          <w:sz w:val="24"/>
          <w:szCs w:val="24"/>
          <w:lang w:val="en-US"/>
        </w:rPr>
        <w:t xml:space="preserve"> with application of 70-80 kg P</w:t>
      </w:r>
      <w:r w:rsidRPr="00BE3969">
        <w:rPr>
          <w:rFonts w:cstheme="minorHAnsi"/>
          <w:sz w:val="24"/>
          <w:szCs w:val="24"/>
          <w:vertAlign w:val="subscript"/>
          <w:lang w:val="en-US"/>
        </w:rPr>
        <w:t>2</w:t>
      </w:r>
      <w:r w:rsidRPr="00BE3969">
        <w:rPr>
          <w:rFonts w:cstheme="minorHAnsi"/>
          <w:sz w:val="24"/>
          <w:szCs w:val="24"/>
          <w:lang w:val="en-US"/>
        </w:rPr>
        <w:t>O</w:t>
      </w:r>
      <w:r w:rsidRPr="00BE3969">
        <w:rPr>
          <w:rFonts w:cstheme="minorHAnsi"/>
          <w:sz w:val="24"/>
          <w:szCs w:val="24"/>
          <w:vertAlign w:val="subscript"/>
          <w:lang w:val="en-US"/>
        </w:rPr>
        <w:t>5</w:t>
      </w:r>
      <w:r w:rsidRPr="00BE3969">
        <w:rPr>
          <w:rFonts w:cstheme="minorHAnsi"/>
          <w:sz w:val="24"/>
          <w:szCs w:val="24"/>
          <w:lang w:val="en-US"/>
        </w:rPr>
        <w:t xml:space="preserve"> ha</w:t>
      </w:r>
      <w:r w:rsidRPr="00BE3969">
        <w:rPr>
          <w:rFonts w:cstheme="minorHAnsi"/>
          <w:sz w:val="24"/>
          <w:szCs w:val="24"/>
          <w:vertAlign w:val="superscript"/>
          <w:lang w:val="en-US"/>
        </w:rPr>
        <w:t>-1</w:t>
      </w:r>
      <w:r w:rsidRPr="00BE3969">
        <w:rPr>
          <w:rFonts w:cstheme="minorHAnsi"/>
          <w:sz w:val="24"/>
          <w:szCs w:val="24"/>
          <w:lang w:val="en-US"/>
        </w:rPr>
        <w:t>, which is very close to the P</w:t>
      </w:r>
      <w:r w:rsidRPr="00BE3969">
        <w:rPr>
          <w:rFonts w:cstheme="minorHAnsi"/>
          <w:sz w:val="24"/>
          <w:szCs w:val="24"/>
          <w:vertAlign w:val="subscript"/>
          <w:lang w:val="en-US"/>
        </w:rPr>
        <w:t>i</w:t>
      </w:r>
      <w:r w:rsidRPr="00BE3969">
        <w:rPr>
          <w:rFonts w:cstheme="minorHAnsi"/>
          <w:sz w:val="24"/>
          <w:szCs w:val="24"/>
          <w:lang w:val="en-US"/>
        </w:rPr>
        <w:t xml:space="preserve"> dose non-inhibiting for mycorrhizal mycelium development in our pot experiments.</w:t>
      </w:r>
    </w:p>
    <w:p w14:paraId="74568C5E" w14:textId="77777777" w:rsidR="00E75D46" w:rsidRDefault="00E75D46" w:rsidP="00EE2586">
      <w:pPr>
        <w:spacing w:after="120" w:line="360" w:lineRule="auto"/>
        <w:jc w:val="both"/>
        <w:rPr>
          <w:rFonts w:cstheme="minorHAnsi"/>
          <w:sz w:val="24"/>
          <w:szCs w:val="24"/>
          <w:lang w:val="en-GB"/>
        </w:rPr>
      </w:pPr>
      <w:r w:rsidRPr="00BE3969">
        <w:rPr>
          <w:rFonts w:cstheme="minorHAnsi"/>
          <w:sz w:val="24"/>
          <w:szCs w:val="24"/>
          <w:lang w:val="en-GB"/>
        </w:rPr>
        <w:t xml:space="preserve">Obviously, the foregoing recalculation is only approximate, since in pot cultures the fertilizer was delivered in equal weekly doses whereas under field conditions macronutrient availability </w:t>
      </w:r>
      <w:r w:rsidRPr="00BE3969">
        <w:rPr>
          <w:rFonts w:cstheme="minorHAnsi"/>
          <w:sz w:val="24"/>
          <w:szCs w:val="24"/>
          <w:lang w:val="en-GB"/>
        </w:rPr>
        <w:lastRenderedPageBreak/>
        <w:t xml:space="preserve">undergoes seasonal fluctuations. On the one hand, foliar N or P fertilizer application, recommended for weak soil types or to reduce spring cold stress, might be temporarily </w:t>
      </w:r>
      <w:proofErr w:type="spellStart"/>
      <w:r w:rsidRPr="00BE3969">
        <w:rPr>
          <w:rFonts w:cstheme="minorHAnsi"/>
          <w:sz w:val="24"/>
          <w:szCs w:val="24"/>
          <w:lang w:val="en-GB"/>
        </w:rPr>
        <w:t>unfavorable</w:t>
      </w:r>
      <w:proofErr w:type="spellEnd"/>
      <w:r w:rsidRPr="00BE3969">
        <w:rPr>
          <w:rFonts w:cstheme="minorHAnsi"/>
          <w:sz w:val="24"/>
          <w:szCs w:val="24"/>
          <w:lang w:val="en-GB"/>
        </w:rPr>
        <w:t xml:space="preserve"> for stability of mycorrhizal association. On the other hand, losses of available soil nutrient residues should be expected during the growing season due to nitrate leaching and poor phosphorus mobility. Nutrient loss from the system might be, however, alleviated by a highly efficient mycorrhizal pathway, which greatly increases the absorbing root surface area. Extraradical hyphal network extending beyond the root depletion zone almost entirely contributes to Pi acquisition of AM plants but also provides access to soil nitrogen acquired from both inorganic and organic forms </w:t>
      </w:r>
      <w:r w:rsidRPr="00BE3969">
        <w:rPr>
          <w:rFonts w:cstheme="minorHAnsi"/>
          <w:noProof/>
          <w:sz w:val="24"/>
          <w:szCs w:val="24"/>
          <w:lang w:val="en-GB"/>
        </w:rPr>
        <w:t>(Hodge and Storer, 2015, Lanfranco et al., 2018, Miller, 2000)</w:t>
      </w:r>
      <w:r w:rsidRPr="00BE3969">
        <w:rPr>
          <w:rFonts w:cstheme="minorHAnsi"/>
          <w:sz w:val="24"/>
          <w:szCs w:val="24"/>
          <w:lang w:val="en-GB"/>
        </w:rPr>
        <w:t>.</w:t>
      </w:r>
    </w:p>
    <w:p w14:paraId="58725408" w14:textId="77777777" w:rsidR="0008507F" w:rsidRDefault="0008507F" w:rsidP="00EE2586">
      <w:pPr>
        <w:spacing w:after="120" w:line="360" w:lineRule="auto"/>
        <w:jc w:val="both"/>
        <w:rPr>
          <w:rFonts w:cstheme="minorHAnsi"/>
          <w:sz w:val="24"/>
          <w:szCs w:val="24"/>
          <w:lang w:val="en-GB"/>
        </w:rPr>
      </w:pPr>
    </w:p>
    <w:p w14:paraId="30E84747" w14:textId="0AA45A4F" w:rsidR="004F0D72" w:rsidRPr="004F0D72" w:rsidRDefault="004F0D72" w:rsidP="004F0D72">
      <w:pPr>
        <w:spacing w:after="0"/>
        <w:rPr>
          <w:rFonts w:cstheme="minorHAnsi"/>
          <w:sz w:val="24"/>
          <w:szCs w:val="20"/>
          <w:lang w:val="en-US"/>
        </w:rPr>
      </w:pPr>
      <w:r w:rsidRPr="00E049BB">
        <w:rPr>
          <w:rFonts w:cstheme="minorHAnsi"/>
          <w:sz w:val="24"/>
          <w:szCs w:val="20"/>
          <w:lang w:val="en-US"/>
        </w:rPr>
        <w:t xml:space="preserve">Table 1. </w:t>
      </w:r>
      <w:r w:rsidRPr="00E049BB">
        <w:rPr>
          <w:rFonts w:cstheme="minorHAnsi"/>
          <w:sz w:val="24"/>
          <w:szCs w:val="20"/>
          <w:lang w:val="en-GB"/>
        </w:rPr>
        <w:t>Maximal N and P fertilization levels reported in recent papers as not detrimental for AM root colonization</w:t>
      </w:r>
      <w:r w:rsidRPr="00E049BB">
        <w:rPr>
          <w:rFonts w:cstheme="minorHAnsi"/>
          <w:sz w:val="24"/>
          <w:szCs w:val="20"/>
          <w:lang w:val="en-US"/>
        </w:rPr>
        <w:t xml:space="preserve"> rate</w:t>
      </w:r>
    </w:p>
    <w:tbl>
      <w:tblPr>
        <w:tblW w:w="9746" w:type="dxa"/>
        <w:tblLayout w:type="fixed"/>
        <w:tblCellMar>
          <w:left w:w="0" w:type="dxa"/>
          <w:right w:w="0" w:type="dxa"/>
        </w:tblCellMar>
        <w:tblLook w:val="04A0" w:firstRow="1" w:lastRow="0" w:firstColumn="1" w:lastColumn="0" w:noHBand="0" w:noVBand="1"/>
      </w:tblPr>
      <w:tblGrid>
        <w:gridCol w:w="959"/>
        <w:gridCol w:w="850"/>
        <w:gridCol w:w="708"/>
        <w:gridCol w:w="708"/>
        <w:gridCol w:w="709"/>
        <w:gridCol w:w="1134"/>
        <w:gridCol w:w="709"/>
        <w:gridCol w:w="850"/>
        <w:gridCol w:w="993"/>
        <w:gridCol w:w="1134"/>
        <w:gridCol w:w="992"/>
      </w:tblGrid>
      <w:tr w:rsidR="004F0D72" w:rsidRPr="00AC244D" w14:paraId="6CB92BD2" w14:textId="77777777" w:rsidTr="00F32F4C">
        <w:trPr>
          <w:trHeight w:val="650"/>
        </w:trPr>
        <w:tc>
          <w:tcPr>
            <w:tcW w:w="959"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hideMark/>
          </w:tcPr>
          <w:p w14:paraId="5A03323A" w14:textId="77777777" w:rsidR="004F0D72" w:rsidRPr="004F0D72" w:rsidRDefault="004F0D72" w:rsidP="00F32F4C">
            <w:pPr>
              <w:spacing w:after="0"/>
              <w:rPr>
                <w:rFonts w:eastAsia="Times New Roman" w:cstheme="minorHAnsi"/>
                <w:szCs w:val="36"/>
                <w:lang w:val="en-US" w:eastAsia="pl-PL"/>
              </w:rPr>
            </w:pPr>
          </w:p>
        </w:tc>
        <w:tc>
          <w:tcPr>
            <w:tcW w:w="85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47AAC731" w14:textId="77777777" w:rsidR="004F0D72" w:rsidRPr="002F7441" w:rsidRDefault="004F0D72" w:rsidP="00F32F4C">
            <w:pPr>
              <w:tabs>
                <w:tab w:val="left" w:pos="426"/>
                <w:tab w:val="left" w:pos="993"/>
              </w:tabs>
              <w:spacing w:after="0"/>
              <w:jc w:val="center"/>
              <w:rPr>
                <w:rFonts w:eastAsia="Times New Roman" w:cstheme="minorHAnsi"/>
                <w:szCs w:val="36"/>
                <w:lang w:eastAsia="pl-PL"/>
              </w:rPr>
            </w:pPr>
            <w:r w:rsidRPr="002F7441">
              <w:rPr>
                <w:rFonts w:eastAsia="Times New Roman" w:cstheme="minorHAnsi"/>
                <w:b/>
                <w:bCs/>
                <w:color w:val="000000"/>
                <w:kern w:val="24"/>
                <w:lang w:val="en-GB" w:eastAsia="pl-PL"/>
              </w:rPr>
              <w:t xml:space="preserve">0.125 </w:t>
            </w:r>
            <w:proofErr w:type="spellStart"/>
            <w:r w:rsidRPr="002F7441">
              <w:rPr>
                <w:rFonts w:eastAsia="Times New Roman" w:cstheme="minorHAnsi"/>
                <w:b/>
                <w:bCs/>
                <w:color w:val="000000"/>
                <w:kern w:val="24"/>
                <w:lang w:val="en-GB" w:eastAsia="pl-PL"/>
              </w:rPr>
              <w:t>xD</w:t>
            </w:r>
            <w:proofErr w:type="spellEnd"/>
          </w:p>
        </w:tc>
        <w:tc>
          <w:tcPr>
            <w:tcW w:w="708"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7DA880C2" w14:textId="77777777" w:rsidR="004F0D72" w:rsidRPr="002F7441" w:rsidRDefault="004F0D72" w:rsidP="00F32F4C">
            <w:pPr>
              <w:tabs>
                <w:tab w:val="left" w:pos="426"/>
                <w:tab w:val="left" w:pos="993"/>
              </w:tabs>
              <w:spacing w:after="0"/>
              <w:jc w:val="center"/>
              <w:rPr>
                <w:rFonts w:eastAsia="Times New Roman" w:cstheme="minorHAnsi"/>
                <w:szCs w:val="36"/>
                <w:lang w:eastAsia="pl-PL"/>
              </w:rPr>
            </w:pPr>
            <w:r w:rsidRPr="002F7441">
              <w:rPr>
                <w:rFonts w:eastAsia="Times New Roman" w:cstheme="minorHAnsi"/>
                <w:b/>
                <w:bCs/>
                <w:color w:val="000000"/>
                <w:kern w:val="24"/>
                <w:lang w:val="en-GB" w:eastAsia="pl-PL"/>
              </w:rPr>
              <w:t xml:space="preserve">0.25 </w:t>
            </w:r>
            <w:proofErr w:type="spellStart"/>
            <w:r w:rsidRPr="002F7441">
              <w:rPr>
                <w:rFonts w:eastAsia="Times New Roman" w:cstheme="minorHAnsi"/>
                <w:b/>
                <w:bCs/>
                <w:color w:val="000000"/>
                <w:kern w:val="24"/>
                <w:lang w:val="en-GB" w:eastAsia="pl-PL"/>
              </w:rPr>
              <w:t>xD</w:t>
            </w:r>
            <w:proofErr w:type="spellEnd"/>
          </w:p>
        </w:tc>
        <w:tc>
          <w:tcPr>
            <w:tcW w:w="708"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44608A23" w14:textId="77777777" w:rsidR="004F0D72" w:rsidRPr="002F7441" w:rsidRDefault="004F0D72" w:rsidP="00F32F4C">
            <w:pPr>
              <w:tabs>
                <w:tab w:val="left" w:pos="426"/>
                <w:tab w:val="left" w:pos="993"/>
              </w:tabs>
              <w:spacing w:after="0"/>
              <w:jc w:val="center"/>
              <w:rPr>
                <w:rFonts w:eastAsia="Times New Roman" w:cstheme="minorHAnsi"/>
                <w:szCs w:val="36"/>
                <w:lang w:eastAsia="pl-PL"/>
              </w:rPr>
            </w:pPr>
            <w:r w:rsidRPr="002F7441">
              <w:rPr>
                <w:rFonts w:eastAsia="Times New Roman" w:cstheme="minorHAnsi"/>
                <w:b/>
                <w:bCs/>
                <w:color w:val="000000"/>
                <w:kern w:val="24"/>
                <w:lang w:val="en-GB" w:eastAsia="pl-PL"/>
              </w:rPr>
              <w:t xml:space="preserve">0.5 </w:t>
            </w:r>
            <w:proofErr w:type="spellStart"/>
            <w:r w:rsidRPr="002F7441">
              <w:rPr>
                <w:rFonts w:eastAsia="Times New Roman" w:cstheme="minorHAnsi"/>
                <w:b/>
                <w:bCs/>
                <w:color w:val="000000"/>
                <w:kern w:val="24"/>
                <w:lang w:val="en-GB" w:eastAsia="pl-PL"/>
              </w:rPr>
              <w:t>xD</w:t>
            </w:r>
            <w:proofErr w:type="spellEnd"/>
          </w:p>
        </w:tc>
        <w:tc>
          <w:tcPr>
            <w:tcW w:w="709"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46A03DB3" w14:textId="77777777" w:rsidR="004F0D72" w:rsidRPr="002F7441" w:rsidRDefault="004F0D72" w:rsidP="00F32F4C">
            <w:pPr>
              <w:tabs>
                <w:tab w:val="left" w:pos="993"/>
              </w:tabs>
              <w:spacing w:after="0"/>
              <w:jc w:val="center"/>
              <w:rPr>
                <w:rFonts w:eastAsia="Times New Roman" w:cstheme="minorHAnsi"/>
                <w:szCs w:val="36"/>
                <w:lang w:eastAsia="pl-PL"/>
              </w:rPr>
            </w:pPr>
            <w:r w:rsidRPr="002F7441">
              <w:rPr>
                <w:rFonts w:eastAsia="Times New Roman" w:cstheme="minorHAnsi"/>
                <w:b/>
                <w:bCs/>
                <w:color w:val="000000"/>
                <w:kern w:val="24"/>
                <w:lang w:val="en-GB" w:eastAsia="pl-PL"/>
              </w:rPr>
              <w:t>1xD</w:t>
            </w:r>
          </w:p>
        </w:tc>
        <w:tc>
          <w:tcPr>
            <w:tcW w:w="1134"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0C6BE5D4" w14:textId="77777777" w:rsidR="004F0D72" w:rsidRPr="002F7441" w:rsidRDefault="004F0D72" w:rsidP="00F32F4C">
            <w:pPr>
              <w:tabs>
                <w:tab w:val="left" w:pos="993"/>
              </w:tabs>
              <w:spacing w:after="0"/>
              <w:jc w:val="center"/>
              <w:rPr>
                <w:rFonts w:eastAsia="Times New Roman" w:cstheme="minorHAnsi"/>
                <w:szCs w:val="36"/>
                <w:lang w:eastAsia="pl-PL"/>
              </w:rPr>
            </w:pPr>
            <w:r w:rsidRPr="002F7441">
              <w:rPr>
                <w:rFonts w:eastAsia="Times New Roman" w:cstheme="minorHAnsi"/>
                <w:b/>
                <w:bCs/>
                <w:color w:val="000000"/>
                <w:kern w:val="24"/>
                <w:lang w:val="en-GB" w:eastAsia="pl-PL"/>
              </w:rPr>
              <w:t>Hoagland</w:t>
            </w:r>
          </w:p>
        </w:tc>
        <w:tc>
          <w:tcPr>
            <w:tcW w:w="709"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25CBBC7" w14:textId="77777777" w:rsidR="004F0D72" w:rsidRPr="002F7441" w:rsidRDefault="004F0D72" w:rsidP="00F32F4C">
            <w:pPr>
              <w:tabs>
                <w:tab w:val="left" w:pos="426"/>
                <w:tab w:val="left" w:pos="993"/>
              </w:tabs>
              <w:spacing w:after="0"/>
              <w:jc w:val="center"/>
              <w:rPr>
                <w:rFonts w:eastAsia="Times New Roman" w:cstheme="minorHAnsi"/>
                <w:szCs w:val="36"/>
                <w:lang w:eastAsia="pl-PL"/>
              </w:rPr>
            </w:pPr>
            <w:proofErr w:type="spellStart"/>
            <w:r w:rsidRPr="002F7441">
              <w:rPr>
                <w:rFonts w:eastAsia="Times New Roman" w:cstheme="minorHAnsi"/>
                <w:b/>
                <w:bCs/>
                <w:color w:val="000000"/>
                <w:kern w:val="24"/>
                <w:lang w:val="en-GB" w:eastAsia="pl-PL"/>
              </w:rPr>
              <w:t>Auge</w:t>
            </w:r>
            <w:proofErr w:type="spellEnd"/>
            <w:r w:rsidRPr="002F7441">
              <w:rPr>
                <w:rFonts w:eastAsia="Times New Roman" w:cstheme="minorHAnsi"/>
                <w:b/>
                <w:bCs/>
                <w:color w:val="000000"/>
                <w:kern w:val="24"/>
                <w:lang w:eastAsia="pl-PL"/>
              </w:rPr>
              <w:t xml:space="preserve"> et al. </w:t>
            </w:r>
            <w:r w:rsidRPr="002F7441">
              <w:rPr>
                <w:rFonts w:eastAsia="Times New Roman" w:cstheme="minorHAnsi"/>
                <w:b/>
                <w:bCs/>
                <w:color w:val="000000"/>
                <w:kern w:val="24"/>
                <w:lang w:val="en-GB" w:eastAsia="pl-PL"/>
              </w:rPr>
              <w:t>2008</w:t>
            </w:r>
          </w:p>
        </w:tc>
        <w:tc>
          <w:tcPr>
            <w:tcW w:w="85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5A9C78E3" w14:textId="77777777" w:rsidR="004F0D72" w:rsidRPr="002F7441" w:rsidRDefault="004F0D72" w:rsidP="00F32F4C">
            <w:pPr>
              <w:tabs>
                <w:tab w:val="left" w:pos="426"/>
                <w:tab w:val="left" w:pos="993"/>
              </w:tabs>
              <w:spacing w:after="0"/>
              <w:jc w:val="center"/>
              <w:rPr>
                <w:rFonts w:eastAsia="Times New Roman" w:cstheme="minorHAnsi"/>
                <w:szCs w:val="36"/>
                <w:lang w:eastAsia="pl-PL"/>
              </w:rPr>
            </w:pPr>
            <w:proofErr w:type="spellStart"/>
            <w:r w:rsidRPr="002F7441">
              <w:rPr>
                <w:rFonts w:eastAsia="Times New Roman" w:cstheme="minorHAnsi"/>
                <w:b/>
                <w:bCs/>
                <w:color w:val="000000"/>
                <w:kern w:val="24"/>
                <w:lang w:val="en-GB" w:eastAsia="pl-PL"/>
              </w:rPr>
              <w:t>Moche</w:t>
            </w:r>
            <w:proofErr w:type="spellEnd"/>
            <w:r w:rsidRPr="002F7441">
              <w:rPr>
                <w:rFonts w:eastAsia="Times New Roman" w:cstheme="minorHAnsi"/>
                <w:b/>
                <w:bCs/>
                <w:color w:val="000000"/>
                <w:kern w:val="24"/>
                <w:lang w:val="en-GB" w:eastAsia="pl-PL"/>
              </w:rPr>
              <w:t xml:space="preserve"> </w:t>
            </w:r>
            <w:r w:rsidRPr="002F7441">
              <w:rPr>
                <w:rFonts w:eastAsia="Times New Roman" w:cstheme="minorHAnsi"/>
                <w:b/>
                <w:bCs/>
                <w:color w:val="000000"/>
                <w:kern w:val="24"/>
                <w:lang w:eastAsia="pl-PL"/>
              </w:rPr>
              <w:t xml:space="preserve"> et al. </w:t>
            </w:r>
            <w:r w:rsidRPr="002F7441">
              <w:rPr>
                <w:rFonts w:eastAsia="Times New Roman" w:cstheme="minorHAnsi"/>
                <w:b/>
                <w:bCs/>
                <w:color w:val="000000"/>
                <w:kern w:val="24"/>
                <w:lang w:val="en-GB" w:eastAsia="pl-PL"/>
              </w:rPr>
              <w:t>2010</w:t>
            </w:r>
          </w:p>
        </w:tc>
        <w:tc>
          <w:tcPr>
            <w:tcW w:w="99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FD69420" w14:textId="77777777" w:rsidR="004F0D72" w:rsidRPr="002F7441" w:rsidRDefault="004F0D72" w:rsidP="00F32F4C">
            <w:pPr>
              <w:tabs>
                <w:tab w:val="left" w:pos="426"/>
                <w:tab w:val="left" w:pos="993"/>
              </w:tabs>
              <w:spacing w:after="0"/>
              <w:jc w:val="center"/>
              <w:rPr>
                <w:rFonts w:eastAsia="Times New Roman" w:cstheme="minorHAnsi"/>
                <w:szCs w:val="36"/>
                <w:lang w:eastAsia="pl-PL"/>
              </w:rPr>
            </w:pPr>
            <w:proofErr w:type="spellStart"/>
            <w:r w:rsidRPr="002F7441">
              <w:rPr>
                <w:rFonts w:eastAsia="Times New Roman" w:cstheme="minorHAnsi"/>
                <w:b/>
                <w:bCs/>
                <w:color w:val="000000"/>
                <w:kern w:val="24"/>
                <w:lang w:val="en-GB" w:eastAsia="pl-PL"/>
              </w:rPr>
              <w:t>Barzana</w:t>
            </w:r>
            <w:proofErr w:type="spellEnd"/>
            <w:r w:rsidRPr="002F7441">
              <w:rPr>
                <w:rFonts w:eastAsia="Times New Roman" w:cstheme="minorHAnsi"/>
                <w:b/>
                <w:bCs/>
                <w:color w:val="000000"/>
                <w:kern w:val="24"/>
                <w:lang w:eastAsia="pl-PL"/>
              </w:rPr>
              <w:t xml:space="preserve"> et al. 2012</w:t>
            </w:r>
          </w:p>
        </w:tc>
        <w:tc>
          <w:tcPr>
            <w:tcW w:w="1134"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5FD6C8A" w14:textId="77777777" w:rsidR="004F0D72" w:rsidRPr="002F7441" w:rsidRDefault="004F0D72" w:rsidP="00F32F4C">
            <w:pPr>
              <w:tabs>
                <w:tab w:val="left" w:pos="426"/>
                <w:tab w:val="left" w:pos="993"/>
              </w:tabs>
              <w:spacing w:after="0"/>
              <w:jc w:val="center"/>
              <w:rPr>
                <w:rFonts w:eastAsia="Times New Roman" w:cstheme="minorHAnsi"/>
                <w:szCs w:val="36"/>
                <w:lang w:eastAsia="pl-PL"/>
              </w:rPr>
            </w:pPr>
            <w:proofErr w:type="spellStart"/>
            <w:r w:rsidRPr="002F7441">
              <w:rPr>
                <w:rFonts w:eastAsia="Times New Roman" w:cstheme="minorHAnsi"/>
                <w:b/>
                <w:bCs/>
                <w:color w:val="000000"/>
                <w:kern w:val="24"/>
                <w:lang w:eastAsia="pl-PL"/>
              </w:rPr>
              <w:t>Bonneau</w:t>
            </w:r>
            <w:proofErr w:type="spellEnd"/>
            <w:r w:rsidRPr="002F7441">
              <w:rPr>
                <w:rFonts w:eastAsia="Times New Roman" w:cstheme="minorHAnsi"/>
                <w:b/>
                <w:bCs/>
                <w:color w:val="000000"/>
                <w:kern w:val="24"/>
                <w:lang w:eastAsia="pl-PL"/>
              </w:rPr>
              <w:t xml:space="preserve"> </w:t>
            </w:r>
            <w:r w:rsidRPr="002F7441">
              <w:rPr>
                <w:rFonts w:eastAsia="Times New Roman" w:cstheme="minorHAnsi"/>
                <w:b/>
                <w:bCs/>
                <w:color w:val="000000"/>
                <w:kern w:val="24"/>
                <w:lang w:val="en-GB" w:eastAsia="pl-PL"/>
              </w:rPr>
              <w:t>et al. 2013  </w:t>
            </w:r>
          </w:p>
        </w:tc>
        <w:tc>
          <w:tcPr>
            <w:tcW w:w="992"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0639A69B" w14:textId="77777777" w:rsidR="004F0D72" w:rsidRPr="002F7441" w:rsidRDefault="004F0D72" w:rsidP="00F32F4C">
            <w:pPr>
              <w:tabs>
                <w:tab w:val="left" w:pos="425"/>
                <w:tab w:val="left" w:pos="853"/>
                <w:tab w:val="left" w:pos="993"/>
              </w:tabs>
              <w:spacing w:after="0"/>
              <w:jc w:val="center"/>
              <w:rPr>
                <w:rFonts w:eastAsia="Times New Roman" w:cstheme="minorHAnsi"/>
                <w:szCs w:val="36"/>
                <w:lang w:eastAsia="pl-PL"/>
              </w:rPr>
            </w:pPr>
            <w:proofErr w:type="spellStart"/>
            <w:r w:rsidRPr="002F7441">
              <w:rPr>
                <w:rFonts w:eastAsia="Times New Roman" w:cstheme="minorHAnsi"/>
                <w:b/>
                <w:bCs/>
                <w:color w:val="000000"/>
                <w:kern w:val="24"/>
                <w:lang w:val="en-GB" w:eastAsia="pl-PL"/>
              </w:rPr>
              <w:t>Breuillin</w:t>
            </w:r>
            <w:proofErr w:type="spellEnd"/>
            <w:r w:rsidRPr="002F7441">
              <w:rPr>
                <w:rFonts w:eastAsia="Times New Roman" w:cstheme="minorHAnsi"/>
                <w:b/>
                <w:bCs/>
                <w:color w:val="000000"/>
                <w:kern w:val="24"/>
                <w:lang w:val="en-GB" w:eastAsia="pl-PL"/>
              </w:rPr>
              <w:t xml:space="preserve"> et al. 2010</w:t>
            </w:r>
          </w:p>
        </w:tc>
      </w:tr>
      <w:tr w:rsidR="004F0D72" w:rsidRPr="00AC244D" w14:paraId="50061A61" w14:textId="77777777" w:rsidTr="00F32F4C">
        <w:trPr>
          <w:trHeight w:val="416"/>
        </w:trPr>
        <w:tc>
          <w:tcPr>
            <w:tcW w:w="959"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16D31B3E" w14:textId="77777777" w:rsidR="004F0D72" w:rsidRPr="002F7441" w:rsidRDefault="004F0D72" w:rsidP="00F32F4C">
            <w:pPr>
              <w:tabs>
                <w:tab w:val="left" w:pos="426"/>
                <w:tab w:val="left" w:pos="993"/>
              </w:tabs>
              <w:spacing w:after="0"/>
              <w:rPr>
                <w:rFonts w:eastAsia="Times New Roman" w:cstheme="minorHAnsi"/>
                <w:szCs w:val="36"/>
                <w:lang w:eastAsia="pl-PL"/>
              </w:rPr>
            </w:pPr>
            <w:r w:rsidRPr="002F7441">
              <w:rPr>
                <w:rFonts w:eastAsia="Times New Roman" w:cstheme="minorHAnsi"/>
                <w:b/>
                <w:bCs/>
                <w:color w:val="000000"/>
                <w:kern w:val="24"/>
                <w:lang w:val="en-GB" w:eastAsia="pl-PL"/>
              </w:rPr>
              <w:t>N-NO3</w:t>
            </w:r>
          </w:p>
        </w:tc>
        <w:tc>
          <w:tcPr>
            <w:tcW w:w="85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BC8C80E" w14:textId="77777777" w:rsidR="004F0D72" w:rsidRPr="002F7441" w:rsidRDefault="004F0D72" w:rsidP="00F32F4C">
            <w:pPr>
              <w:tabs>
                <w:tab w:val="left" w:pos="426"/>
                <w:tab w:val="left" w:pos="993"/>
              </w:tabs>
              <w:spacing w:after="0"/>
              <w:jc w:val="center"/>
              <w:rPr>
                <w:rFonts w:eastAsia="Times New Roman" w:cstheme="minorHAnsi"/>
                <w:szCs w:val="36"/>
                <w:lang w:eastAsia="pl-PL"/>
              </w:rPr>
            </w:pPr>
            <w:r w:rsidRPr="002F7441">
              <w:rPr>
                <w:rFonts w:eastAsia="Times New Roman" w:cstheme="minorHAnsi"/>
                <w:color w:val="000000"/>
                <w:kern w:val="24"/>
                <w:lang w:val="en-GB" w:eastAsia="pl-PL"/>
              </w:rPr>
              <w:t>1.06</w:t>
            </w:r>
          </w:p>
        </w:tc>
        <w:tc>
          <w:tcPr>
            <w:tcW w:w="708"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0AF9336" w14:textId="77777777" w:rsidR="004F0D72" w:rsidRPr="002F7441" w:rsidRDefault="004F0D72" w:rsidP="00F32F4C">
            <w:pPr>
              <w:tabs>
                <w:tab w:val="left" w:pos="426"/>
                <w:tab w:val="left" w:pos="993"/>
              </w:tabs>
              <w:spacing w:after="0"/>
              <w:jc w:val="center"/>
              <w:rPr>
                <w:rFonts w:eastAsia="Times New Roman" w:cstheme="minorHAnsi"/>
                <w:szCs w:val="36"/>
                <w:lang w:eastAsia="pl-PL"/>
              </w:rPr>
            </w:pPr>
            <w:r w:rsidRPr="002F7441">
              <w:rPr>
                <w:rFonts w:eastAsia="Times New Roman" w:cstheme="minorHAnsi"/>
                <w:color w:val="000000"/>
                <w:kern w:val="24"/>
                <w:lang w:val="en-GB" w:eastAsia="pl-PL"/>
              </w:rPr>
              <w:t>2.13</w:t>
            </w:r>
          </w:p>
        </w:tc>
        <w:tc>
          <w:tcPr>
            <w:tcW w:w="708"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0AAF3518" w14:textId="77777777" w:rsidR="004F0D72" w:rsidRPr="002F7441" w:rsidRDefault="004F0D72" w:rsidP="00F32F4C">
            <w:pPr>
              <w:tabs>
                <w:tab w:val="left" w:pos="426"/>
                <w:tab w:val="left" w:pos="993"/>
              </w:tabs>
              <w:spacing w:after="0"/>
              <w:jc w:val="center"/>
              <w:rPr>
                <w:rFonts w:eastAsia="Times New Roman" w:cstheme="minorHAnsi"/>
                <w:szCs w:val="36"/>
                <w:lang w:eastAsia="pl-PL"/>
              </w:rPr>
            </w:pPr>
            <w:r w:rsidRPr="002F7441">
              <w:rPr>
                <w:rFonts w:eastAsia="Times New Roman" w:cstheme="minorHAnsi"/>
                <w:color w:val="000000"/>
                <w:kern w:val="24"/>
                <w:lang w:val="en-GB" w:eastAsia="pl-PL"/>
              </w:rPr>
              <w:t>4.25</w:t>
            </w:r>
          </w:p>
        </w:tc>
        <w:tc>
          <w:tcPr>
            <w:tcW w:w="709"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7E948F37" w14:textId="77777777" w:rsidR="004F0D72" w:rsidRPr="002F7441" w:rsidRDefault="004F0D72" w:rsidP="00F32F4C">
            <w:pPr>
              <w:tabs>
                <w:tab w:val="left" w:pos="426"/>
                <w:tab w:val="left" w:pos="993"/>
              </w:tabs>
              <w:spacing w:after="0"/>
              <w:jc w:val="center"/>
              <w:rPr>
                <w:rFonts w:eastAsia="Times New Roman" w:cstheme="minorHAnsi"/>
                <w:szCs w:val="36"/>
                <w:lang w:eastAsia="pl-PL"/>
              </w:rPr>
            </w:pPr>
            <w:r w:rsidRPr="002F7441">
              <w:rPr>
                <w:rFonts w:eastAsia="Times New Roman" w:cstheme="minorHAnsi"/>
                <w:color w:val="000000"/>
                <w:kern w:val="24"/>
                <w:lang w:eastAsia="pl-PL"/>
              </w:rPr>
              <w:t>8.5</w:t>
            </w:r>
          </w:p>
        </w:tc>
        <w:tc>
          <w:tcPr>
            <w:tcW w:w="1134"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4472559" w14:textId="77777777" w:rsidR="004F0D72" w:rsidRPr="002F7441" w:rsidRDefault="004F0D72" w:rsidP="00F32F4C">
            <w:pPr>
              <w:tabs>
                <w:tab w:val="left" w:pos="426"/>
                <w:tab w:val="left" w:pos="993"/>
              </w:tabs>
              <w:spacing w:after="0"/>
              <w:jc w:val="center"/>
              <w:rPr>
                <w:rFonts w:eastAsia="Times New Roman" w:cstheme="minorHAnsi"/>
                <w:szCs w:val="36"/>
                <w:lang w:eastAsia="pl-PL"/>
              </w:rPr>
            </w:pPr>
            <w:r w:rsidRPr="002F7441">
              <w:rPr>
                <w:rFonts w:eastAsia="Times New Roman" w:cstheme="minorHAnsi"/>
                <w:color w:val="000000"/>
                <w:kern w:val="24"/>
                <w:lang w:val="en-GB" w:eastAsia="pl-PL"/>
              </w:rPr>
              <w:t>14</w:t>
            </w:r>
          </w:p>
        </w:tc>
        <w:tc>
          <w:tcPr>
            <w:tcW w:w="709" w:type="dxa"/>
            <w:vMerge w:val="restar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58707E41" w14:textId="77777777" w:rsidR="004F0D72" w:rsidRPr="002F7441" w:rsidRDefault="004F0D72" w:rsidP="00F32F4C">
            <w:pPr>
              <w:tabs>
                <w:tab w:val="left" w:pos="426"/>
                <w:tab w:val="left" w:pos="993"/>
              </w:tabs>
              <w:spacing w:after="0"/>
              <w:jc w:val="center"/>
              <w:rPr>
                <w:rFonts w:eastAsia="Times New Roman" w:cstheme="minorHAnsi"/>
                <w:szCs w:val="36"/>
                <w:lang w:eastAsia="pl-PL"/>
              </w:rPr>
            </w:pPr>
            <w:r w:rsidRPr="002F7441">
              <w:rPr>
                <w:rFonts w:eastAsia="Times New Roman" w:cstheme="minorHAnsi"/>
                <w:color w:val="000000"/>
                <w:kern w:val="24"/>
                <w:lang w:val="en-GB" w:eastAsia="pl-PL"/>
              </w:rPr>
              <w:t>7</w:t>
            </w:r>
            <w:r w:rsidRPr="002F7441">
              <w:rPr>
                <w:rFonts w:eastAsia="Times New Roman" w:cstheme="minorHAnsi"/>
                <w:color w:val="000000"/>
                <w:kern w:val="24"/>
                <w:lang w:eastAsia="pl-PL"/>
              </w:rPr>
              <w:t>.</w:t>
            </w:r>
            <w:r w:rsidRPr="002F7441">
              <w:rPr>
                <w:rFonts w:eastAsia="Times New Roman" w:cstheme="minorHAnsi"/>
                <w:color w:val="000000"/>
                <w:kern w:val="24"/>
                <w:lang w:val="en-GB" w:eastAsia="pl-PL"/>
              </w:rPr>
              <w:t>5</w:t>
            </w:r>
          </w:p>
        </w:tc>
        <w:tc>
          <w:tcPr>
            <w:tcW w:w="850" w:type="dxa"/>
            <w:vMerge w:val="restar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6EA862EB" w14:textId="77777777" w:rsidR="004F0D72" w:rsidRPr="002F7441" w:rsidRDefault="004F0D72" w:rsidP="00F32F4C">
            <w:pPr>
              <w:tabs>
                <w:tab w:val="left" w:pos="426"/>
                <w:tab w:val="left" w:pos="993"/>
              </w:tabs>
              <w:spacing w:after="0"/>
              <w:jc w:val="center"/>
              <w:rPr>
                <w:rFonts w:eastAsia="Times New Roman" w:cstheme="minorHAnsi"/>
                <w:szCs w:val="36"/>
                <w:lang w:eastAsia="pl-PL"/>
              </w:rPr>
            </w:pPr>
            <w:r w:rsidRPr="002F7441">
              <w:rPr>
                <w:rFonts w:eastAsia="Times New Roman" w:cstheme="minorHAnsi"/>
                <w:color w:val="000000"/>
                <w:kern w:val="24"/>
                <w:lang w:val="en-GB" w:eastAsia="pl-PL"/>
              </w:rPr>
              <w:t>5</w:t>
            </w:r>
            <w:r w:rsidRPr="002F7441">
              <w:rPr>
                <w:rFonts w:eastAsia="Times New Roman" w:cstheme="minorHAnsi"/>
                <w:color w:val="000000"/>
                <w:kern w:val="24"/>
                <w:lang w:eastAsia="pl-PL"/>
              </w:rPr>
              <w:t>.0</w:t>
            </w:r>
          </w:p>
        </w:tc>
        <w:tc>
          <w:tcPr>
            <w:tcW w:w="993" w:type="dxa"/>
            <w:vMerge w:val="restart"/>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4CE7D35F" w14:textId="77777777" w:rsidR="004F0D72" w:rsidRPr="002F7441" w:rsidRDefault="004F0D72" w:rsidP="00F32F4C">
            <w:pPr>
              <w:tabs>
                <w:tab w:val="left" w:pos="426"/>
                <w:tab w:val="left" w:pos="993"/>
              </w:tabs>
              <w:spacing w:after="0"/>
              <w:jc w:val="center"/>
              <w:rPr>
                <w:rFonts w:eastAsia="Times New Roman" w:cstheme="minorHAnsi"/>
                <w:szCs w:val="36"/>
                <w:lang w:eastAsia="pl-PL"/>
              </w:rPr>
            </w:pPr>
            <w:r w:rsidRPr="002F7441">
              <w:rPr>
                <w:rFonts w:eastAsia="Times New Roman" w:cstheme="minorHAnsi"/>
                <w:color w:val="000000"/>
                <w:kern w:val="24"/>
                <w:lang w:val="en-GB" w:eastAsia="pl-PL"/>
              </w:rPr>
              <w:t>15</w:t>
            </w:r>
            <w:r w:rsidRPr="002F7441">
              <w:rPr>
                <w:rFonts w:eastAsia="Times New Roman" w:cstheme="minorHAnsi"/>
                <w:color w:val="000000"/>
                <w:kern w:val="24"/>
                <w:lang w:eastAsia="pl-PL"/>
              </w:rPr>
              <w:t>.0</w:t>
            </w:r>
          </w:p>
        </w:tc>
        <w:tc>
          <w:tcPr>
            <w:tcW w:w="1134" w:type="dxa"/>
            <w:vMerge w:val="restart"/>
            <w:tcBorders>
              <w:top w:val="single" w:sz="8" w:space="0" w:color="000000"/>
              <w:left w:val="nil"/>
              <w:right w:val="nil"/>
            </w:tcBorders>
            <w:shd w:val="clear" w:color="auto" w:fill="auto"/>
            <w:tcMar>
              <w:top w:w="15" w:type="dxa"/>
              <w:left w:w="108" w:type="dxa"/>
              <w:bottom w:w="0" w:type="dxa"/>
              <w:right w:w="108" w:type="dxa"/>
            </w:tcMar>
            <w:vAlign w:val="center"/>
            <w:hideMark/>
          </w:tcPr>
          <w:p w14:paraId="74A4C30B" w14:textId="77777777" w:rsidR="004F0D72" w:rsidRPr="002F7441" w:rsidRDefault="004F0D72" w:rsidP="00F32F4C">
            <w:pPr>
              <w:tabs>
                <w:tab w:val="left" w:pos="426"/>
                <w:tab w:val="left" w:pos="993"/>
              </w:tabs>
              <w:spacing w:after="0"/>
              <w:jc w:val="center"/>
              <w:rPr>
                <w:rFonts w:eastAsia="Times New Roman" w:cstheme="minorHAnsi"/>
                <w:szCs w:val="36"/>
                <w:lang w:eastAsia="pl-PL"/>
              </w:rPr>
            </w:pPr>
            <w:r w:rsidRPr="002F7441">
              <w:rPr>
                <w:rFonts w:eastAsia="Times New Roman" w:cstheme="minorHAnsi"/>
                <w:color w:val="000000"/>
                <w:kern w:val="24"/>
                <w:lang w:val="en-GB" w:eastAsia="pl-PL"/>
              </w:rPr>
              <w:t>1.2</w:t>
            </w:r>
          </w:p>
        </w:tc>
        <w:tc>
          <w:tcPr>
            <w:tcW w:w="992"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6FDB6D89" w14:textId="77777777" w:rsidR="004F0D72" w:rsidRPr="002F7441" w:rsidRDefault="004F0D72" w:rsidP="00F32F4C">
            <w:pPr>
              <w:tabs>
                <w:tab w:val="left" w:pos="426"/>
                <w:tab w:val="left" w:pos="993"/>
              </w:tabs>
              <w:spacing w:after="0"/>
              <w:jc w:val="center"/>
              <w:rPr>
                <w:rFonts w:eastAsia="Times New Roman" w:cstheme="minorHAnsi"/>
                <w:szCs w:val="36"/>
                <w:lang w:eastAsia="pl-PL"/>
              </w:rPr>
            </w:pPr>
            <w:r w:rsidRPr="002F7441">
              <w:rPr>
                <w:rFonts w:eastAsia="Times New Roman" w:cstheme="minorHAnsi"/>
                <w:color w:val="000000"/>
                <w:kern w:val="24"/>
                <w:lang w:val="en-GB" w:eastAsia="pl-PL"/>
              </w:rPr>
              <w:t>5</w:t>
            </w:r>
            <w:r w:rsidRPr="002F7441">
              <w:rPr>
                <w:rFonts w:eastAsia="Times New Roman" w:cstheme="minorHAnsi"/>
                <w:color w:val="000000"/>
                <w:kern w:val="24"/>
                <w:lang w:eastAsia="pl-PL"/>
              </w:rPr>
              <w:t>.0</w:t>
            </w:r>
          </w:p>
        </w:tc>
      </w:tr>
      <w:tr w:rsidR="004F0D72" w:rsidRPr="00AC244D" w14:paraId="7BBAEEE1" w14:textId="77777777" w:rsidTr="00F32F4C">
        <w:trPr>
          <w:trHeight w:val="325"/>
        </w:trPr>
        <w:tc>
          <w:tcPr>
            <w:tcW w:w="959"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152ECD96" w14:textId="77777777" w:rsidR="004F0D72" w:rsidRPr="002F7441" w:rsidRDefault="004F0D72" w:rsidP="00F32F4C">
            <w:pPr>
              <w:tabs>
                <w:tab w:val="left" w:pos="426"/>
                <w:tab w:val="left" w:pos="993"/>
              </w:tabs>
              <w:spacing w:after="0" w:line="325" w:lineRule="atLeast"/>
              <w:rPr>
                <w:rFonts w:eastAsia="Times New Roman" w:cstheme="minorHAnsi"/>
                <w:szCs w:val="36"/>
                <w:lang w:eastAsia="pl-PL"/>
              </w:rPr>
            </w:pPr>
            <w:r w:rsidRPr="002F7441">
              <w:rPr>
                <w:rFonts w:eastAsia="Times New Roman" w:cstheme="minorHAnsi"/>
                <w:b/>
                <w:bCs/>
                <w:color w:val="000000"/>
                <w:kern w:val="24"/>
                <w:lang w:val="en-GB" w:eastAsia="pl-PL"/>
              </w:rPr>
              <w:t>N-NH4</w:t>
            </w:r>
          </w:p>
        </w:tc>
        <w:tc>
          <w:tcPr>
            <w:tcW w:w="85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F91BEDF" w14:textId="77777777" w:rsidR="004F0D72" w:rsidRPr="002F7441" w:rsidRDefault="004F0D72" w:rsidP="00F32F4C">
            <w:pPr>
              <w:tabs>
                <w:tab w:val="left" w:pos="426"/>
                <w:tab w:val="left" w:pos="993"/>
              </w:tabs>
              <w:spacing w:after="0" w:line="325" w:lineRule="atLeast"/>
              <w:jc w:val="center"/>
              <w:rPr>
                <w:rFonts w:eastAsia="Times New Roman" w:cstheme="minorHAnsi"/>
                <w:szCs w:val="36"/>
                <w:lang w:eastAsia="pl-PL"/>
              </w:rPr>
            </w:pPr>
            <w:r w:rsidRPr="002F7441">
              <w:rPr>
                <w:rFonts w:eastAsia="Times New Roman" w:cstheme="minorHAnsi"/>
                <w:color w:val="000000"/>
                <w:kern w:val="24"/>
                <w:lang w:val="en-GB" w:eastAsia="pl-PL"/>
              </w:rPr>
              <w:t>0.63</w:t>
            </w:r>
          </w:p>
        </w:tc>
        <w:tc>
          <w:tcPr>
            <w:tcW w:w="708"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55544082" w14:textId="77777777" w:rsidR="004F0D72" w:rsidRPr="002F7441" w:rsidRDefault="004F0D72" w:rsidP="00F32F4C">
            <w:pPr>
              <w:tabs>
                <w:tab w:val="left" w:pos="426"/>
                <w:tab w:val="left" w:pos="993"/>
              </w:tabs>
              <w:spacing w:after="0" w:line="325" w:lineRule="atLeast"/>
              <w:jc w:val="center"/>
              <w:rPr>
                <w:rFonts w:eastAsia="Times New Roman" w:cstheme="minorHAnsi"/>
                <w:szCs w:val="36"/>
                <w:lang w:eastAsia="pl-PL"/>
              </w:rPr>
            </w:pPr>
            <w:r w:rsidRPr="002F7441">
              <w:rPr>
                <w:rFonts w:eastAsia="Times New Roman" w:cstheme="minorHAnsi"/>
                <w:color w:val="000000"/>
                <w:kern w:val="24"/>
                <w:lang w:val="en-GB" w:eastAsia="pl-PL"/>
              </w:rPr>
              <w:t>1.27</w:t>
            </w:r>
          </w:p>
        </w:tc>
        <w:tc>
          <w:tcPr>
            <w:tcW w:w="708"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1C3BB0B7" w14:textId="77777777" w:rsidR="004F0D72" w:rsidRPr="002F7441" w:rsidRDefault="004F0D72" w:rsidP="00F32F4C">
            <w:pPr>
              <w:tabs>
                <w:tab w:val="left" w:pos="426"/>
                <w:tab w:val="left" w:pos="993"/>
              </w:tabs>
              <w:spacing w:after="0" w:line="325" w:lineRule="atLeast"/>
              <w:jc w:val="center"/>
              <w:rPr>
                <w:rFonts w:eastAsia="Times New Roman" w:cstheme="minorHAnsi"/>
                <w:szCs w:val="36"/>
                <w:lang w:eastAsia="pl-PL"/>
              </w:rPr>
            </w:pPr>
            <w:r w:rsidRPr="002F7441">
              <w:rPr>
                <w:rFonts w:eastAsia="Times New Roman" w:cstheme="minorHAnsi"/>
                <w:color w:val="000000"/>
                <w:kern w:val="24"/>
                <w:lang w:val="en-GB" w:eastAsia="pl-PL"/>
              </w:rPr>
              <w:t>2.53</w:t>
            </w:r>
          </w:p>
        </w:tc>
        <w:tc>
          <w:tcPr>
            <w:tcW w:w="709"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8F72F21" w14:textId="77777777" w:rsidR="004F0D72" w:rsidRPr="002F7441" w:rsidRDefault="004F0D72" w:rsidP="00F32F4C">
            <w:pPr>
              <w:tabs>
                <w:tab w:val="left" w:pos="426"/>
                <w:tab w:val="left" w:pos="993"/>
              </w:tabs>
              <w:spacing w:after="0" w:line="325" w:lineRule="atLeast"/>
              <w:jc w:val="center"/>
              <w:rPr>
                <w:rFonts w:eastAsia="Times New Roman" w:cstheme="minorHAnsi"/>
                <w:szCs w:val="36"/>
                <w:lang w:eastAsia="pl-PL"/>
              </w:rPr>
            </w:pPr>
            <w:r w:rsidRPr="002F7441">
              <w:rPr>
                <w:rFonts w:eastAsia="Times New Roman" w:cstheme="minorHAnsi"/>
                <w:color w:val="000000"/>
                <w:kern w:val="24"/>
                <w:lang w:eastAsia="pl-PL"/>
              </w:rPr>
              <w:t>5.07</w:t>
            </w:r>
          </w:p>
        </w:tc>
        <w:tc>
          <w:tcPr>
            <w:tcW w:w="1134"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7DD7C5DF" w14:textId="77777777" w:rsidR="004F0D72" w:rsidRPr="002F7441" w:rsidRDefault="004F0D72" w:rsidP="00F32F4C">
            <w:pPr>
              <w:tabs>
                <w:tab w:val="left" w:pos="426"/>
                <w:tab w:val="left" w:pos="993"/>
              </w:tabs>
              <w:spacing w:after="0" w:line="325" w:lineRule="atLeast"/>
              <w:jc w:val="center"/>
              <w:rPr>
                <w:rFonts w:eastAsia="Times New Roman" w:cstheme="minorHAnsi"/>
                <w:szCs w:val="36"/>
                <w:lang w:eastAsia="pl-PL"/>
              </w:rPr>
            </w:pPr>
            <w:r w:rsidRPr="002F7441">
              <w:rPr>
                <w:rFonts w:eastAsia="Times New Roman" w:cstheme="minorHAnsi"/>
                <w:color w:val="000000"/>
                <w:kern w:val="24"/>
                <w:lang w:val="en-GB" w:eastAsia="pl-PL"/>
              </w:rPr>
              <w:t>1</w:t>
            </w:r>
            <w:r w:rsidRPr="002F7441">
              <w:rPr>
                <w:rFonts w:eastAsia="Times New Roman" w:cstheme="minorHAnsi"/>
                <w:color w:val="000000"/>
                <w:kern w:val="24"/>
                <w:lang w:eastAsia="pl-PL"/>
              </w:rPr>
              <w:t>.0</w:t>
            </w:r>
          </w:p>
        </w:tc>
        <w:tc>
          <w:tcPr>
            <w:tcW w:w="709" w:type="dxa"/>
            <w:vMerge/>
            <w:tcBorders>
              <w:top w:val="single" w:sz="8" w:space="0" w:color="000000"/>
              <w:left w:val="nil"/>
              <w:bottom w:val="single" w:sz="8" w:space="0" w:color="000000"/>
              <w:right w:val="nil"/>
            </w:tcBorders>
            <w:vAlign w:val="center"/>
            <w:hideMark/>
          </w:tcPr>
          <w:p w14:paraId="59CF07C0" w14:textId="77777777" w:rsidR="004F0D72" w:rsidRPr="002F7441" w:rsidRDefault="004F0D72" w:rsidP="00F32F4C">
            <w:pPr>
              <w:spacing w:after="0" w:line="240" w:lineRule="auto"/>
              <w:rPr>
                <w:rFonts w:eastAsia="Times New Roman" w:cstheme="minorHAnsi"/>
                <w:szCs w:val="36"/>
                <w:lang w:eastAsia="pl-PL"/>
              </w:rPr>
            </w:pPr>
          </w:p>
        </w:tc>
        <w:tc>
          <w:tcPr>
            <w:tcW w:w="850" w:type="dxa"/>
            <w:vMerge/>
            <w:tcBorders>
              <w:top w:val="single" w:sz="8" w:space="0" w:color="000000"/>
              <w:left w:val="nil"/>
              <w:bottom w:val="single" w:sz="8" w:space="0" w:color="000000"/>
              <w:right w:val="nil"/>
            </w:tcBorders>
            <w:vAlign w:val="center"/>
            <w:hideMark/>
          </w:tcPr>
          <w:p w14:paraId="766947CF" w14:textId="77777777" w:rsidR="004F0D72" w:rsidRPr="002F7441" w:rsidRDefault="004F0D72" w:rsidP="00F32F4C">
            <w:pPr>
              <w:spacing w:after="0" w:line="240" w:lineRule="auto"/>
              <w:rPr>
                <w:rFonts w:eastAsia="Times New Roman" w:cstheme="minorHAnsi"/>
                <w:szCs w:val="36"/>
                <w:lang w:eastAsia="pl-PL"/>
              </w:rPr>
            </w:pPr>
          </w:p>
        </w:tc>
        <w:tc>
          <w:tcPr>
            <w:tcW w:w="993" w:type="dxa"/>
            <w:vMerge/>
            <w:tcBorders>
              <w:top w:val="single" w:sz="8" w:space="0" w:color="000000"/>
              <w:left w:val="nil"/>
              <w:bottom w:val="single" w:sz="8" w:space="0" w:color="000000"/>
              <w:right w:val="nil"/>
            </w:tcBorders>
            <w:vAlign w:val="center"/>
            <w:hideMark/>
          </w:tcPr>
          <w:p w14:paraId="3FF4C217" w14:textId="77777777" w:rsidR="004F0D72" w:rsidRPr="002F7441" w:rsidRDefault="004F0D72" w:rsidP="00F32F4C">
            <w:pPr>
              <w:spacing w:after="0" w:line="240" w:lineRule="auto"/>
              <w:rPr>
                <w:rFonts w:eastAsia="Times New Roman" w:cstheme="minorHAnsi"/>
                <w:szCs w:val="36"/>
                <w:lang w:eastAsia="pl-PL"/>
              </w:rPr>
            </w:pPr>
          </w:p>
        </w:tc>
        <w:tc>
          <w:tcPr>
            <w:tcW w:w="1134" w:type="dxa"/>
            <w:vMerge/>
            <w:tcBorders>
              <w:left w:val="nil"/>
              <w:bottom w:val="single" w:sz="8" w:space="0" w:color="000000"/>
              <w:right w:val="nil"/>
            </w:tcBorders>
            <w:shd w:val="clear" w:color="auto" w:fill="auto"/>
            <w:tcMar>
              <w:top w:w="15" w:type="dxa"/>
              <w:left w:w="108" w:type="dxa"/>
              <w:bottom w:w="0" w:type="dxa"/>
              <w:right w:w="108" w:type="dxa"/>
            </w:tcMar>
            <w:vAlign w:val="center"/>
            <w:hideMark/>
          </w:tcPr>
          <w:p w14:paraId="2BC6C9CB" w14:textId="77777777" w:rsidR="004F0D72" w:rsidRPr="002F7441" w:rsidRDefault="004F0D72" w:rsidP="00F32F4C">
            <w:pPr>
              <w:tabs>
                <w:tab w:val="left" w:pos="426"/>
                <w:tab w:val="left" w:pos="993"/>
              </w:tabs>
              <w:spacing w:after="0" w:line="325" w:lineRule="atLeast"/>
              <w:jc w:val="center"/>
              <w:rPr>
                <w:rFonts w:eastAsia="Times New Roman" w:cstheme="minorHAnsi"/>
                <w:szCs w:val="36"/>
                <w:lang w:eastAsia="pl-PL"/>
              </w:rPr>
            </w:pPr>
          </w:p>
        </w:tc>
        <w:tc>
          <w:tcPr>
            <w:tcW w:w="992"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043837A2" w14:textId="77777777" w:rsidR="004F0D72" w:rsidRPr="002F7441" w:rsidRDefault="004F0D72" w:rsidP="00F32F4C">
            <w:pPr>
              <w:tabs>
                <w:tab w:val="left" w:pos="426"/>
                <w:tab w:val="left" w:pos="993"/>
              </w:tabs>
              <w:spacing w:after="0" w:line="325" w:lineRule="atLeast"/>
              <w:jc w:val="center"/>
              <w:rPr>
                <w:rFonts w:eastAsia="Times New Roman" w:cstheme="minorHAnsi"/>
                <w:szCs w:val="36"/>
                <w:lang w:eastAsia="pl-PL"/>
              </w:rPr>
            </w:pPr>
            <w:r w:rsidRPr="002F7441">
              <w:rPr>
                <w:rFonts w:eastAsia="Times New Roman" w:cstheme="minorHAnsi"/>
                <w:color w:val="000000"/>
                <w:kern w:val="24"/>
                <w:lang w:eastAsia="pl-PL"/>
              </w:rPr>
              <w:t>- </w:t>
            </w:r>
          </w:p>
        </w:tc>
      </w:tr>
      <w:tr w:rsidR="004F0D72" w:rsidRPr="00AC244D" w14:paraId="070BCD10" w14:textId="77777777" w:rsidTr="00F32F4C">
        <w:trPr>
          <w:trHeight w:val="650"/>
        </w:trPr>
        <w:tc>
          <w:tcPr>
            <w:tcW w:w="959"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4D6B344F" w14:textId="77777777" w:rsidR="004F0D72" w:rsidRPr="002F7441" w:rsidRDefault="004F0D72" w:rsidP="00F32F4C">
            <w:pPr>
              <w:tabs>
                <w:tab w:val="left" w:pos="426"/>
                <w:tab w:val="left" w:pos="993"/>
              </w:tabs>
              <w:spacing w:after="0"/>
              <w:rPr>
                <w:rFonts w:eastAsia="Times New Roman" w:cstheme="minorHAnsi"/>
                <w:szCs w:val="36"/>
                <w:lang w:eastAsia="pl-PL"/>
              </w:rPr>
            </w:pPr>
            <w:r w:rsidRPr="002F7441">
              <w:rPr>
                <w:rFonts w:eastAsia="Times New Roman" w:cstheme="minorHAnsi"/>
                <w:b/>
                <w:bCs/>
                <w:color w:val="000000"/>
                <w:kern w:val="24"/>
                <w:lang w:val="en-GB" w:eastAsia="pl-PL"/>
              </w:rPr>
              <w:t>P-PO4</w:t>
            </w:r>
          </w:p>
        </w:tc>
        <w:tc>
          <w:tcPr>
            <w:tcW w:w="85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4C29D3B" w14:textId="77777777" w:rsidR="004F0D72" w:rsidRPr="002F7441" w:rsidRDefault="004F0D72" w:rsidP="00F32F4C">
            <w:pPr>
              <w:tabs>
                <w:tab w:val="left" w:pos="426"/>
                <w:tab w:val="left" w:pos="993"/>
              </w:tabs>
              <w:spacing w:after="0"/>
              <w:jc w:val="center"/>
              <w:rPr>
                <w:rFonts w:eastAsia="Times New Roman" w:cstheme="minorHAnsi"/>
                <w:szCs w:val="36"/>
                <w:lang w:eastAsia="pl-PL"/>
              </w:rPr>
            </w:pPr>
            <w:r w:rsidRPr="002F7441">
              <w:rPr>
                <w:rFonts w:eastAsia="Times New Roman" w:cstheme="minorHAnsi"/>
                <w:color w:val="000000"/>
                <w:kern w:val="24"/>
                <w:lang w:val="en-GB" w:eastAsia="pl-PL"/>
              </w:rPr>
              <w:t>0.11</w:t>
            </w:r>
          </w:p>
        </w:tc>
        <w:tc>
          <w:tcPr>
            <w:tcW w:w="708"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5916B4CD" w14:textId="77777777" w:rsidR="004F0D72" w:rsidRPr="002F7441" w:rsidRDefault="004F0D72" w:rsidP="00F32F4C">
            <w:pPr>
              <w:tabs>
                <w:tab w:val="left" w:pos="426"/>
                <w:tab w:val="left" w:pos="993"/>
              </w:tabs>
              <w:spacing w:after="0"/>
              <w:jc w:val="center"/>
              <w:rPr>
                <w:rFonts w:eastAsia="Times New Roman" w:cstheme="minorHAnsi"/>
                <w:szCs w:val="36"/>
                <w:lang w:eastAsia="pl-PL"/>
              </w:rPr>
            </w:pPr>
            <w:r w:rsidRPr="002F7441">
              <w:rPr>
                <w:rFonts w:eastAsia="Times New Roman" w:cstheme="minorHAnsi"/>
                <w:color w:val="000000"/>
                <w:kern w:val="24"/>
                <w:lang w:val="en-GB" w:eastAsia="pl-PL"/>
              </w:rPr>
              <w:t>0.21</w:t>
            </w:r>
          </w:p>
        </w:tc>
        <w:tc>
          <w:tcPr>
            <w:tcW w:w="708"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57230A8B" w14:textId="77777777" w:rsidR="004F0D72" w:rsidRPr="002F7441" w:rsidRDefault="004F0D72" w:rsidP="00F32F4C">
            <w:pPr>
              <w:tabs>
                <w:tab w:val="left" w:pos="426"/>
                <w:tab w:val="left" w:pos="993"/>
              </w:tabs>
              <w:spacing w:after="0"/>
              <w:jc w:val="center"/>
              <w:rPr>
                <w:rFonts w:eastAsia="Times New Roman" w:cstheme="minorHAnsi"/>
                <w:szCs w:val="36"/>
                <w:lang w:eastAsia="pl-PL"/>
              </w:rPr>
            </w:pPr>
            <w:r w:rsidRPr="002F7441">
              <w:rPr>
                <w:rFonts w:eastAsia="Times New Roman" w:cstheme="minorHAnsi"/>
                <w:color w:val="000000"/>
                <w:kern w:val="24"/>
                <w:lang w:val="en-GB" w:eastAsia="pl-PL"/>
              </w:rPr>
              <w:t>0.43</w:t>
            </w:r>
          </w:p>
        </w:tc>
        <w:tc>
          <w:tcPr>
            <w:tcW w:w="709"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765849D0" w14:textId="77777777" w:rsidR="004F0D72" w:rsidRPr="002F7441" w:rsidRDefault="004F0D72" w:rsidP="00F32F4C">
            <w:pPr>
              <w:tabs>
                <w:tab w:val="left" w:pos="426"/>
                <w:tab w:val="left" w:pos="993"/>
              </w:tabs>
              <w:spacing w:after="0"/>
              <w:jc w:val="center"/>
              <w:rPr>
                <w:rFonts w:eastAsia="Times New Roman" w:cstheme="minorHAnsi"/>
                <w:szCs w:val="36"/>
                <w:lang w:eastAsia="pl-PL"/>
              </w:rPr>
            </w:pPr>
            <w:r w:rsidRPr="002F7441">
              <w:rPr>
                <w:rFonts w:eastAsia="Times New Roman" w:cstheme="minorHAnsi"/>
                <w:color w:val="000000"/>
                <w:kern w:val="24"/>
                <w:lang w:eastAsia="pl-PL"/>
              </w:rPr>
              <w:t>0.85</w:t>
            </w:r>
          </w:p>
        </w:tc>
        <w:tc>
          <w:tcPr>
            <w:tcW w:w="1134"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414B02B" w14:textId="77777777" w:rsidR="004F0D72" w:rsidRPr="002F7441" w:rsidRDefault="004F0D72" w:rsidP="00F32F4C">
            <w:pPr>
              <w:tabs>
                <w:tab w:val="left" w:pos="426"/>
                <w:tab w:val="left" w:pos="993"/>
              </w:tabs>
              <w:spacing w:after="0"/>
              <w:jc w:val="center"/>
              <w:rPr>
                <w:rFonts w:eastAsia="Times New Roman" w:cstheme="minorHAnsi"/>
                <w:szCs w:val="36"/>
                <w:lang w:eastAsia="pl-PL"/>
              </w:rPr>
            </w:pPr>
            <w:r w:rsidRPr="002F7441">
              <w:rPr>
                <w:rFonts w:eastAsia="Times New Roman" w:cstheme="minorHAnsi"/>
                <w:color w:val="000000"/>
                <w:kern w:val="24"/>
                <w:lang w:val="en-GB" w:eastAsia="pl-PL"/>
              </w:rPr>
              <w:t>1</w:t>
            </w:r>
            <w:r w:rsidRPr="002F7441">
              <w:rPr>
                <w:rFonts w:eastAsia="Times New Roman" w:cstheme="minorHAnsi"/>
                <w:color w:val="000000"/>
                <w:kern w:val="24"/>
                <w:lang w:eastAsia="pl-PL"/>
              </w:rPr>
              <w:t>.0</w:t>
            </w:r>
          </w:p>
        </w:tc>
        <w:tc>
          <w:tcPr>
            <w:tcW w:w="709"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18B721FD" w14:textId="77777777" w:rsidR="004F0D72" w:rsidRPr="002F7441" w:rsidRDefault="004F0D72" w:rsidP="00F32F4C">
            <w:pPr>
              <w:tabs>
                <w:tab w:val="left" w:pos="426"/>
                <w:tab w:val="left" w:pos="993"/>
              </w:tabs>
              <w:spacing w:after="0"/>
              <w:jc w:val="center"/>
              <w:rPr>
                <w:rFonts w:eastAsia="Times New Roman" w:cstheme="minorHAnsi"/>
                <w:szCs w:val="36"/>
                <w:lang w:eastAsia="pl-PL"/>
              </w:rPr>
            </w:pPr>
            <w:r w:rsidRPr="002F7441">
              <w:rPr>
                <w:rFonts w:eastAsia="Times New Roman" w:cstheme="minorHAnsi"/>
                <w:color w:val="000000"/>
                <w:kern w:val="24"/>
                <w:lang w:val="en-GB" w:eastAsia="pl-PL"/>
              </w:rPr>
              <w:t>0</w:t>
            </w:r>
            <w:r w:rsidRPr="002F7441">
              <w:rPr>
                <w:rFonts w:eastAsia="Times New Roman" w:cstheme="minorHAnsi"/>
                <w:color w:val="000000"/>
                <w:kern w:val="24"/>
                <w:lang w:eastAsia="pl-PL"/>
              </w:rPr>
              <w:t>.</w:t>
            </w:r>
            <w:r w:rsidRPr="002F7441">
              <w:rPr>
                <w:rFonts w:eastAsia="Times New Roman" w:cstheme="minorHAnsi"/>
                <w:color w:val="000000"/>
                <w:kern w:val="24"/>
                <w:lang w:val="en-GB" w:eastAsia="pl-PL"/>
              </w:rPr>
              <w:t xml:space="preserve">6 </w:t>
            </w:r>
          </w:p>
        </w:tc>
        <w:tc>
          <w:tcPr>
            <w:tcW w:w="850"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449F9B83" w14:textId="77777777" w:rsidR="004F0D72" w:rsidRPr="002F7441" w:rsidRDefault="004F0D72" w:rsidP="00F32F4C">
            <w:pPr>
              <w:tabs>
                <w:tab w:val="left" w:pos="426"/>
                <w:tab w:val="left" w:pos="993"/>
              </w:tabs>
              <w:spacing w:after="0"/>
              <w:jc w:val="center"/>
              <w:rPr>
                <w:rFonts w:eastAsia="Times New Roman" w:cstheme="minorHAnsi"/>
                <w:szCs w:val="36"/>
                <w:lang w:eastAsia="pl-PL"/>
              </w:rPr>
            </w:pPr>
            <w:r w:rsidRPr="002F7441">
              <w:rPr>
                <w:rFonts w:eastAsia="Times New Roman" w:cstheme="minorHAnsi"/>
                <w:color w:val="000000"/>
                <w:kern w:val="24"/>
                <w:lang w:val="en-GB" w:eastAsia="pl-PL"/>
              </w:rPr>
              <w:t>0</w:t>
            </w:r>
            <w:r w:rsidRPr="002F7441">
              <w:rPr>
                <w:rFonts w:eastAsia="Times New Roman" w:cstheme="minorHAnsi"/>
                <w:color w:val="000000"/>
                <w:kern w:val="24"/>
                <w:lang w:eastAsia="pl-PL"/>
              </w:rPr>
              <w:t>.</w:t>
            </w:r>
            <w:r w:rsidRPr="002F7441">
              <w:rPr>
                <w:rFonts w:eastAsia="Times New Roman" w:cstheme="minorHAnsi"/>
                <w:color w:val="000000"/>
                <w:kern w:val="24"/>
                <w:lang w:val="en-GB" w:eastAsia="pl-PL"/>
              </w:rPr>
              <w:t>1</w:t>
            </w:r>
          </w:p>
        </w:tc>
        <w:tc>
          <w:tcPr>
            <w:tcW w:w="993"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A1DB7B3" w14:textId="77777777" w:rsidR="004F0D72" w:rsidRPr="002F7441" w:rsidRDefault="004F0D72" w:rsidP="00F32F4C">
            <w:pPr>
              <w:tabs>
                <w:tab w:val="left" w:pos="426"/>
                <w:tab w:val="left" w:pos="993"/>
              </w:tabs>
              <w:spacing w:after="0"/>
              <w:jc w:val="center"/>
              <w:rPr>
                <w:rFonts w:eastAsia="Times New Roman" w:cstheme="minorHAnsi"/>
                <w:szCs w:val="36"/>
                <w:lang w:eastAsia="pl-PL"/>
              </w:rPr>
            </w:pPr>
            <w:r w:rsidRPr="002F7441">
              <w:rPr>
                <w:rFonts w:eastAsia="Times New Roman" w:cstheme="minorHAnsi"/>
                <w:color w:val="000000"/>
                <w:kern w:val="24"/>
                <w:lang w:val="en-GB" w:eastAsia="pl-PL"/>
              </w:rPr>
              <w:t>0</w:t>
            </w:r>
            <w:r w:rsidRPr="002F7441">
              <w:rPr>
                <w:rFonts w:eastAsia="Times New Roman" w:cstheme="minorHAnsi"/>
                <w:color w:val="000000"/>
                <w:kern w:val="24"/>
                <w:lang w:eastAsia="pl-PL"/>
              </w:rPr>
              <w:t>.</w:t>
            </w:r>
            <w:r w:rsidRPr="002F7441">
              <w:rPr>
                <w:rFonts w:eastAsia="Times New Roman" w:cstheme="minorHAnsi"/>
                <w:color w:val="000000"/>
                <w:kern w:val="24"/>
                <w:lang w:val="en-GB" w:eastAsia="pl-PL"/>
              </w:rPr>
              <w:t>25</w:t>
            </w:r>
          </w:p>
        </w:tc>
        <w:tc>
          <w:tcPr>
            <w:tcW w:w="1134"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11D0FF7" w14:textId="77777777" w:rsidR="004F0D72" w:rsidRPr="002F7441" w:rsidRDefault="004F0D72" w:rsidP="00F32F4C">
            <w:pPr>
              <w:tabs>
                <w:tab w:val="left" w:pos="426"/>
                <w:tab w:val="left" w:pos="993"/>
              </w:tabs>
              <w:spacing w:after="0"/>
              <w:jc w:val="center"/>
              <w:rPr>
                <w:rFonts w:eastAsia="Times New Roman" w:cstheme="minorHAnsi"/>
                <w:szCs w:val="36"/>
                <w:lang w:eastAsia="pl-PL"/>
              </w:rPr>
            </w:pPr>
            <w:r w:rsidRPr="002F7441">
              <w:rPr>
                <w:rFonts w:eastAsia="Times New Roman" w:cstheme="minorHAnsi"/>
                <w:color w:val="000000"/>
                <w:kern w:val="24"/>
                <w:lang w:eastAsia="pl-PL"/>
              </w:rPr>
              <w:t>0.13</w:t>
            </w:r>
          </w:p>
        </w:tc>
        <w:tc>
          <w:tcPr>
            <w:tcW w:w="992"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72FA4A93" w14:textId="77777777" w:rsidR="004F0D72" w:rsidRPr="002F7441" w:rsidRDefault="004F0D72" w:rsidP="00F32F4C">
            <w:pPr>
              <w:tabs>
                <w:tab w:val="left" w:pos="426"/>
                <w:tab w:val="left" w:pos="993"/>
              </w:tabs>
              <w:spacing w:after="0"/>
              <w:jc w:val="center"/>
              <w:rPr>
                <w:rFonts w:eastAsia="Times New Roman" w:cstheme="minorHAnsi"/>
                <w:szCs w:val="36"/>
                <w:lang w:eastAsia="pl-PL"/>
              </w:rPr>
            </w:pPr>
            <w:r w:rsidRPr="002F7441">
              <w:rPr>
                <w:rFonts w:eastAsia="Times New Roman" w:cstheme="minorHAnsi"/>
                <w:color w:val="000000"/>
                <w:kern w:val="24"/>
                <w:lang w:eastAsia="pl-PL"/>
              </w:rPr>
              <w:t>0.2</w:t>
            </w:r>
          </w:p>
        </w:tc>
      </w:tr>
    </w:tbl>
    <w:p w14:paraId="6AC68267" w14:textId="77777777" w:rsidR="004F0D72" w:rsidRPr="00E049BB" w:rsidRDefault="004F0D72" w:rsidP="004F0D72">
      <w:pPr>
        <w:spacing w:after="0"/>
        <w:rPr>
          <w:rFonts w:cstheme="minorHAnsi"/>
          <w:sz w:val="20"/>
          <w:szCs w:val="20"/>
          <w:lang w:val="en-US"/>
        </w:rPr>
      </w:pPr>
    </w:p>
    <w:p w14:paraId="5C858DF8" w14:textId="77777777" w:rsidR="004F0D72" w:rsidRPr="00E049BB" w:rsidRDefault="004F0D72" w:rsidP="004F0D72">
      <w:pPr>
        <w:spacing w:after="0"/>
        <w:rPr>
          <w:rFonts w:cstheme="minorHAnsi"/>
          <w:sz w:val="20"/>
          <w:szCs w:val="20"/>
          <w:lang w:val="en-US"/>
        </w:rPr>
      </w:pPr>
      <w:r w:rsidRPr="00E049BB">
        <w:rPr>
          <w:rFonts w:cstheme="minorHAnsi"/>
          <w:sz w:val="20"/>
          <w:szCs w:val="20"/>
          <w:lang w:val="en-GB"/>
        </w:rPr>
        <w:t xml:space="preserve">Data expressed in </w:t>
      </w:r>
      <w:r w:rsidRPr="00E049BB">
        <w:rPr>
          <w:rFonts w:cstheme="minorHAnsi"/>
          <w:sz w:val="20"/>
          <w:szCs w:val="20"/>
          <w:lang w:val="en-US"/>
        </w:rPr>
        <w:t>concentration (</w:t>
      </w:r>
      <w:proofErr w:type="spellStart"/>
      <w:r w:rsidRPr="00E049BB">
        <w:rPr>
          <w:rFonts w:cstheme="minorHAnsi"/>
          <w:sz w:val="20"/>
          <w:szCs w:val="20"/>
          <w:lang w:val="en-GB"/>
        </w:rPr>
        <w:t>mM</w:t>
      </w:r>
      <w:proofErr w:type="spellEnd"/>
      <w:r w:rsidRPr="00E049BB">
        <w:rPr>
          <w:rFonts w:cstheme="minorHAnsi"/>
          <w:sz w:val="20"/>
          <w:szCs w:val="20"/>
          <w:lang w:val="en-US"/>
        </w:rPr>
        <w:t>)</w:t>
      </w:r>
      <w:r w:rsidRPr="00E049BB">
        <w:rPr>
          <w:rFonts w:cstheme="minorHAnsi"/>
          <w:sz w:val="20"/>
          <w:szCs w:val="20"/>
          <w:lang w:val="en-GB"/>
        </w:rPr>
        <w:t xml:space="preserve"> units to allow comparison to Hoagland formula used for hydroponic cultures.</w:t>
      </w:r>
    </w:p>
    <w:p w14:paraId="3753DF2C" w14:textId="77777777" w:rsidR="00CD163C" w:rsidRPr="00BE3969" w:rsidRDefault="00CD163C" w:rsidP="00EE2586">
      <w:pPr>
        <w:spacing w:after="120" w:line="360" w:lineRule="auto"/>
        <w:jc w:val="both"/>
        <w:rPr>
          <w:rFonts w:cstheme="minorHAnsi"/>
          <w:sz w:val="24"/>
          <w:szCs w:val="24"/>
          <w:lang w:val="en-GB"/>
        </w:rPr>
      </w:pPr>
      <w:bookmarkStart w:id="0" w:name="_GoBack"/>
      <w:bookmarkEnd w:id="0"/>
    </w:p>
    <w:p w14:paraId="27A5598D" w14:textId="77777777" w:rsidR="00CD163C" w:rsidRPr="00BE3969" w:rsidRDefault="00CD163C" w:rsidP="00EE2586">
      <w:pPr>
        <w:spacing w:after="120" w:line="360" w:lineRule="auto"/>
        <w:jc w:val="both"/>
        <w:rPr>
          <w:rFonts w:cstheme="minorHAnsi"/>
          <w:b/>
          <w:sz w:val="24"/>
          <w:szCs w:val="24"/>
          <w:lang w:val="en-GB"/>
        </w:rPr>
      </w:pPr>
      <w:r w:rsidRPr="00BE3969">
        <w:rPr>
          <w:rFonts w:cstheme="minorHAnsi"/>
          <w:b/>
          <w:sz w:val="24"/>
          <w:szCs w:val="24"/>
          <w:lang w:val="en-GB"/>
        </w:rPr>
        <w:t>References</w:t>
      </w:r>
    </w:p>
    <w:p w14:paraId="7D303C30" w14:textId="77777777" w:rsidR="004F0D72" w:rsidRDefault="004F0D72" w:rsidP="004B26E0">
      <w:pPr>
        <w:spacing w:after="0" w:line="240" w:lineRule="auto"/>
        <w:ind w:left="360" w:hanging="360"/>
        <w:jc w:val="both"/>
        <w:rPr>
          <w:rFonts w:cstheme="minorHAnsi"/>
          <w:noProof/>
          <w:sz w:val="24"/>
          <w:szCs w:val="24"/>
          <w:lang w:val="en-GB"/>
        </w:rPr>
      </w:pPr>
      <w:bookmarkStart w:id="1" w:name="_ENREF_6"/>
      <w:bookmarkStart w:id="2" w:name="_ENREF_23"/>
      <w:r w:rsidRPr="004F0D72">
        <w:rPr>
          <w:rFonts w:cstheme="minorHAnsi"/>
          <w:noProof/>
          <w:sz w:val="24"/>
          <w:szCs w:val="24"/>
          <w:lang w:val="en-GB"/>
        </w:rPr>
        <w:t>Augé, R. M., Toler, H. D., Sams, C. E., Nasim, G. (2008). Hydraulic conductance and water potential gradients in squash leaves showing mycorrhiza-induced increases in stomatal conductance. Mycorrhiza. 18, 115-121. doi: 10.1007/s00572-008-0162-9</w:t>
      </w:r>
    </w:p>
    <w:p w14:paraId="0D694367" w14:textId="1D4BC499" w:rsidR="004B26E0" w:rsidRDefault="004B26E0" w:rsidP="004B26E0">
      <w:pPr>
        <w:spacing w:after="0" w:line="240" w:lineRule="auto"/>
        <w:ind w:left="360" w:hanging="360"/>
        <w:jc w:val="both"/>
        <w:rPr>
          <w:rFonts w:cstheme="minorHAnsi"/>
          <w:noProof/>
          <w:sz w:val="24"/>
          <w:szCs w:val="24"/>
          <w:lang w:val="en-GB"/>
        </w:rPr>
      </w:pPr>
      <w:r w:rsidRPr="00BE3969">
        <w:rPr>
          <w:rFonts w:cstheme="minorHAnsi"/>
          <w:noProof/>
          <w:sz w:val="24"/>
          <w:szCs w:val="24"/>
          <w:lang w:val="en-GB"/>
        </w:rPr>
        <w:t xml:space="preserve">Balzergue, C., Chabaud, M., Barker, D. G., Bécard, G., Rochange, S. F. (2013). High phosphate reduces host ability to develop arbuscular mycorrhizal symbiosis without affecting root calcium spiking responses to the fungus. </w:t>
      </w:r>
      <w:r w:rsidRPr="00BE3969">
        <w:rPr>
          <w:rFonts w:cstheme="minorHAnsi"/>
          <w:i/>
          <w:noProof/>
          <w:sz w:val="24"/>
          <w:szCs w:val="24"/>
          <w:lang w:val="en-GB"/>
        </w:rPr>
        <w:t>Front. Plant Sci.</w:t>
      </w:r>
      <w:r w:rsidRPr="00BE3969">
        <w:rPr>
          <w:rFonts w:cstheme="minorHAnsi"/>
          <w:noProof/>
          <w:sz w:val="24"/>
          <w:szCs w:val="24"/>
          <w:lang w:val="en-GB"/>
        </w:rPr>
        <w:t xml:space="preserve"> 4</w:t>
      </w:r>
      <w:r w:rsidRPr="00BE3969">
        <w:rPr>
          <w:rFonts w:cstheme="minorHAnsi"/>
          <w:b/>
          <w:noProof/>
          <w:sz w:val="24"/>
          <w:szCs w:val="24"/>
          <w:lang w:val="en-GB"/>
        </w:rPr>
        <w:t>,</w:t>
      </w:r>
      <w:r w:rsidRPr="00BE3969">
        <w:rPr>
          <w:rFonts w:cstheme="minorHAnsi"/>
          <w:noProof/>
          <w:sz w:val="24"/>
          <w:szCs w:val="24"/>
          <w:lang w:val="en-GB"/>
        </w:rPr>
        <w:t xml:space="preserve"> 426.</w:t>
      </w:r>
      <w:bookmarkEnd w:id="1"/>
      <w:r w:rsidR="004F0D72">
        <w:rPr>
          <w:rFonts w:cstheme="minorHAnsi"/>
          <w:noProof/>
          <w:sz w:val="24"/>
          <w:szCs w:val="24"/>
          <w:lang w:val="en-GB"/>
        </w:rPr>
        <w:t xml:space="preserve"> </w:t>
      </w:r>
      <w:r w:rsidR="004F0D72" w:rsidRPr="004F0D72">
        <w:rPr>
          <w:rFonts w:cstheme="minorHAnsi"/>
          <w:noProof/>
          <w:sz w:val="24"/>
          <w:szCs w:val="24"/>
          <w:lang w:val="en-GB"/>
        </w:rPr>
        <w:t>doi: 10.3389/fpls.2013.00426</w:t>
      </w:r>
    </w:p>
    <w:p w14:paraId="3E0E5AC3" w14:textId="169FCB4F" w:rsidR="004F0D72" w:rsidRPr="00BE3969" w:rsidRDefault="004F0D72" w:rsidP="004B26E0">
      <w:pPr>
        <w:spacing w:after="0" w:line="240" w:lineRule="auto"/>
        <w:ind w:left="360" w:hanging="360"/>
        <w:jc w:val="both"/>
        <w:rPr>
          <w:rFonts w:cstheme="minorHAnsi"/>
          <w:noProof/>
          <w:sz w:val="24"/>
          <w:szCs w:val="24"/>
          <w:lang w:val="en-GB"/>
        </w:rPr>
      </w:pPr>
      <w:r w:rsidRPr="004F0D72">
        <w:rPr>
          <w:rFonts w:cstheme="minorHAnsi"/>
          <w:noProof/>
          <w:sz w:val="24"/>
          <w:szCs w:val="24"/>
          <w:lang w:val="en-GB"/>
        </w:rPr>
        <w:t>Bárzana, G., Aroca, R., Paz, J. A., Chaumont, F., Martinez-Ballesta, M. C., Carvajal, M. Ruiz-Lozano, J. M. (2012). Arbuscular mycorrhizal symbiosis increases relative apoplastic water flow in roots of the host plant under both well-watered and drought stress conditions. Ann Bot, 109, 1009-1017. doi: 10.1093/aob/mcs007</w:t>
      </w:r>
    </w:p>
    <w:p w14:paraId="4162F343" w14:textId="77777777" w:rsidR="004F0D72" w:rsidRDefault="004F0D72" w:rsidP="004B26E0">
      <w:pPr>
        <w:spacing w:after="0" w:line="240" w:lineRule="auto"/>
        <w:ind w:left="360" w:hanging="360"/>
        <w:jc w:val="both"/>
        <w:rPr>
          <w:rFonts w:cstheme="minorHAnsi"/>
          <w:noProof/>
          <w:sz w:val="24"/>
          <w:szCs w:val="24"/>
          <w:lang w:val="en-GB"/>
        </w:rPr>
      </w:pPr>
      <w:bookmarkStart w:id="3" w:name="_ENREF_15"/>
      <w:r w:rsidRPr="004F0D72">
        <w:rPr>
          <w:rFonts w:cstheme="minorHAnsi"/>
          <w:noProof/>
          <w:sz w:val="24"/>
          <w:szCs w:val="24"/>
          <w:lang w:val="en-GB"/>
        </w:rPr>
        <w:t>Bonneau, L., Huguet, S., Wipf, D., Pauly, N., and Truong, H.-N. (2013). Combined phosphate and nitrogen limitation generates a nutrient stress transcriptome favorable for arbuscular mycorrhizal symbiosis in Medicago truncatula. New Phytol. 199, 188–202. doi: 10.1111/nph.12234</w:t>
      </w:r>
    </w:p>
    <w:p w14:paraId="5D1451EA" w14:textId="152A7986" w:rsidR="004B26E0" w:rsidRPr="00BE3969" w:rsidRDefault="004B26E0" w:rsidP="004B26E0">
      <w:pPr>
        <w:spacing w:after="0" w:line="240" w:lineRule="auto"/>
        <w:ind w:left="360" w:hanging="360"/>
        <w:jc w:val="both"/>
        <w:rPr>
          <w:rFonts w:cstheme="minorHAnsi"/>
          <w:noProof/>
          <w:sz w:val="24"/>
          <w:szCs w:val="24"/>
          <w:lang w:val="en-GB"/>
        </w:rPr>
      </w:pPr>
      <w:r w:rsidRPr="00BE3969">
        <w:rPr>
          <w:rFonts w:cstheme="minorHAnsi"/>
          <w:noProof/>
          <w:sz w:val="24"/>
          <w:szCs w:val="24"/>
          <w:lang w:val="en-GB"/>
        </w:rPr>
        <w:lastRenderedPageBreak/>
        <w:t xml:space="preserve">Breuillin, F., Schramm, J., Hajirezaei, M., Ahkami, A., Favre, P., Druege, U., Hause, B., Bucher, M., Kretzschmar, T., Bossolini, E. (2010). Phosphate systemically inhibits development of arbuscular mycorrhiza in Petunia hybrida and represses genes involved in mycorrhizal functioning. </w:t>
      </w:r>
      <w:r w:rsidRPr="00BE3969">
        <w:rPr>
          <w:rFonts w:cstheme="minorHAnsi"/>
          <w:i/>
          <w:noProof/>
          <w:sz w:val="24"/>
          <w:szCs w:val="24"/>
          <w:lang w:val="en-GB"/>
        </w:rPr>
        <w:t>Plant J</w:t>
      </w:r>
      <w:r w:rsidRPr="00BE3969">
        <w:rPr>
          <w:rFonts w:cstheme="minorHAnsi"/>
          <w:noProof/>
          <w:sz w:val="24"/>
          <w:szCs w:val="24"/>
          <w:lang w:val="en-GB"/>
        </w:rPr>
        <w:t>. 64</w:t>
      </w:r>
      <w:r w:rsidRPr="00BE3969">
        <w:rPr>
          <w:rFonts w:cstheme="minorHAnsi"/>
          <w:b/>
          <w:noProof/>
          <w:sz w:val="24"/>
          <w:szCs w:val="24"/>
          <w:lang w:val="en-GB"/>
        </w:rPr>
        <w:t>,</w:t>
      </w:r>
      <w:r w:rsidRPr="00BE3969">
        <w:rPr>
          <w:rFonts w:cstheme="minorHAnsi"/>
          <w:noProof/>
          <w:sz w:val="24"/>
          <w:szCs w:val="24"/>
          <w:lang w:val="en-GB"/>
        </w:rPr>
        <w:t xml:space="preserve"> 1002-1017.</w:t>
      </w:r>
      <w:bookmarkEnd w:id="3"/>
      <w:r w:rsidR="004F0D72">
        <w:rPr>
          <w:rFonts w:cstheme="minorHAnsi"/>
          <w:noProof/>
          <w:sz w:val="24"/>
          <w:szCs w:val="24"/>
          <w:lang w:val="en-GB"/>
        </w:rPr>
        <w:t xml:space="preserve"> </w:t>
      </w:r>
      <w:r w:rsidR="004F0D72" w:rsidRPr="004F0D72">
        <w:rPr>
          <w:rFonts w:cstheme="minorHAnsi"/>
          <w:noProof/>
          <w:sz w:val="24"/>
          <w:szCs w:val="24"/>
          <w:lang w:val="en-GB"/>
        </w:rPr>
        <w:t>doi: 10.1111/j.1365-313X.2010.04385.x</w:t>
      </w:r>
    </w:p>
    <w:p w14:paraId="6F9759A4" w14:textId="77777777" w:rsidR="00CD163C" w:rsidRPr="00BE3969" w:rsidRDefault="00CD163C" w:rsidP="00CD163C">
      <w:pPr>
        <w:spacing w:after="0" w:line="240" w:lineRule="auto"/>
        <w:ind w:left="360" w:hanging="360"/>
        <w:jc w:val="both"/>
        <w:rPr>
          <w:rFonts w:cstheme="minorHAnsi"/>
          <w:noProof/>
          <w:sz w:val="24"/>
          <w:szCs w:val="24"/>
          <w:lang w:val="en-GB"/>
        </w:rPr>
      </w:pPr>
      <w:r w:rsidRPr="00BE3969">
        <w:rPr>
          <w:rFonts w:cstheme="minorHAnsi"/>
          <w:noProof/>
          <w:sz w:val="24"/>
          <w:szCs w:val="24"/>
          <w:lang w:val="en-GB"/>
        </w:rPr>
        <w:t xml:space="preserve">Hoagland, D. R. and Arnon, D. I. (1950). The water-culture method for growing plants without soil. </w:t>
      </w:r>
      <w:r w:rsidRPr="00BE3969">
        <w:rPr>
          <w:rFonts w:cstheme="minorHAnsi"/>
          <w:i/>
          <w:noProof/>
          <w:sz w:val="24"/>
          <w:szCs w:val="24"/>
          <w:lang w:val="en-GB"/>
        </w:rPr>
        <w:t>Circ. – Calif. Agric. Exp. Stn</w:t>
      </w:r>
      <w:r w:rsidRPr="00BE3969">
        <w:rPr>
          <w:rFonts w:cstheme="minorHAnsi"/>
          <w:noProof/>
          <w:sz w:val="24"/>
          <w:szCs w:val="24"/>
          <w:lang w:val="en-GB"/>
        </w:rPr>
        <w:t>. 347.</w:t>
      </w:r>
      <w:bookmarkEnd w:id="2"/>
    </w:p>
    <w:p w14:paraId="1C56EE67" w14:textId="611C9774" w:rsidR="00147DC3" w:rsidRPr="00BE3969" w:rsidRDefault="00147DC3" w:rsidP="00CD163C">
      <w:pPr>
        <w:spacing w:after="0" w:line="240" w:lineRule="auto"/>
        <w:ind w:left="360" w:hanging="360"/>
        <w:jc w:val="both"/>
        <w:rPr>
          <w:rFonts w:cstheme="minorHAnsi"/>
          <w:noProof/>
          <w:sz w:val="24"/>
          <w:szCs w:val="24"/>
          <w:lang w:val="en-GB"/>
        </w:rPr>
      </w:pPr>
      <w:r w:rsidRPr="00BE3969">
        <w:rPr>
          <w:rFonts w:cstheme="minorHAnsi"/>
          <w:noProof/>
          <w:sz w:val="24"/>
          <w:szCs w:val="24"/>
          <w:lang w:val="en-GB"/>
        </w:rPr>
        <w:t xml:space="preserve">Hodge, A. and Storer, K. (2015). Arbuscular mycorrhiza and nitrogen: implications for individual plants through to ecosystems. </w:t>
      </w:r>
      <w:r w:rsidRPr="00BE3969">
        <w:rPr>
          <w:rFonts w:cstheme="minorHAnsi"/>
          <w:i/>
          <w:noProof/>
          <w:sz w:val="24"/>
          <w:szCs w:val="24"/>
          <w:lang w:val="en-GB"/>
        </w:rPr>
        <w:t>Plant Soil</w:t>
      </w:r>
      <w:r w:rsidRPr="00BE3969">
        <w:rPr>
          <w:rFonts w:cstheme="minorHAnsi"/>
          <w:noProof/>
          <w:sz w:val="24"/>
          <w:szCs w:val="24"/>
          <w:lang w:val="en-GB"/>
        </w:rPr>
        <w:t>. 386</w:t>
      </w:r>
      <w:r w:rsidRPr="00BE3969">
        <w:rPr>
          <w:rFonts w:cstheme="minorHAnsi"/>
          <w:b/>
          <w:noProof/>
          <w:sz w:val="24"/>
          <w:szCs w:val="24"/>
          <w:lang w:val="en-GB"/>
        </w:rPr>
        <w:t>,</w:t>
      </w:r>
      <w:r w:rsidRPr="00BE3969">
        <w:rPr>
          <w:rFonts w:cstheme="minorHAnsi"/>
          <w:noProof/>
          <w:sz w:val="24"/>
          <w:szCs w:val="24"/>
          <w:lang w:val="en-GB"/>
        </w:rPr>
        <w:t xml:space="preserve"> 1-19</w:t>
      </w:r>
      <w:r w:rsidR="00D54BCA">
        <w:rPr>
          <w:rFonts w:cstheme="minorHAnsi"/>
          <w:noProof/>
          <w:sz w:val="24"/>
          <w:szCs w:val="24"/>
          <w:lang w:val="en-GB"/>
        </w:rPr>
        <w:t xml:space="preserve">. </w:t>
      </w:r>
      <w:r w:rsidR="00D54BCA" w:rsidRPr="00D54BCA">
        <w:rPr>
          <w:rFonts w:cstheme="minorHAnsi"/>
          <w:noProof/>
          <w:sz w:val="24"/>
          <w:szCs w:val="24"/>
          <w:lang w:val="en-GB"/>
        </w:rPr>
        <w:t>doi: 10.1007/s11104-014-2162-1</w:t>
      </w:r>
    </w:p>
    <w:p w14:paraId="4E04A8C7" w14:textId="6A1FD79F" w:rsidR="004B26E0" w:rsidRPr="00BE3969" w:rsidRDefault="004B26E0" w:rsidP="004B26E0">
      <w:pPr>
        <w:spacing w:after="0" w:line="240" w:lineRule="auto"/>
        <w:ind w:left="360" w:hanging="360"/>
        <w:jc w:val="both"/>
        <w:rPr>
          <w:rFonts w:cstheme="minorHAnsi"/>
          <w:noProof/>
          <w:sz w:val="24"/>
          <w:szCs w:val="24"/>
          <w:lang w:val="en-GB"/>
        </w:rPr>
      </w:pPr>
      <w:bookmarkStart w:id="4" w:name="_ENREF_26"/>
      <w:r w:rsidRPr="00BE3969">
        <w:rPr>
          <w:rFonts w:cstheme="minorHAnsi"/>
          <w:noProof/>
          <w:sz w:val="24"/>
          <w:szCs w:val="24"/>
          <w:lang w:val="en-GB"/>
        </w:rPr>
        <w:t xml:space="preserve">IJdo, M., Cranenbrouck, S., Declerck, S. (2011). Methods for large-scale production of AM fungi: past, present, and future. </w:t>
      </w:r>
      <w:r w:rsidRPr="00BE3969">
        <w:rPr>
          <w:rFonts w:cstheme="minorHAnsi"/>
          <w:i/>
          <w:noProof/>
          <w:sz w:val="24"/>
          <w:szCs w:val="24"/>
          <w:lang w:val="en-GB"/>
        </w:rPr>
        <w:t>Mycorrhiza</w:t>
      </w:r>
      <w:r w:rsidRPr="00BE3969">
        <w:rPr>
          <w:rFonts w:cstheme="minorHAnsi"/>
          <w:noProof/>
          <w:sz w:val="24"/>
          <w:szCs w:val="24"/>
          <w:lang w:val="en-GB"/>
        </w:rPr>
        <w:t>. 21</w:t>
      </w:r>
      <w:r w:rsidRPr="00BE3969">
        <w:rPr>
          <w:rFonts w:cstheme="minorHAnsi"/>
          <w:b/>
          <w:noProof/>
          <w:sz w:val="24"/>
          <w:szCs w:val="24"/>
          <w:lang w:val="en-GB"/>
        </w:rPr>
        <w:t>,</w:t>
      </w:r>
      <w:r w:rsidRPr="00BE3969">
        <w:rPr>
          <w:rFonts w:cstheme="minorHAnsi"/>
          <w:noProof/>
          <w:sz w:val="24"/>
          <w:szCs w:val="24"/>
          <w:lang w:val="en-GB"/>
        </w:rPr>
        <w:t xml:space="preserve"> 1-16.</w:t>
      </w:r>
      <w:bookmarkEnd w:id="4"/>
      <w:r w:rsidR="00D54BCA">
        <w:rPr>
          <w:rFonts w:cstheme="minorHAnsi"/>
          <w:noProof/>
          <w:sz w:val="24"/>
          <w:szCs w:val="24"/>
          <w:lang w:val="en-GB"/>
        </w:rPr>
        <w:t xml:space="preserve"> doi: 1</w:t>
      </w:r>
      <w:r w:rsidR="00D54BCA" w:rsidRPr="00D54BCA">
        <w:rPr>
          <w:rFonts w:cstheme="minorHAnsi"/>
          <w:noProof/>
          <w:sz w:val="24"/>
          <w:szCs w:val="24"/>
          <w:lang w:val="en-GB"/>
        </w:rPr>
        <w:t>0.1007/s00572-010-0337-z</w:t>
      </w:r>
    </w:p>
    <w:p w14:paraId="23CBBF73" w14:textId="758474C8" w:rsidR="00147DC3" w:rsidRPr="00BE3969" w:rsidRDefault="00147DC3" w:rsidP="00147DC3">
      <w:pPr>
        <w:spacing w:after="0" w:line="240" w:lineRule="auto"/>
        <w:ind w:left="360" w:hanging="360"/>
        <w:jc w:val="both"/>
        <w:rPr>
          <w:rFonts w:cstheme="minorHAnsi"/>
          <w:noProof/>
          <w:sz w:val="24"/>
          <w:szCs w:val="24"/>
          <w:lang w:val="en-GB"/>
        </w:rPr>
      </w:pPr>
      <w:bookmarkStart w:id="5" w:name="_ENREF_29"/>
      <w:r w:rsidRPr="00BE3969">
        <w:rPr>
          <w:rFonts w:cstheme="minorHAnsi"/>
          <w:noProof/>
          <w:sz w:val="24"/>
          <w:szCs w:val="24"/>
          <w:lang w:val="en-GB"/>
        </w:rPr>
        <w:t xml:space="preserve">Lanfranco, L., Fiorilli, V., Gutjahr, C. (2018). Partner communication and role of nutrients in the arbuscular mycorrhizal symbiosis. </w:t>
      </w:r>
      <w:r w:rsidRPr="00BE3969">
        <w:rPr>
          <w:rFonts w:cstheme="minorHAnsi"/>
          <w:i/>
          <w:noProof/>
          <w:sz w:val="24"/>
          <w:szCs w:val="24"/>
          <w:lang w:val="en-GB"/>
        </w:rPr>
        <w:t>New Phytol</w:t>
      </w:r>
      <w:r w:rsidRPr="00BE3969">
        <w:rPr>
          <w:rFonts w:cstheme="minorHAnsi"/>
          <w:noProof/>
          <w:sz w:val="24"/>
          <w:szCs w:val="24"/>
          <w:lang w:val="en-GB"/>
        </w:rPr>
        <w:t>.</w:t>
      </w:r>
      <w:bookmarkEnd w:id="5"/>
      <w:r w:rsidRPr="00BE3969">
        <w:rPr>
          <w:rFonts w:cstheme="minorHAnsi"/>
          <w:noProof/>
          <w:sz w:val="24"/>
          <w:szCs w:val="24"/>
          <w:lang w:val="en-GB"/>
        </w:rPr>
        <w:t>, 220, 1031-1046.</w:t>
      </w:r>
      <w:r w:rsidR="00D54BCA">
        <w:rPr>
          <w:rFonts w:cstheme="minorHAnsi"/>
          <w:noProof/>
          <w:sz w:val="24"/>
          <w:szCs w:val="24"/>
          <w:lang w:val="en-GB"/>
        </w:rPr>
        <w:t xml:space="preserve"> </w:t>
      </w:r>
      <w:r w:rsidR="00D54BCA" w:rsidRPr="00D54BCA">
        <w:rPr>
          <w:rFonts w:cstheme="minorHAnsi"/>
          <w:noProof/>
          <w:sz w:val="24"/>
          <w:szCs w:val="24"/>
          <w:lang w:val="en-GB"/>
        </w:rPr>
        <w:t>doi: 10.1111/nph.15230</w:t>
      </w:r>
    </w:p>
    <w:p w14:paraId="5A7C5A7E" w14:textId="761DF0E0" w:rsidR="00CD163C" w:rsidRDefault="00147DC3" w:rsidP="0057474B">
      <w:pPr>
        <w:spacing w:after="0" w:line="240" w:lineRule="auto"/>
        <w:ind w:left="360" w:hanging="360"/>
        <w:jc w:val="both"/>
        <w:rPr>
          <w:rFonts w:cstheme="minorHAnsi"/>
          <w:noProof/>
          <w:sz w:val="24"/>
          <w:szCs w:val="24"/>
          <w:lang w:val="en-GB"/>
        </w:rPr>
      </w:pPr>
      <w:bookmarkStart w:id="6" w:name="_ENREF_35"/>
      <w:r w:rsidRPr="00BE3969">
        <w:rPr>
          <w:rFonts w:cstheme="minorHAnsi"/>
          <w:noProof/>
          <w:sz w:val="24"/>
          <w:szCs w:val="24"/>
          <w:lang w:val="en-GB"/>
        </w:rPr>
        <w:t xml:space="preserve">Miller, M. H. (2000). Arbuscular mycorrhizae and the phosphorus nutrition of maize: a review of Guelph studies. </w:t>
      </w:r>
      <w:r w:rsidRPr="00BE3969">
        <w:rPr>
          <w:rFonts w:cstheme="minorHAnsi"/>
          <w:i/>
          <w:noProof/>
          <w:sz w:val="24"/>
          <w:szCs w:val="24"/>
          <w:lang w:val="en-GB"/>
        </w:rPr>
        <w:t>Can. J. Plant Sci</w:t>
      </w:r>
      <w:r w:rsidRPr="00BE3969">
        <w:rPr>
          <w:rFonts w:cstheme="minorHAnsi"/>
          <w:noProof/>
          <w:sz w:val="24"/>
          <w:szCs w:val="24"/>
          <w:lang w:val="en-GB"/>
        </w:rPr>
        <w:t>. 80</w:t>
      </w:r>
      <w:r w:rsidRPr="00BE3969">
        <w:rPr>
          <w:rFonts w:cstheme="minorHAnsi"/>
          <w:b/>
          <w:noProof/>
          <w:sz w:val="24"/>
          <w:szCs w:val="24"/>
          <w:lang w:val="en-GB"/>
        </w:rPr>
        <w:t>,</w:t>
      </w:r>
      <w:r w:rsidRPr="00BE3969">
        <w:rPr>
          <w:rFonts w:cstheme="minorHAnsi"/>
          <w:noProof/>
          <w:sz w:val="24"/>
          <w:szCs w:val="24"/>
          <w:lang w:val="en-GB"/>
        </w:rPr>
        <w:t xml:space="preserve"> 47-52.</w:t>
      </w:r>
      <w:bookmarkEnd w:id="6"/>
      <w:r w:rsidR="00D54BCA">
        <w:rPr>
          <w:rFonts w:cstheme="minorHAnsi"/>
          <w:noProof/>
          <w:sz w:val="24"/>
          <w:szCs w:val="24"/>
          <w:lang w:val="en-GB"/>
        </w:rPr>
        <w:t xml:space="preserve"> </w:t>
      </w:r>
      <w:r w:rsidR="00D54BCA" w:rsidRPr="00D54BCA">
        <w:rPr>
          <w:rFonts w:cstheme="minorHAnsi"/>
          <w:noProof/>
          <w:sz w:val="24"/>
          <w:szCs w:val="24"/>
          <w:lang w:val="en-GB"/>
        </w:rPr>
        <w:t>doi: 10.4141/P98-130</w:t>
      </w:r>
    </w:p>
    <w:p w14:paraId="70BAC838" w14:textId="69D8793C" w:rsidR="004F0D72" w:rsidRPr="00BE3969" w:rsidRDefault="004F0D72" w:rsidP="0057474B">
      <w:pPr>
        <w:spacing w:after="0" w:line="240" w:lineRule="auto"/>
        <w:ind w:left="360" w:hanging="360"/>
        <w:jc w:val="both"/>
        <w:rPr>
          <w:rFonts w:cstheme="minorHAnsi"/>
          <w:noProof/>
          <w:sz w:val="24"/>
          <w:szCs w:val="24"/>
          <w:lang w:val="en-GB"/>
        </w:rPr>
      </w:pPr>
      <w:r w:rsidRPr="004F0D72">
        <w:rPr>
          <w:rFonts w:cstheme="minorHAnsi"/>
          <w:noProof/>
          <w:sz w:val="24"/>
          <w:szCs w:val="24"/>
          <w:lang w:val="en-GB"/>
        </w:rPr>
        <w:t>Moche, M., Stremlau, S., Hecht, L., Göbel, C., Feussner, I., Stöhr, C. (2010). Effect of nitrate supply and mycorrhizal inoculation on characteristics of tobacco root plasma membrane vesicles. Planta, 231, 425. doi: 10.1007/s00425-009-1057-5</w:t>
      </w:r>
    </w:p>
    <w:sectPr w:rsidR="004F0D72" w:rsidRPr="00BE3969" w:rsidSect="004F0D72">
      <w:footerReference w:type="default" r:id="rId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D18E6" w14:textId="77777777" w:rsidR="0003170B" w:rsidRDefault="0003170B" w:rsidP="00E75D46">
      <w:pPr>
        <w:spacing w:after="0" w:line="240" w:lineRule="auto"/>
      </w:pPr>
      <w:r>
        <w:separator/>
      </w:r>
    </w:p>
  </w:endnote>
  <w:endnote w:type="continuationSeparator" w:id="0">
    <w:p w14:paraId="2DF1DE18" w14:textId="77777777" w:rsidR="0003170B" w:rsidRDefault="0003170B" w:rsidP="00E7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770263"/>
      <w:docPartObj>
        <w:docPartGallery w:val="Page Numbers (Bottom of Page)"/>
        <w:docPartUnique/>
      </w:docPartObj>
    </w:sdtPr>
    <w:sdtEndPr/>
    <w:sdtContent>
      <w:p w14:paraId="50FF4179" w14:textId="77777777" w:rsidR="00987541" w:rsidRDefault="00E75D46">
        <w:pPr>
          <w:pStyle w:val="Stopka"/>
          <w:jc w:val="right"/>
        </w:pPr>
        <w:r>
          <w:fldChar w:fldCharType="begin"/>
        </w:r>
        <w:r>
          <w:instrText>PAGE   \* MERGEFORMAT</w:instrText>
        </w:r>
        <w:r>
          <w:fldChar w:fldCharType="separate"/>
        </w:r>
        <w:r w:rsidR="000D5E8E">
          <w:rPr>
            <w:noProof/>
          </w:rPr>
          <w:t>1</w:t>
        </w:r>
        <w:r>
          <w:fldChar w:fldCharType="end"/>
        </w:r>
      </w:p>
    </w:sdtContent>
  </w:sdt>
  <w:p w14:paraId="6B7F95CC" w14:textId="77777777" w:rsidR="00987541" w:rsidRDefault="000317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FB290" w14:textId="77777777" w:rsidR="0003170B" w:rsidRDefault="0003170B" w:rsidP="00E75D46">
      <w:pPr>
        <w:spacing w:after="0" w:line="240" w:lineRule="auto"/>
      </w:pPr>
      <w:r>
        <w:separator/>
      </w:r>
    </w:p>
  </w:footnote>
  <w:footnote w:type="continuationSeparator" w:id="0">
    <w:p w14:paraId="18116E42" w14:textId="77777777" w:rsidR="0003170B" w:rsidRDefault="0003170B" w:rsidP="00E75D46">
      <w:pPr>
        <w:spacing w:after="0" w:line="240" w:lineRule="auto"/>
      </w:pPr>
      <w:r>
        <w:continuationSeparator/>
      </w:r>
    </w:p>
  </w:footnote>
  <w:footnote w:id="1">
    <w:p w14:paraId="1B47CF38" w14:textId="77777777" w:rsidR="00E75D46" w:rsidRPr="0093108D" w:rsidRDefault="00E75D46">
      <w:pPr>
        <w:pStyle w:val="Tekstprzypisudolnego"/>
        <w:rPr>
          <w:lang w:val="en-US"/>
        </w:rPr>
      </w:pPr>
      <w:r>
        <w:rPr>
          <w:rStyle w:val="Odwoanieprzypisudolnego"/>
        </w:rPr>
        <w:footnoteRef/>
      </w:r>
      <w:r w:rsidRPr="0093108D">
        <w:rPr>
          <w:lang w:val="en-US"/>
        </w:rPr>
        <w:t xml:space="preserve"> </w:t>
      </w:r>
      <w:hyperlink r:id="rId1" w:history="1">
        <w:r w:rsidRPr="0093108D">
          <w:rPr>
            <w:rStyle w:val="Hipercze"/>
            <w:lang w:val="en-US"/>
          </w:rPr>
          <w:t>https://www.yara.pl/odzywianie-roslin/kukurydza/maize-fertilizer-programs/</w:t>
        </w:r>
      </w:hyperlink>
      <w:r w:rsidRPr="0093108D">
        <w:rPr>
          <w:lang w:val="en-US"/>
        </w:rPr>
        <w:t xml:space="preserve"> </w:t>
      </w:r>
    </w:p>
  </w:footnote>
  <w:footnote w:id="2">
    <w:p w14:paraId="2CE54E45" w14:textId="77777777" w:rsidR="00E75D46" w:rsidRPr="005470D6" w:rsidRDefault="00E75D46">
      <w:pPr>
        <w:pStyle w:val="Tekstprzypisudolnego"/>
        <w:rPr>
          <w:lang w:val="en-US"/>
        </w:rPr>
      </w:pPr>
      <w:r>
        <w:rPr>
          <w:rStyle w:val="Odwoanieprzypisudolnego"/>
        </w:rPr>
        <w:footnoteRef/>
      </w:r>
      <w:r w:rsidRPr="005470D6">
        <w:rPr>
          <w:lang w:val="en-US"/>
        </w:rPr>
        <w:t xml:space="preserve"> </w:t>
      </w:r>
      <w:r w:rsidR="0003170B">
        <w:fldChar w:fldCharType="begin"/>
      </w:r>
      <w:r w:rsidR="0003170B" w:rsidRPr="0008507F">
        <w:rPr>
          <w:lang w:val="en-US"/>
        </w:rPr>
        <w:instrText xml:space="preserve"> HYPERLINK "http://www.hrsmolice.pl/images/kukurydza/karty/opoka.pdf" </w:instrText>
      </w:r>
      <w:r w:rsidR="0003170B">
        <w:fldChar w:fldCharType="separate"/>
      </w:r>
      <w:r w:rsidRPr="005470D6">
        <w:rPr>
          <w:rStyle w:val="Hipercze"/>
          <w:lang w:val="en-US"/>
        </w:rPr>
        <w:t>http://www.hrsmolice.pl/images/kukurydza/karty/opoka.pdf</w:t>
      </w:r>
      <w:r w:rsidR="0003170B">
        <w:rPr>
          <w:rStyle w:val="Hipercze"/>
          <w:lang w:val="en-US"/>
        </w:rPr>
        <w:fldChar w:fldCharType="end"/>
      </w:r>
      <w:r w:rsidRPr="005470D6">
        <w:rPr>
          <w:lang w:val="en-US"/>
        </w:rPr>
        <w:t xml:space="preserve"> </w:t>
      </w:r>
    </w:p>
  </w:footnote>
  <w:footnote w:id="3">
    <w:p w14:paraId="73F86602" w14:textId="77777777" w:rsidR="00E75D46" w:rsidRPr="005470D6" w:rsidRDefault="00E75D46" w:rsidP="004368D0">
      <w:pPr>
        <w:pStyle w:val="Tekstprzypisudolnego"/>
        <w:ind w:left="142" w:hanging="142"/>
        <w:rPr>
          <w:lang w:val="en-US"/>
        </w:rPr>
      </w:pPr>
      <w:r>
        <w:rPr>
          <w:rStyle w:val="Odwoanieprzypisudolnego"/>
        </w:rPr>
        <w:footnoteRef/>
      </w:r>
      <w:r w:rsidRPr="005470D6">
        <w:rPr>
          <w:lang w:val="en-US"/>
        </w:rPr>
        <w:t xml:space="preserve"> </w:t>
      </w:r>
      <w:r w:rsidR="0003170B">
        <w:fldChar w:fldCharType="begin"/>
      </w:r>
      <w:r w:rsidR="0003170B" w:rsidRPr="0008507F">
        <w:rPr>
          <w:lang w:val="en-US"/>
        </w:rPr>
        <w:instrText xml:space="preserve"> HYPERLINK "https://www.ior.poznan.pl/plik,</w:instrText>
      </w:r>
      <w:r w:rsidR="0003170B" w:rsidRPr="0008507F">
        <w:rPr>
          <w:lang w:val="en-US"/>
        </w:rPr>
        <w:instrText xml:space="preserve">1428,integrowana-produkcja-kukurydzy-pdf.pdf" </w:instrText>
      </w:r>
      <w:r w:rsidR="0003170B">
        <w:fldChar w:fldCharType="separate"/>
      </w:r>
      <w:r w:rsidRPr="005470D6">
        <w:rPr>
          <w:rStyle w:val="Hipercze"/>
          <w:lang w:val="en-US"/>
        </w:rPr>
        <w:t>https://www.ior.poznan.pl/plik,1428,integrowana-produkcja-kukurydzy-pdf.pdf</w:t>
      </w:r>
      <w:r w:rsidR="0003170B">
        <w:rPr>
          <w:rStyle w:val="Hipercze"/>
          <w:lang w:val="en-US"/>
        </w:rPr>
        <w:fldChar w:fldCharType="end"/>
      </w:r>
      <w:r w:rsidRPr="005470D6">
        <w:rPr>
          <w:lang w:val="en-US"/>
        </w:rPr>
        <w:t xml:space="preserve"> </w:t>
      </w:r>
      <w:hyperlink r:id="rId2" w:history="1">
        <w:r w:rsidRPr="005470D6">
          <w:rPr>
            <w:rStyle w:val="Hipercze"/>
            <w:lang w:val="en-US"/>
          </w:rPr>
          <w:t>https://www.yara.co.uk/crop-nutrition/forage-maize/increasing-forage-maize-yield/</w:t>
        </w:r>
      </w:hyperlink>
      <w:r w:rsidRPr="005470D6">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C6B28"/>
    <w:multiLevelType w:val="hybridMultilevel"/>
    <w:tmpl w:val="6E5E8FD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219C04CB"/>
    <w:multiLevelType w:val="hybridMultilevel"/>
    <w:tmpl w:val="6C0EC0A4"/>
    <w:lvl w:ilvl="0" w:tplc="0415000F">
      <w:start w:val="1"/>
      <w:numFmt w:val="decimal"/>
      <w:lvlText w:val="%1."/>
      <w:lvlJc w:val="left"/>
      <w:pPr>
        <w:ind w:left="720" w:hanging="360"/>
      </w:pPr>
      <w:rPr>
        <w:rFonts w:hint="default"/>
      </w:rPr>
    </w:lvl>
    <w:lvl w:ilvl="1" w:tplc="71B83566">
      <w:start w:val="1"/>
      <w:numFmt w:val="lowerLetter"/>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537545"/>
    <w:multiLevelType w:val="hybridMultilevel"/>
    <w:tmpl w:val="179C4312"/>
    <w:lvl w:ilvl="0" w:tplc="0415000F">
      <w:start w:val="1"/>
      <w:numFmt w:val="decimal"/>
      <w:lvlText w:val="%1."/>
      <w:lvlJc w:val="left"/>
      <w:pPr>
        <w:ind w:left="720" w:hanging="360"/>
      </w:pPr>
      <w:rPr>
        <w:rFonts w:hint="default"/>
      </w:rPr>
    </w:lvl>
    <w:lvl w:ilvl="1" w:tplc="71B83566">
      <w:start w:val="1"/>
      <w:numFmt w:val="lowerLetter"/>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C07AD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DCB6D6E"/>
    <w:multiLevelType w:val="hybridMultilevel"/>
    <w:tmpl w:val="BAC247FE"/>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6E1743FD"/>
    <w:multiLevelType w:val="hybridMultilevel"/>
    <w:tmpl w:val="331E6658"/>
    <w:lvl w:ilvl="0" w:tplc="36A4AE7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E852553"/>
    <w:multiLevelType w:val="hybridMultilevel"/>
    <w:tmpl w:val="DC180200"/>
    <w:lvl w:ilvl="0" w:tplc="5E9AC55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0E13AC2"/>
    <w:multiLevelType w:val="hybridMultilevel"/>
    <w:tmpl w:val="B82AC8A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7"/>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75D46"/>
    <w:rsid w:val="0001243A"/>
    <w:rsid w:val="0003170B"/>
    <w:rsid w:val="000408EB"/>
    <w:rsid w:val="000429FF"/>
    <w:rsid w:val="0008507F"/>
    <w:rsid w:val="000A5CB4"/>
    <w:rsid w:val="000A6426"/>
    <w:rsid w:val="000B382B"/>
    <w:rsid w:val="000D5E8E"/>
    <w:rsid w:val="00140AAE"/>
    <w:rsid w:val="00141C43"/>
    <w:rsid w:val="001428CA"/>
    <w:rsid w:val="00146FAF"/>
    <w:rsid w:val="00147DC3"/>
    <w:rsid w:val="001567C4"/>
    <w:rsid w:val="001838A6"/>
    <w:rsid w:val="001A3E14"/>
    <w:rsid w:val="001A4CA3"/>
    <w:rsid w:val="001D3EBD"/>
    <w:rsid w:val="00220EA2"/>
    <w:rsid w:val="002331CF"/>
    <w:rsid w:val="0026774C"/>
    <w:rsid w:val="0027197C"/>
    <w:rsid w:val="0027738A"/>
    <w:rsid w:val="00290936"/>
    <w:rsid w:val="0029707A"/>
    <w:rsid w:val="002A7303"/>
    <w:rsid w:val="002B79F4"/>
    <w:rsid w:val="002B7AA7"/>
    <w:rsid w:val="002D0B00"/>
    <w:rsid w:val="002D154E"/>
    <w:rsid w:val="002E3C08"/>
    <w:rsid w:val="002F5243"/>
    <w:rsid w:val="002F7991"/>
    <w:rsid w:val="00343F9F"/>
    <w:rsid w:val="003472E8"/>
    <w:rsid w:val="00367A2A"/>
    <w:rsid w:val="003863CC"/>
    <w:rsid w:val="00394641"/>
    <w:rsid w:val="003A7D97"/>
    <w:rsid w:val="003C50EE"/>
    <w:rsid w:val="003F098B"/>
    <w:rsid w:val="00410BA9"/>
    <w:rsid w:val="004125A0"/>
    <w:rsid w:val="004368D0"/>
    <w:rsid w:val="00452EAE"/>
    <w:rsid w:val="00476FA8"/>
    <w:rsid w:val="00497FDA"/>
    <w:rsid w:val="004B26E0"/>
    <w:rsid w:val="004D0388"/>
    <w:rsid w:val="004E00DF"/>
    <w:rsid w:val="004E2297"/>
    <w:rsid w:val="004F0D72"/>
    <w:rsid w:val="00500AA3"/>
    <w:rsid w:val="005056F0"/>
    <w:rsid w:val="00522F0B"/>
    <w:rsid w:val="0053031D"/>
    <w:rsid w:val="00563B38"/>
    <w:rsid w:val="0057182C"/>
    <w:rsid w:val="0057474B"/>
    <w:rsid w:val="00591051"/>
    <w:rsid w:val="005933B3"/>
    <w:rsid w:val="005A6EBF"/>
    <w:rsid w:val="005B7F6F"/>
    <w:rsid w:val="005D4955"/>
    <w:rsid w:val="005E4A63"/>
    <w:rsid w:val="00605AD5"/>
    <w:rsid w:val="00605E6C"/>
    <w:rsid w:val="00632D50"/>
    <w:rsid w:val="00661E61"/>
    <w:rsid w:val="00696D5D"/>
    <w:rsid w:val="00697183"/>
    <w:rsid w:val="006B7553"/>
    <w:rsid w:val="006E4624"/>
    <w:rsid w:val="006F6AE6"/>
    <w:rsid w:val="00716129"/>
    <w:rsid w:val="00792D4B"/>
    <w:rsid w:val="007A0D63"/>
    <w:rsid w:val="007B3130"/>
    <w:rsid w:val="007B62A9"/>
    <w:rsid w:val="007D1853"/>
    <w:rsid w:val="007D2796"/>
    <w:rsid w:val="007F087E"/>
    <w:rsid w:val="0080059A"/>
    <w:rsid w:val="00821F59"/>
    <w:rsid w:val="00826161"/>
    <w:rsid w:val="00850EDF"/>
    <w:rsid w:val="008520AA"/>
    <w:rsid w:val="0086371E"/>
    <w:rsid w:val="00887B08"/>
    <w:rsid w:val="008B05AD"/>
    <w:rsid w:val="008F2803"/>
    <w:rsid w:val="009844DF"/>
    <w:rsid w:val="009C5407"/>
    <w:rsid w:val="009C57DC"/>
    <w:rsid w:val="009D0AB8"/>
    <w:rsid w:val="009F2CE7"/>
    <w:rsid w:val="00A12E5F"/>
    <w:rsid w:val="00A14BB0"/>
    <w:rsid w:val="00A221E1"/>
    <w:rsid w:val="00A22D51"/>
    <w:rsid w:val="00A27689"/>
    <w:rsid w:val="00A33EFD"/>
    <w:rsid w:val="00A61B51"/>
    <w:rsid w:val="00A65223"/>
    <w:rsid w:val="00A857BD"/>
    <w:rsid w:val="00AA1E0F"/>
    <w:rsid w:val="00AC18C0"/>
    <w:rsid w:val="00AE5B3C"/>
    <w:rsid w:val="00B2027F"/>
    <w:rsid w:val="00B51C0F"/>
    <w:rsid w:val="00B80FBF"/>
    <w:rsid w:val="00B81104"/>
    <w:rsid w:val="00BC289E"/>
    <w:rsid w:val="00BE22ED"/>
    <w:rsid w:val="00BE3969"/>
    <w:rsid w:val="00C0365B"/>
    <w:rsid w:val="00C507D3"/>
    <w:rsid w:val="00C53EC9"/>
    <w:rsid w:val="00C8693B"/>
    <w:rsid w:val="00C96154"/>
    <w:rsid w:val="00CC19D3"/>
    <w:rsid w:val="00CC3EE4"/>
    <w:rsid w:val="00CD107F"/>
    <w:rsid w:val="00CD163C"/>
    <w:rsid w:val="00CE4EAA"/>
    <w:rsid w:val="00D07168"/>
    <w:rsid w:val="00D303F0"/>
    <w:rsid w:val="00D43A69"/>
    <w:rsid w:val="00D44A7A"/>
    <w:rsid w:val="00D54BCA"/>
    <w:rsid w:val="00DB4E42"/>
    <w:rsid w:val="00DE3477"/>
    <w:rsid w:val="00DF57FE"/>
    <w:rsid w:val="00E13CFA"/>
    <w:rsid w:val="00E70E95"/>
    <w:rsid w:val="00E75D46"/>
    <w:rsid w:val="00EB19E0"/>
    <w:rsid w:val="00F00B1C"/>
    <w:rsid w:val="00F044B6"/>
    <w:rsid w:val="00F051B4"/>
    <w:rsid w:val="00F05C87"/>
    <w:rsid w:val="00F35DB5"/>
    <w:rsid w:val="00F54FE2"/>
    <w:rsid w:val="00F779E4"/>
    <w:rsid w:val="00F934B1"/>
    <w:rsid w:val="00FB2BF0"/>
    <w:rsid w:val="00FF2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A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5D46"/>
  </w:style>
  <w:style w:type="paragraph" w:styleId="Nagwek3">
    <w:name w:val="heading 3"/>
    <w:basedOn w:val="Normalny"/>
    <w:next w:val="Normalny"/>
    <w:link w:val="Nagwek3Znak"/>
    <w:uiPriority w:val="9"/>
    <w:unhideWhenUsed/>
    <w:qFormat/>
    <w:rsid w:val="00E75D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E75D46"/>
    <w:rPr>
      <w:rFonts w:asciiTheme="majorHAnsi" w:eastAsiaTheme="majorEastAsia" w:hAnsiTheme="majorHAnsi" w:cstheme="majorBidi"/>
      <w:b/>
      <w:bCs/>
      <w:color w:val="4F81BD" w:themeColor="accent1"/>
    </w:rPr>
  </w:style>
  <w:style w:type="paragraph" w:styleId="Akapitzlist">
    <w:name w:val="List Paragraph"/>
    <w:basedOn w:val="Normalny"/>
    <w:uiPriority w:val="34"/>
    <w:qFormat/>
    <w:rsid w:val="00E75D46"/>
    <w:pPr>
      <w:ind w:left="720"/>
      <w:contextualSpacing/>
    </w:pPr>
  </w:style>
  <w:style w:type="paragraph" w:styleId="NormalnyWeb">
    <w:name w:val="Normal (Web)"/>
    <w:basedOn w:val="Normalny"/>
    <w:uiPriority w:val="99"/>
    <w:unhideWhenUsed/>
    <w:rsid w:val="00E75D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75D46"/>
    <w:rPr>
      <w:sz w:val="16"/>
      <w:szCs w:val="16"/>
    </w:rPr>
  </w:style>
  <w:style w:type="paragraph" w:styleId="Tekstkomentarza">
    <w:name w:val="annotation text"/>
    <w:basedOn w:val="Normalny"/>
    <w:link w:val="TekstkomentarzaZnak"/>
    <w:uiPriority w:val="99"/>
    <w:semiHidden/>
    <w:unhideWhenUsed/>
    <w:rsid w:val="00E75D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5D46"/>
    <w:rPr>
      <w:sz w:val="20"/>
      <w:szCs w:val="20"/>
    </w:rPr>
  </w:style>
  <w:style w:type="paragraph" w:styleId="Tematkomentarza">
    <w:name w:val="annotation subject"/>
    <w:basedOn w:val="Tekstkomentarza"/>
    <w:next w:val="Tekstkomentarza"/>
    <w:link w:val="TematkomentarzaZnak"/>
    <w:uiPriority w:val="99"/>
    <w:semiHidden/>
    <w:unhideWhenUsed/>
    <w:rsid w:val="00E75D46"/>
    <w:rPr>
      <w:b/>
      <w:bCs/>
    </w:rPr>
  </w:style>
  <w:style w:type="character" w:customStyle="1" w:styleId="TematkomentarzaZnak">
    <w:name w:val="Temat komentarza Znak"/>
    <w:basedOn w:val="TekstkomentarzaZnak"/>
    <w:link w:val="Tematkomentarza"/>
    <w:uiPriority w:val="99"/>
    <w:semiHidden/>
    <w:rsid w:val="00E75D46"/>
    <w:rPr>
      <w:b/>
      <w:bCs/>
      <w:sz w:val="20"/>
      <w:szCs w:val="20"/>
    </w:rPr>
  </w:style>
  <w:style w:type="paragraph" w:styleId="Tekstdymka">
    <w:name w:val="Balloon Text"/>
    <w:basedOn w:val="Normalny"/>
    <w:link w:val="TekstdymkaZnak"/>
    <w:uiPriority w:val="99"/>
    <w:semiHidden/>
    <w:unhideWhenUsed/>
    <w:rsid w:val="00E75D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5D46"/>
    <w:rPr>
      <w:rFonts w:ascii="Tahoma" w:hAnsi="Tahoma" w:cs="Tahoma"/>
      <w:sz w:val="16"/>
      <w:szCs w:val="16"/>
    </w:rPr>
  </w:style>
  <w:style w:type="paragraph" w:styleId="Nagwek">
    <w:name w:val="header"/>
    <w:basedOn w:val="Normalny"/>
    <w:link w:val="NagwekZnak"/>
    <w:uiPriority w:val="99"/>
    <w:unhideWhenUsed/>
    <w:rsid w:val="00E75D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5D46"/>
  </w:style>
  <w:style w:type="paragraph" w:styleId="Stopka">
    <w:name w:val="footer"/>
    <w:basedOn w:val="Normalny"/>
    <w:link w:val="StopkaZnak"/>
    <w:uiPriority w:val="99"/>
    <w:unhideWhenUsed/>
    <w:rsid w:val="00E75D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5D46"/>
  </w:style>
  <w:style w:type="character" w:styleId="Hipercze">
    <w:name w:val="Hyperlink"/>
    <w:basedOn w:val="Domylnaczcionkaakapitu"/>
    <w:uiPriority w:val="99"/>
    <w:unhideWhenUsed/>
    <w:rsid w:val="00E75D46"/>
    <w:rPr>
      <w:color w:val="0000FF" w:themeColor="hyperlink"/>
      <w:u w:val="single"/>
    </w:rPr>
  </w:style>
  <w:style w:type="character" w:styleId="Uwydatnienie">
    <w:name w:val="Emphasis"/>
    <w:basedOn w:val="Domylnaczcionkaakapitu"/>
    <w:uiPriority w:val="20"/>
    <w:qFormat/>
    <w:rsid w:val="00E75D46"/>
    <w:rPr>
      <w:i/>
      <w:iCs/>
    </w:rPr>
  </w:style>
  <w:style w:type="paragraph" w:styleId="Tekstprzypisudolnego">
    <w:name w:val="footnote text"/>
    <w:basedOn w:val="Normalny"/>
    <w:link w:val="TekstprzypisudolnegoZnak"/>
    <w:uiPriority w:val="99"/>
    <w:semiHidden/>
    <w:unhideWhenUsed/>
    <w:rsid w:val="00E75D4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5D46"/>
    <w:rPr>
      <w:sz w:val="20"/>
      <w:szCs w:val="20"/>
    </w:rPr>
  </w:style>
  <w:style w:type="character" w:styleId="Odwoanieprzypisudolnego">
    <w:name w:val="footnote reference"/>
    <w:basedOn w:val="Domylnaczcionkaakapitu"/>
    <w:uiPriority w:val="99"/>
    <w:semiHidden/>
    <w:unhideWhenUsed/>
    <w:rsid w:val="00E75D46"/>
    <w:rPr>
      <w:vertAlign w:val="superscript"/>
    </w:rPr>
  </w:style>
  <w:style w:type="paragraph" w:customStyle="1" w:styleId="Default">
    <w:name w:val="Default"/>
    <w:rsid w:val="00E75D46"/>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Numerwiersza">
    <w:name w:val="line number"/>
    <w:basedOn w:val="Domylnaczcionkaakapitu"/>
    <w:uiPriority w:val="99"/>
    <w:semiHidden/>
    <w:unhideWhenUsed/>
    <w:rsid w:val="00E75D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5D46"/>
  </w:style>
  <w:style w:type="paragraph" w:styleId="Nagwek3">
    <w:name w:val="heading 3"/>
    <w:basedOn w:val="Normalny"/>
    <w:next w:val="Normalny"/>
    <w:link w:val="Nagwek3Znak"/>
    <w:uiPriority w:val="9"/>
    <w:unhideWhenUsed/>
    <w:qFormat/>
    <w:rsid w:val="00E75D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E75D46"/>
    <w:rPr>
      <w:rFonts w:asciiTheme="majorHAnsi" w:eastAsiaTheme="majorEastAsia" w:hAnsiTheme="majorHAnsi" w:cstheme="majorBidi"/>
      <w:b/>
      <w:bCs/>
      <w:color w:val="4F81BD" w:themeColor="accent1"/>
    </w:rPr>
  </w:style>
  <w:style w:type="paragraph" w:styleId="Akapitzlist">
    <w:name w:val="List Paragraph"/>
    <w:basedOn w:val="Normalny"/>
    <w:uiPriority w:val="34"/>
    <w:qFormat/>
    <w:rsid w:val="00E75D46"/>
    <w:pPr>
      <w:ind w:left="720"/>
      <w:contextualSpacing/>
    </w:pPr>
  </w:style>
  <w:style w:type="paragraph" w:styleId="NormalnyWeb">
    <w:name w:val="Normal (Web)"/>
    <w:basedOn w:val="Normalny"/>
    <w:uiPriority w:val="99"/>
    <w:unhideWhenUsed/>
    <w:rsid w:val="00E75D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75D46"/>
    <w:rPr>
      <w:sz w:val="16"/>
      <w:szCs w:val="16"/>
    </w:rPr>
  </w:style>
  <w:style w:type="paragraph" w:styleId="Tekstkomentarza">
    <w:name w:val="annotation text"/>
    <w:basedOn w:val="Normalny"/>
    <w:link w:val="TekstkomentarzaZnak"/>
    <w:uiPriority w:val="99"/>
    <w:semiHidden/>
    <w:unhideWhenUsed/>
    <w:rsid w:val="00E75D4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5D46"/>
    <w:rPr>
      <w:sz w:val="20"/>
      <w:szCs w:val="20"/>
    </w:rPr>
  </w:style>
  <w:style w:type="paragraph" w:styleId="Tematkomentarza">
    <w:name w:val="annotation subject"/>
    <w:basedOn w:val="Tekstkomentarza"/>
    <w:next w:val="Tekstkomentarza"/>
    <w:link w:val="TematkomentarzaZnak"/>
    <w:uiPriority w:val="99"/>
    <w:semiHidden/>
    <w:unhideWhenUsed/>
    <w:rsid w:val="00E75D46"/>
    <w:rPr>
      <w:b/>
      <w:bCs/>
    </w:rPr>
  </w:style>
  <w:style w:type="character" w:customStyle="1" w:styleId="TematkomentarzaZnak">
    <w:name w:val="Temat komentarza Znak"/>
    <w:basedOn w:val="TekstkomentarzaZnak"/>
    <w:link w:val="Tematkomentarza"/>
    <w:uiPriority w:val="99"/>
    <w:semiHidden/>
    <w:rsid w:val="00E75D46"/>
    <w:rPr>
      <w:b/>
      <w:bCs/>
      <w:sz w:val="20"/>
      <w:szCs w:val="20"/>
    </w:rPr>
  </w:style>
  <w:style w:type="paragraph" w:styleId="Tekstdymka">
    <w:name w:val="Balloon Text"/>
    <w:basedOn w:val="Normalny"/>
    <w:link w:val="TekstdymkaZnak"/>
    <w:uiPriority w:val="99"/>
    <w:semiHidden/>
    <w:unhideWhenUsed/>
    <w:rsid w:val="00E75D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5D46"/>
    <w:rPr>
      <w:rFonts w:ascii="Tahoma" w:hAnsi="Tahoma" w:cs="Tahoma"/>
      <w:sz w:val="16"/>
      <w:szCs w:val="16"/>
    </w:rPr>
  </w:style>
  <w:style w:type="paragraph" w:styleId="Nagwek">
    <w:name w:val="header"/>
    <w:basedOn w:val="Normalny"/>
    <w:link w:val="NagwekZnak"/>
    <w:uiPriority w:val="99"/>
    <w:unhideWhenUsed/>
    <w:rsid w:val="00E75D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5D46"/>
  </w:style>
  <w:style w:type="paragraph" w:styleId="Stopka">
    <w:name w:val="footer"/>
    <w:basedOn w:val="Normalny"/>
    <w:link w:val="StopkaZnak"/>
    <w:uiPriority w:val="99"/>
    <w:unhideWhenUsed/>
    <w:rsid w:val="00E75D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5D46"/>
  </w:style>
  <w:style w:type="character" w:styleId="Hipercze">
    <w:name w:val="Hyperlink"/>
    <w:basedOn w:val="Domylnaczcionkaakapitu"/>
    <w:uiPriority w:val="99"/>
    <w:unhideWhenUsed/>
    <w:rsid w:val="00E75D46"/>
    <w:rPr>
      <w:color w:val="0000FF" w:themeColor="hyperlink"/>
      <w:u w:val="single"/>
    </w:rPr>
  </w:style>
  <w:style w:type="character" w:styleId="Uwydatnienie">
    <w:name w:val="Emphasis"/>
    <w:basedOn w:val="Domylnaczcionkaakapitu"/>
    <w:uiPriority w:val="20"/>
    <w:qFormat/>
    <w:rsid w:val="00E75D46"/>
    <w:rPr>
      <w:i/>
      <w:iCs/>
    </w:rPr>
  </w:style>
  <w:style w:type="paragraph" w:styleId="Tekstprzypisudolnego">
    <w:name w:val="footnote text"/>
    <w:basedOn w:val="Normalny"/>
    <w:link w:val="TekstprzypisudolnegoZnak"/>
    <w:uiPriority w:val="99"/>
    <w:semiHidden/>
    <w:unhideWhenUsed/>
    <w:rsid w:val="00E75D4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5D46"/>
    <w:rPr>
      <w:sz w:val="20"/>
      <w:szCs w:val="20"/>
    </w:rPr>
  </w:style>
  <w:style w:type="character" w:styleId="Odwoanieprzypisudolnego">
    <w:name w:val="footnote reference"/>
    <w:basedOn w:val="Domylnaczcionkaakapitu"/>
    <w:uiPriority w:val="99"/>
    <w:semiHidden/>
    <w:unhideWhenUsed/>
    <w:rsid w:val="00E75D46"/>
    <w:rPr>
      <w:vertAlign w:val="superscript"/>
    </w:rPr>
  </w:style>
  <w:style w:type="paragraph" w:customStyle="1" w:styleId="Default">
    <w:name w:val="Default"/>
    <w:rsid w:val="00E75D46"/>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Numerwiersza">
    <w:name w:val="line number"/>
    <w:basedOn w:val="Domylnaczcionkaakapitu"/>
    <w:uiPriority w:val="99"/>
    <w:semiHidden/>
    <w:unhideWhenUsed/>
    <w:rsid w:val="00E75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52773">
      <w:bodyDiv w:val="1"/>
      <w:marLeft w:val="0"/>
      <w:marRight w:val="0"/>
      <w:marTop w:val="0"/>
      <w:marBottom w:val="0"/>
      <w:divBdr>
        <w:top w:val="none" w:sz="0" w:space="0" w:color="auto"/>
        <w:left w:val="none" w:sz="0" w:space="0" w:color="auto"/>
        <w:bottom w:val="none" w:sz="0" w:space="0" w:color="auto"/>
        <w:right w:val="none" w:sz="0" w:space="0" w:color="auto"/>
      </w:divBdr>
    </w:div>
    <w:div w:id="445854453">
      <w:bodyDiv w:val="1"/>
      <w:marLeft w:val="0"/>
      <w:marRight w:val="0"/>
      <w:marTop w:val="0"/>
      <w:marBottom w:val="0"/>
      <w:divBdr>
        <w:top w:val="none" w:sz="0" w:space="0" w:color="auto"/>
        <w:left w:val="none" w:sz="0" w:space="0" w:color="auto"/>
        <w:bottom w:val="none" w:sz="0" w:space="0" w:color="auto"/>
        <w:right w:val="none" w:sz="0" w:space="0" w:color="auto"/>
      </w:divBdr>
    </w:div>
    <w:div w:id="671951141">
      <w:bodyDiv w:val="1"/>
      <w:marLeft w:val="0"/>
      <w:marRight w:val="0"/>
      <w:marTop w:val="0"/>
      <w:marBottom w:val="0"/>
      <w:divBdr>
        <w:top w:val="none" w:sz="0" w:space="0" w:color="auto"/>
        <w:left w:val="none" w:sz="0" w:space="0" w:color="auto"/>
        <w:bottom w:val="none" w:sz="0" w:space="0" w:color="auto"/>
        <w:right w:val="none" w:sz="0" w:space="0" w:color="auto"/>
      </w:divBdr>
    </w:div>
    <w:div w:id="789980175">
      <w:bodyDiv w:val="1"/>
      <w:marLeft w:val="0"/>
      <w:marRight w:val="0"/>
      <w:marTop w:val="0"/>
      <w:marBottom w:val="0"/>
      <w:divBdr>
        <w:top w:val="none" w:sz="0" w:space="0" w:color="auto"/>
        <w:left w:val="none" w:sz="0" w:space="0" w:color="auto"/>
        <w:bottom w:val="none" w:sz="0" w:space="0" w:color="auto"/>
        <w:right w:val="none" w:sz="0" w:space="0" w:color="auto"/>
      </w:divBdr>
    </w:div>
    <w:div w:id="1071077241">
      <w:bodyDiv w:val="1"/>
      <w:marLeft w:val="0"/>
      <w:marRight w:val="0"/>
      <w:marTop w:val="0"/>
      <w:marBottom w:val="0"/>
      <w:divBdr>
        <w:top w:val="none" w:sz="0" w:space="0" w:color="auto"/>
        <w:left w:val="none" w:sz="0" w:space="0" w:color="auto"/>
        <w:bottom w:val="none" w:sz="0" w:space="0" w:color="auto"/>
        <w:right w:val="none" w:sz="0" w:space="0" w:color="auto"/>
      </w:divBdr>
    </w:div>
    <w:div w:id="1511603458">
      <w:bodyDiv w:val="1"/>
      <w:marLeft w:val="0"/>
      <w:marRight w:val="0"/>
      <w:marTop w:val="0"/>
      <w:marBottom w:val="0"/>
      <w:divBdr>
        <w:top w:val="none" w:sz="0" w:space="0" w:color="auto"/>
        <w:left w:val="none" w:sz="0" w:space="0" w:color="auto"/>
        <w:bottom w:val="none" w:sz="0" w:space="0" w:color="auto"/>
        <w:right w:val="none" w:sz="0" w:space="0" w:color="auto"/>
      </w:divBdr>
    </w:div>
    <w:div w:id="1624069297">
      <w:bodyDiv w:val="1"/>
      <w:marLeft w:val="0"/>
      <w:marRight w:val="0"/>
      <w:marTop w:val="0"/>
      <w:marBottom w:val="0"/>
      <w:divBdr>
        <w:top w:val="none" w:sz="0" w:space="0" w:color="auto"/>
        <w:left w:val="none" w:sz="0" w:space="0" w:color="auto"/>
        <w:bottom w:val="none" w:sz="0" w:space="0" w:color="auto"/>
        <w:right w:val="none" w:sz="0" w:space="0" w:color="auto"/>
      </w:divBdr>
    </w:div>
    <w:div w:id="168893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yara.co.uk/crop-nutrition/forage-maize/increasing-forage-maize-yield/" TargetMode="External"/><Relationship Id="rId1" Type="http://schemas.openxmlformats.org/officeDocument/2006/relationships/hyperlink" Target="https://www.yara.pl/odzywianie-roslin/kukurydza/maize-fertilizer-program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1316</Words>
  <Characters>7897</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Władysław Polcyn</cp:lastModifiedBy>
  <cp:revision>2</cp:revision>
  <cp:lastPrinted>2019-03-21T16:39:00Z</cp:lastPrinted>
  <dcterms:created xsi:type="dcterms:W3CDTF">2019-04-09T19:43:00Z</dcterms:created>
  <dcterms:modified xsi:type="dcterms:W3CDTF">2019-04-09T19:43:00Z</dcterms:modified>
</cp:coreProperties>
</file>