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F760FE" w14:textId="77777777" w:rsidR="00753D66" w:rsidRDefault="00242475">
      <w:pPr>
        <w:pStyle w:val="normal0"/>
        <w:spacing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i/>
          <w:sz w:val="32"/>
          <w:szCs w:val="32"/>
        </w:rPr>
        <w:t>Supplementary Material</w:t>
      </w:r>
    </w:p>
    <w:p w14:paraId="1750F80C" w14:textId="77777777" w:rsidR="00753D66" w:rsidRDefault="00753D66">
      <w:pPr>
        <w:pStyle w:val="normal0"/>
        <w:spacing w:line="240" w:lineRule="auto"/>
        <w:rPr>
          <w:rFonts w:ascii="Times New Roman" w:eastAsia="Times New Roman" w:hAnsi="Times New Roman" w:cs="Times New Roman"/>
          <w:sz w:val="24"/>
          <w:szCs w:val="24"/>
        </w:rPr>
      </w:pPr>
    </w:p>
    <w:p w14:paraId="18489CEF" w14:textId="77777777" w:rsidR="00753D66" w:rsidRDefault="00242475">
      <w:pPr>
        <w:pStyle w:val="normal0"/>
        <w:numPr>
          <w:ilvl w:val="0"/>
          <w:numId w:val="1"/>
        </w:numPr>
        <w:spacing w:line="24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Supplementary Data</w:t>
      </w:r>
    </w:p>
    <w:p w14:paraId="34B9359F" w14:textId="77777777" w:rsidR="00753D66" w:rsidRDefault="00753D66">
      <w:pPr>
        <w:pStyle w:val="normal0"/>
        <w:spacing w:line="240" w:lineRule="auto"/>
        <w:rPr>
          <w:rFonts w:ascii="Times New Roman" w:eastAsia="Times New Roman" w:hAnsi="Times New Roman" w:cs="Times New Roman"/>
          <w:b/>
          <w:sz w:val="24"/>
          <w:szCs w:val="24"/>
        </w:rPr>
      </w:pPr>
    </w:p>
    <w:p w14:paraId="404AE276" w14:textId="77777777" w:rsidR="00753D66" w:rsidRDefault="0024247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S1: iGEM Registry IDs for sequences and constructs used in this study</w:t>
      </w:r>
    </w:p>
    <w:p w14:paraId="13DEB092" w14:textId="77777777" w:rsidR="00753D66" w:rsidRDefault="0024247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S1: Induction over time of receivers with sender supernatant</w:t>
      </w:r>
    </w:p>
    <w:p w14:paraId="61289380" w14:textId="77777777" w:rsidR="00753D66" w:rsidRDefault="0024247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S2: Sender-Receiver induction map based on results from assays with cell-free, HSL-enriched liquid media</w:t>
      </w:r>
    </w:p>
    <w:p w14:paraId="6CAF73C2" w14:textId="77777777" w:rsidR="00753D66" w:rsidRDefault="00242475">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S3: Sender-Receiver induction map based on results from assays on solid agar</w:t>
      </w:r>
    </w:p>
    <w:p w14:paraId="21F8C6A6" w14:textId="77777777" w:rsidR="00753D66" w:rsidRDefault="00753D66">
      <w:pPr>
        <w:pStyle w:val="normal0"/>
        <w:spacing w:line="240" w:lineRule="auto"/>
        <w:rPr>
          <w:rFonts w:ascii="Times New Roman" w:eastAsia="Times New Roman" w:hAnsi="Times New Roman" w:cs="Times New Roman"/>
          <w:b/>
          <w:sz w:val="24"/>
          <w:szCs w:val="24"/>
        </w:rPr>
      </w:pPr>
    </w:p>
    <w:p w14:paraId="5FE99ACE" w14:textId="77777777" w:rsidR="00753D66" w:rsidRDefault="00753D66">
      <w:pPr>
        <w:pStyle w:val="normal0"/>
        <w:spacing w:line="240" w:lineRule="auto"/>
        <w:rPr>
          <w:rFonts w:ascii="Times New Roman" w:eastAsia="Times New Roman" w:hAnsi="Times New Roman" w:cs="Times New Roman"/>
          <w:b/>
          <w:sz w:val="24"/>
          <w:szCs w:val="24"/>
        </w:rPr>
      </w:pPr>
    </w:p>
    <w:p w14:paraId="1FE4BC23" w14:textId="77777777" w:rsidR="00753D66" w:rsidRDefault="00242475">
      <w:pPr>
        <w:pStyle w:val="normal0"/>
        <w:numPr>
          <w:ilvl w:val="0"/>
          <w:numId w:val="1"/>
        </w:numPr>
        <w:spacing w:line="24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Tables</w:t>
      </w:r>
    </w:p>
    <w:p w14:paraId="25124263" w14:textId="77777777" w:rsidR="00753D66" w:rsidRDefault="00753D66">
      <w:pPr>
        <w:pStyle w:val="normal0"/>
        <w:spacing w:line="240" w:lineRule="auto"/>
        <w:rPr>
          <w:rFonts w:ascii="Times New Roman" w:eastAsia="Times New Roman" w:hAnsi="Times New Roman" w:cs="Times New Roman"/>
          <w:b/>
          <w:sz w:val="24"/>
          <w:szCs w:val="24"/>
        </w:rPr>
      </w:pPr>
    </w:p>
    <w:p w14:paraId="4889A83B" w14:textId="77777777" w:rsidR="00753D66" w:rsidRDefault="00242475">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Table S1.</w:t>
      </w:r>
      <w:r>
        <w:rPr>
          <w:rFonts w:ascii="Times New Roman" w:eastAsia="Times New Roman" w:hAnsi="Times New Roman" w:cs="Times New Roman"/>
          <w:sz w:val="24"/>
          <w:szCs w:val="24"/>
        </w:rPr>
        <w:t xml:space="preserve"> iGEM Registr</w:t>
      </w:r>
      <w:r>
        <w:rPr>
          <w:rFonts w:ascii="Times New Roman" w:eastAsia="Times New Roman" w:hAnsi="Times New Roman" w:cs="Times New Roman"/>
          <w:sz w:val="24"/>
          <w:szCs w:val="24"/>
        </w:rPr>
        <w:t xml:space="preserve">y IDs for sequences and constructs used in this study. “Antiquity” indicates that no specific team is known to have contributed the DNA sequence to the Registry. Entries can be accessed at </w:t>
      </w:r>
      <w:hyperlink r:id="rId6">
        <w:r>
          <w:rPr>
            <w:rFonts w:ascii="Times New Roman" w:eastAsia="Times New Roman" w:hAnsi="Times New Roman" w:cs="Times New Roman"/>
            <w:sz w:val="24"/>
            <w:szCs w:val="24"/>
            <w:u w:val="single"/>
          </w:rPr>
          <w:t>http://parts.igem.org/</w:t>
        </w:r>
      </w:hyperlink>
      <w:r>
        <w:rPr>
          <w:rFonts w:ascii="Times New Roman" w:eastAsia="Times New Roman" w:hAnsi="Times New Roman" w:cs="Times New Roman"/>
          <w:sz w:val="24"/>
          <w:szCs w:val="24"/>
        </w:rPr>
        <w:t>. N</w:t>
      </w:r>
      <w:r>
        <w:rPr>
          <w:rFonts w:ascii="Times New Roman" w:eastAsia="Times New Roman" w:hAnsi="Times New Roman" w:cs="Times New Roman"/>
          <w:sz w:val="24"/>
          <w:szCs w:val="24"/>
        </w:rPr>
        <w:t>ormalized (GFP/OD</w:t>
      </w:r>
      <w:r>
        <w:rPr>
          <w:rFonts w:ascii="Times New Roman" w:eastAsia="Times New Roman" w:hAnsi="Times New Roman" w:cs="Times New Roman"/>
          <w:sz w:val="24"/>
          <w:szCs w:val="24"/>
          <w:vertAlign w:val="subscript"/>
        </w:rPr>
        <w:t>600</w:t>
      </w:r>
      <w:r>
        <w:rPr>
          <w:rFonts w:ascii="Times New Roman" w:eastAsia="Times New Roman" w:hAnsi="Times New Roman" w:cs="Times New Roman"/>
          <w:sz w:val="24"/>
          <w:szCs w:val="24"/>
        </w:rPr>
        <w:t xml:space="preserve">) GFP signal data from 96-well plate time course experiments with synthetic HSLs and HSL-enriched Sender media are available for each Receiver in Microsoft Excel format. To access the data, please visit </w:t>
      </w:r>
      <w:hyperlink r:id="rId7">
        <w:r>
          <w:rPr>
            <w:rFonts w:ascii="Times New Roman" w:eastAsia="Times New Roman" w:hAnsi="Times New Roman" w:cs="Times New Roman"/>
            <w:sz w:val="24"/>
            <w:szCs w:val="24"/>
            <w:u w:val="single"/>
          </w:rPr>
          <w:t>http://parts.igem.org/</w:t>
        </w:r>
      </w:hyperlink>
      <w:r>
        <w:rPr>
          <w:rFonts w:ascii="Times New Roman" w:eastAsia="Times New Roman" w:hAnsi="Times New Roman" w:cs="Times New Roman"/>
          <w:sz w:val="24"/>
          <w:szCs w:val="24"/>
        </w:rPr>
        <w:t>, search for the iGEM Registry part number (e.g. BBa_K2357000), navigate to “experience”, and find the Excel file under “Applications of…” (a) BBa_K2357021 is a derivative of BBa_F2620. An ORF encoding GFP-mut3b (BBa_E0040) w</w:t>
      </w:r>
      <w:r>
        <w:rPr>
          <w:rFonts w:ascii="Times New Roman" w:eastAsia="Times New Roman" w:hAnsi="Times New Roman" w:cs="Times New Roman"/>
          <w:sz w:val="24"/>
          <w:szCs w:val="24"/>
        </w:rPr>
        <w:t xml:space="preserve">as cloned downstream of BBa_F2620. </w:t>
      </w:r>
    </w:p>
    <w:tbl>
      <w:tblPr>
        <w:tblStyle w:val="a"/>
        <w:tblW w:w="936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3465"/>
        <w:gridCol w:w="3360"/>
      </w:tblGrid>
      <w:tr w:rsidR="00753D66" w14:paraId="21982721" w14:textId="77777777">
        <w:tc>
          <w:tcPr>
            <w:tcW w:w="2535" w:type="dxa"/>
            <w:shd w:val="clear" w:color="auto" w:fill="auto"/>
            <w:tcMar>
              <w:top w:w="43" w:type="dxa"/>
              <w:left w:w="43" w:type="dxa"/>
              <w:bottom w:w="43" w:type="dxa"/>
              <w:right w:w="43" w:type="dxa"/>
            </w:tcMar>
          </w:tcPr>
          <w:p w14:paraId="6407B839" w14:textId="77777777" w:rsidR="00753D66" w:rsidRDefault="00242475">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name</w:t>
            </w:r>
          </w:p>
        </w:tc>
        <w:tc>
          <w:tcPr>
            <w:tcW w:w="3465" w:type="dxa"/>
            <w:shd w:val="clear" w:color="auto" w:fill="auto"/>
            <w:tcMar>
              <w:top w:w="43" w:type="dxa"/>
              <w:left w:w="43" w:type="dxa"/>
              <w:bottom w:w="43" w:type="dxa"/>
              <w:right w:w="43" w:type="dxa"/>
            </w:tcMar>
          </w:tcPr>
          <w:p w14:paraId="173345EA" w14:textId="77777777" w:rsidR="00753D66" w:rsidRDefault="00242475">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iGEM Registry part number</w:t>
            </w:r>
          </w:p>
        </w:tc>
        <w:tc>
          <w:tcPr>
            <w:tcW w:w="3360" w:type="dxa"/>
            <w:shd w:val="clear" w:color="auto" w:fill="auto"/>
            <w:tcMar>
              <w:top w:w="43" w:type="dxa"/>
              <w:left w:w="43" w:type="dxa"/>
              <w:bottom w:w="43" w:type="dxa"/>
              <w:right w:w="43" w:type="dxa"/>
            </w:tcMar>
          </w:tcPr>
          <w:p w14:paraId="250DE85E" w14:textId="77777777" w:rsidR="00753D66" w:rsidRDefault="00242475">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Contributing iGEM Team</w:t>
            </w:r>
          </w:p>
        </w:tc>
      </w:tr>
      <w:tr w:rsidR="00753D66" w14:paraId="2EE3853A" w14:textId="77777777">
        <w:tc>
          <w:tcPr>
            <w:tcW w:w="2535" w:type="dxa"/>
            <w:shd w:val="clear" w:color="auto" w:fill="auto"/>
            <w:tcMar>
              <w:top w:w="43" w:type="dxa"/>
              <w:left w:w="43" w:type="dxa"/>
              <w:bottom w:w="43" w:type="dxa"/>
              <w:right w:w="43" w:type="dxa"/>
            </w:tcMar>
          </w:tcPr>
          <w:p w14:paraId="6521F3A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LasR Receiver</w:t>
            </w:r>
          </w:p>
        </w:tc>
        <w:tc>
          <w:tcPr>
            <w:tcW w:w="3465" w:type="dxa"/>
            <w:shd w:val="clear" w:color="auto" w:fill="auto"/>
            <w:tcMar>
              <w:top w:w="43" w:type="dxa"/>
              <w:left w:w="43" w:type="dxa"/>
              <w:bottom w:w="43" w:type="dxa"/>
              <w:right w:w="43" w:type="dxa"/>
            </w:tcMar>
          </w:tcPr>
          <w:p w14:paraId="628E3A1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BBa_K2357000</w:t>
            </w:r>
          </w:p>
        </w:tc>
        <w:tc>
          <w:tcPr>
            <w:tcW w:w="3360" w:type="dxa"/>
            <w:shd w:val="clear" w:color="auto" w:fill="auto"/>
            <w:tcMar>
              <w:top w:w="43" w:type="dxa"/>
              <w:left w:w="43" w:type="dxa"/>
              <w:bottom w:w="43" w:type="dxa"/>
              <w:right w:w="43" w:type="dxa"/>
            </w:tcMar>
          </w:tcPr>
          <w:p w14:paraId="05587DEC"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2E527A07" w14:textId="77777777">
        <w:tc>
          <w:tcPr>
            <w:tcW w:w="2535" w:type="dxa"/>
            <w:shd w:val="clear" w:color="auto" w:fill="auto"/>
            <w:tcMar>
              <w:top w:w="43" w:type="dxa"/>
              <w:left w:w="43" w:type="dxa"/>
              <w:bottom w:w="43" w:type="dxa"/>
              <w:right w:w="43" w:type="dxa"/>
            </w:tcMar>
          </w:tcPr>
          <w:p w14:paraId="697AC847"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TraR Receiver</w:t>
            </w:r>
          </w:p>
        </w:tc>
        <w:tc>
          <w:tcPr>
            <w:tcW w:w="3465" w:type="dxa"/>
            <w:shd w:val="clear" w:color="auto" w:fill="auto"/>
            <w:tcMar>
              <w:top w:w="43" w:type="dxa"/>
              <w:left w:w="43" w:type="dxa"/>
              <w:bottom w:w="43" w:type="dxa"/>
              <w:right w:w="43" w:type="dxa"/>
            </w:tcMar>
          </w:tcPr>
          <w:p w14:paraId="26622D34"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BBa_K2357028</w:t>
            </w:r>
          </w:p>
        </w:tc>
        <w:tc>
          <w:tcPr>
            <w:tcW w:w="3360" w:type="dxa"/>
            <w:shd w:val="clear" w:color="auto" w:fill="auto"/>
            <w:tcMar>
              <w:top w:w="43" w:type="dxa"/>
              <w:left w:w="43" w:type="dxa"/>
              <w:bottom w:w="43" w:type="dxa"/>
              <w:right w:w="43" w:type="dxa"/>
            </w:tcMar>
          </w:tcPr>
          <w:p w14:paraId="1F6CDC77"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5E5624AA" w14:textId="77777777">
        <w:tc>
          <w:tcPr>
            <w:tcW w:w="2535" w:type="dxa"/>
            <w:shd w:val="clear" w:color="auto" w:fill="auto"/>
            <w:tcMar>
              <w:top w:w="43" w:type="dxa"/>
              <w:left w:w="43" w:type="dxa"/>
              <w:bottom w:w="43" w:type="dxa"/>
              <w:right w:w="43" w:type="dxa"/>
            </w:tcMar>
          </w:tcPr>
          <w:p w14:paraId="2D202C3F"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AubR Receiver</w:t>
            </w:r>
          </w:p>
        </w:tc>
        <w:tc>
          <w:tcPr>
            <w:tcW w:w="3465" w:type="dxa"/>
            <w:shd w:val="clear" w:color="auto" w:fill="auto"/>
            <w:tcMar>
              <w:top w:w="43" w:type="dxa"/>
              <w:left w:w="43" w:type="dxa"/>
              <w:bottom w:w="43" w:type="dxa"/>
              <w:right w:w="43" w:type="dxa"/>
            </w:tcMar>
          </w:tcPr>
          <w:p w14:paraId="464E2E39"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BBa_K2357014</w:t>
            </w:r>
          </w:p>
        </w:tc>
        <w:tc>
          <w:tcPr>
            <w:tcW w:w="3360" w:type="dxa"/>
            <w:shd w:val="clear" w:color="auto" w:fill="auto"/>
            <w:tcMar>
              <w:top w:w="43" w:type="dxa"/>
              <w:left w:w="43" w:type="dxa"/>
              <w:bottom w:w="43" w:type="dxa"/>
              <w:right w:w="43" w:type="dxa"/>
            </w:tcMar>
          </w:tcPr>
          <w:p w14:paraId="40502988"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620F9DE7" w14:textId="77777777">
        <w:tc>
          <w:tcPr>
            <w:tcW w:w="2535" w:type="dxa"/>
            <w:shd w:val="clear" w:color="auto" w:fill="auto"/>
            <w:tcMar>
              <w:top w:w="43" w:type="dxa"/>
              <w:left w:w="43" w:type="dxa"/>
              <w:bottom w:w="43" w:type="dxa"/>
              <w:right w:w="43" w:type="dxa"/>
            </w:tcMar>
          </w:tcPr>
          <w:p w14:paraId="29C97AE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BjaR Receiver</w:t>
            </w:r>
          </w:p>
        </w:tc>
        <w:tc>
          <w:tcPr>
            <w:tcW w:w="3465" w:type="dxa"/>
            <w:shd w:val="clear" w:color="auto" w:fill="auto"/>
            <w:tcMar>
              <w:top w:w="43" w:type="dxa"/>
              <w:left w:w="43" w:type="dxa"/>
              <w:bottom w:w="43" w:type="dxa"/>
              <w:right w:w="43" w:type="dxa"/>
            </w:tcMar>
          </w:tcPr>
          <w:p w14:paraId="317DC8E4"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BBa_K2357007</w:t>
            </w:r>
          </w:p>
        </w:tc>
        <w:tc>
          <w:tcPr>
            <w:tcW w:w="3360" w:type="dxa"/>
            <w:shd w:val="clear" w:color="auto" w:fill="auto"/>
            <w:tcMar>
              <w:top w:w="43" w:type="dxa"/>
              <w:left w:w="43" w:type="dxa"/>
              <w:bottom w:w="43" w:type="dxa"/>
              <w:right w:w="43" w:type="dxa"/>
            </w:tcMar>
          </w:tcPr>
          <w:p w14:paraId="419090CB"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61BA2A1E" w14:textId="77777777">
        <w:tc>
          <w:tcPr>
            <w:tcW w:w="2535" w:type="dxa"/>
            <w:shd w:val="clear" w:color="auto" w:fill="auto"/>
            <w:tcMar>
              <w:top w:w="43" w:type="dxa"/>
              <w:left w:w="43" w:type="dxa"/>
              <w:bottom w:w="43" w:type="dxa"/>
              <w:right w:w="43" w:type="dxa"/>
            </w:tcMar>
          </w:tcPr>
          <w:p w14:paraId="0C297ED0" w14:textId="77777777" w:rsidR="00753D66" w:rsidRDefault="00242475">
            <w:pPr>
              <w:pStyle w:val="normal0"/>
              <w:widowControl w:val="0"/>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LuxR Receiver</w:t>
            </w:r>
            <w:r>
              <w:rPr>
                <w:rFonts w:ascii="Times New Roman" w:eastAsia="Times New Roman" w:hAnsi="Times New Roman" w:cs="Times New Roman"/>
                <w:sz w:val="24"/>
                <w:szCs w:val="24"/>
                <w:vertAlign w:val="superscript"/>
              </w:rPr>
              <w:t>(a)</w:t>
            </w:r>
          </w:p>
        </w:tc>
        <w:tc>
          <w:tcPr>
            <w:tcW w:w="3465" w:type="dxa"/>
            <w:shd w:val="clear" w:color="auto" w:fill="auto"/>
            <w:tcMar>
              <w:top w:w="43" w:type="dxa"/>
              <w:left w:w="43" w:type="dxa"/>
              <w:bottom w:w="43" w:type="dxa"/>
              <w:right w:w="43" w:type="dxa"/>
            </w:tcMar>
          </w:tcPr>
          <w:p w14:paraId="2EF2A783"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BBa_K2357021</w:t>
            </w:r>
          </w:p>
        </w:tc>
        <w:tc>
          <w:tcPr>
            <w:tcW w:w="3360" w:type="dxa"/>
            <w:shd w:val="clear" w:color="auto" w:fill="auto"/>
            <w:tcMar>
              <w:top w:w="43" w:type="dxa"/>
              <w:left w:w="43" w:type="dxa"/>
              <w:bottom w:w="43" w:type="dxa"/>
              <w:right w:w="43" w:type="dxa"/>
            </w:tcMar>
          </w:tcPr>
          <w:p w14:paraId="2E111E0A"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7B7C0B51" w14:textId="77777777">
        <w:tc>
          <w:tcPr>
            <w:tcW w:w="2535" w:type="dxa"/>
            <w:shd w:val="clear" w:color="auto" w:fill="auto"/>
            <w:tcMar>
              <w:top w:w="43" w:type="dxa"/>
              <w:left w:w="43" w:type="dxa"/>
              <w:bottom w:w="43" w:type="dxa"/>
              <w:right w:w="43" w:type="dxa"/>
            </w:tcMar>
          </w:tcPr>
          <w:p w14:paraId="3DEE9B7D"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RpaR Receiver</w:t>
            </w:r>
          </w:p>
        </w:tc>
        <w:tc>
          <w:tcPr>
            <w:tcW w:w="3465" w:type="dxa"/>
            <w:shd w:val="clear" w:color="auto" w:fill="auto"/>
            <w:tcMar>
              <w:top w:w="43" w:type="dxa"/>
              <w:left w:w="43" w:type="dxa"/>
              <w:bottom w:w="43" w:type="dxa"/>
              <w:right w:w="43" w:type="dxa"/>
            </w:tcMar>
          </w:tcPr>
          <w:p w14:paraId="05CFD50B"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BBa_K2357001</w:t>
            </w:r>
          </w:p>
        </w:tc>
        <w:tc>
          <w:tcPr>
            <w:tcW w:w="3360" w:type="dxa"/>
            <w:shd w:val="clear" w:color="auto" w:fill="auto"/>
            <w:tcMar>
              <w:top w:w="43" w:type="dxa"/>
              <w:left w:w="43" w:type="dxa"/>
              <w:bottom w:w="43" w:type="dxa"/>
              <w:right w:w="43" w:type="dxa"/>
            </w:tcMar>
          </w:tcPr>
          <w:p w14:paraId="112CB72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10A65D09" w14:textId="77777777">
        <w:tc>
          <w:tcPr>
            <w:tcW w:w="2535" w:type="dxa"/>
            <w:shd w:val="clear" w:color="auto" w:fill="auto"/>
            <w:tcMar>
              <w:top w:w="43" w:type="dxa"/>
              <w:left w:w="43" w:type="dxa"/>
              <w:bottom w:w="43" w:type="dxa"/>
              <w:right w:w="43" w:type="dxa"/>
            </w:tcMar>
          </w:tcPr>
          <w:p w14:paraId="60CB17B0"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RhlR Receiver</w:t>
            </w:r>
          </w:p>
        </w:tc>
        <w:tc>
          <w:tcPr>
            <w:tcW w:w="3465" w:type="dxa"/>
            <w:shd w:val="clear" w:color="auto" w:fill="auto"/>
            <w:tcMar>
              <w:top w:w="43" w:type="dxa"/>
              <w:left w:w="43" w:type="dxa"/>
              <w:bottom w:w="43" w:type="dxa"/>
              <w:right w:w="43" w:type="dxa"/>
            </w:tcMar>
          </w:tcPr>
          <w:p w14:paraId="6A589F1D"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BBa_K2357002</w:t>
            </w:r>
          </w:p>
        </w:tc>
        <w:tc>
          <w:tcPr>
            <w:tcW w:w="3360" w:type="dxa"/>
            <w:shd w:val="clear" w:color="auto" w:fill="auto"/>
            <w:tcMar>
              <w:top w:w="43" w:type="dxa"/>
              <w:left w:w="43" w:type="dxa"/>
              <w:bottom w:w="43" w:type="dxa"/>
              <w:right w:w="43" w:type="dxa"/>
            </w:tcMar>
          </w:tcPr>
          <w:p w14:paraId="64DD161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iGEM17_Arizona _State</w:t>
            </w:r>
          </w:p>
        </w:tc>
      </w:tr>
      <w:tr w:rsidR="00753D66" w14:paraId="3FEDD4FF" w14:textId="77777777">
        <w:tc>
          <w:tcPr>
            <w:tcW w:w="2535" w:type="dxa"/>
            <w:shd w:val="clear" w:color="auto" w:fill="auto"/>
            <w:tcMar>
              <w:top w:w="43" w:type="dxa"/>
              <w:left w:w="43" w:type="dxa"/>
              <w:bottom w:w="43" w:type="dxa"/>
              <w:right w:w="43" w:type="dxa"/>
            </w:tcMar>
          </w:tcPr>
          <w:p w14:paraId="594BD778"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RpaI </w:t>
            </w:r>
          </w:p>
        </w:tc>
        <w:tc>
          <w:tcPr>
            <w:tcW w:w="3465" w:type="dxa"/>
            <w:shd w:val="clear" w:color="auto" w:fill="auto"/>
            <w:tcMar>
              <w:top w:w="43" w:type="dxa"/>
              <w:left w:w="43" w:type="dxa"/>
              <w:bottom w:w="43" w:type="dxa"/>
              <w:right w:w="43" w:type="dxa"/>
            </w:tcMar>
          </w:tcPr>
          <w:p w14:paraId="4D95EF15"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BBa_K1421006</w:t>
            </w:r>
          </w:p>
        </w:tc>
        <w:tc>
          <w:tcPr>
            <w:tcW w:w="3360" w:type="dxa"/>
            <w:shd w:val="clear" w:color="auto" w:fill="auto"/>
            <w:tcMar>
              <w:top w:w="43" w:type="dxa"/>
              <w:left w:w="43" w:type="dxa"/>
              <w:bottom w:w="43" w:type="dxa"/>
              <w:right w:w="43" w:type="dxa"/>
            </w:tcMar>
          </w:tcPr>
          <w:p w14:paraId="0C01E654"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iGEM14_CAU_China</w:t>
            </w:r>
          </w:p>
        </w:tc>
      </w:tr>
      <w:tr w:rsidR="00753D66" w14:paraId="4907304E" w14:textId="77777777">
        <w:tc>
          <w:tcPr>
            <w:tcW w:w="2535" w:type="dxa"/>
            <w:shd w:val="clear" w:color="auto" w:fill="auto"/>
            <w:tcMar>
              <w:top w:w="43" w:type="dxa"/>
              <w:left w:w="43" w:type="dxa"/>
              <w:bottom w:w="43" w:type="dxa"/>
              <w:right w:w="43" w:type="dxa"/>
            </w:tcMar>
          </w:tcPr>
          <w:p w14:paraId="2211021F"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 </w:t>
            </w:r>
          </w:p>
        </w:tc>
        <w:tc>
          <w:tcPr>
            <w:tcW w:w="3465" w:type="dxa"/>
            <w:shd w:val="clear" w:color="auto" w:fill="auto"/>
            <w:tcMar>
              <w:top w:w="43" w:type="dxa"/>
              <w:left w:w="43" w:type="dxa"/>
              <w:bottom w:w="43" w:type="dxa"/>
              <w:right w:w="43" w:type="dxa"/>
            </w:tcMar>
          </w:tcPr>
          <w:p w14:paraId="018B1DA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BBa_K2033004</w:t>
            </w:r>
          </w:p>
        </w:tc>
        <w:tc>
          <w:tcPr>
            <w:tcW w:w="3360" w:type="dxa"/>
            <w:shd w:val="clear" w:color="auto" w:fill="auto"/>
            <w:tcMar>
              <w:top w:w="43" w:type="dxa"/>
              <w:left w:w="43" w:type="dxa"/>
              <w:bottom w:w="43" w:type="dxa"/>
              <w:right w:w="43" w:type="dxa"/>
            </w:tcMar>
          </w:tcPr>
          <w:p w14:paraId="50FE5B73"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iGEM16_Arizona_State</w:t>
            </w:r>
          </w:p>
        </w:tc>
      </w:tr>
      <w:tr w:rsidR="00753D66" w14:paraId="5443F247" w14:textId="77777777">
        <w:tc>
          <w:tcPr>
            <w:tcW w:w="2535" w:type="dxa"/>
            <w:shd w:val="clear" w:color="auto" w:fill="auto"/>
            <w:tcMar>
              <w:top w:w="43" w:type="dxa"/>
              <w:left w:w="43" w:type="dxa"/>
              <w:bottom w:w="43" w:type="dxa"/>
              <w:right w:w="43" w:type="dxa"/>
            </w:tcMar>
          </w:tcPr>
          <w:p w14:paraId="33D50A5C"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RhlI </w:t>
            </w:r>
          </w:p>
        </w:tc>
        <w:tc>
          <w:tcPr>
            <w:tcW w:w="3465" w:type="dxa"/>
            <w:shd w:val="clear" w:color="auto" w:fill="auto"/>
            <w:tcMar>
              <w:top w:w="43" w:type="dxa"/>
              <w:left w:w="43" w:type="dxa"/>
              <w:bottom w:w="43" w:type="dxa"/>
              <w:right w:w="43" w:type="dxa"/>
            </w:tcMar>
          </w:tcPr>
          <w:p w14:paraId="0EFB4617"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BBa_C0170</w:t>
            </w:r>
          </w:p>
        </w:tc>
        <w:tc>
          <w:tcPr>
            <w:tcW w:w="3360" w:type="dxa"/>
            <w:shd w:val="clear" w:color="auto" w:fill="auto"/>
            <w:tcMar>
              <w:top w:w="43" w:type="dxa"/>
              <w:left w:w="43" w:type="dxa"/>
              <w:bottom w:w="43" w:type="dxa"/>
              <w:right w:w="43" w:type="dxa"/>
            </w:tcMar>
          </w:tcPr>
          <w:p w14:paraId="58BC8B97"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Antiquity</w:t>
            </w:r>
          </w:p>
        </w:tc>
      </w:tr>
      <w:tr w:rsidR="00753D66" w14:paraId="74567D7C" w14:textId="77777777">
        <w:tc>
          <w:tcPr>
            <w:tcW w:w="2535" w:type="dxa"/>
            <w:shd w:val="clear" w:color="auto" w:fill="auto"/>
            <w:tcMar>
              <w:top w:w="43" w:type="dxa"/>
              <w:left w:w="43" w:type="dxa"/>
              <w:bottom w:w="43" w:type="dxa"/>
              <w:right w:w="43" w:type="dxa"/>
            </w:tcMar>
          </w:tcPr>
          <w:p w14:paraId="4DB26023"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BjaI </w:t>
            </w:r>
          </w:p>
        </w:tc>
        <w:tc>
          <w:tcPr>
            <w:tcW w:w="3465" w:type="dxa"/>
            <w:shd w:val="clear" w:color="auto" w:fill="auto"/>
            <w:tcMar>
              <w:top w:w="43" w:type="dxa"/>
              <w:left w:w="43" w:type="dxa"/>
              <w:bottom w:w="43" w:type="dxa"/>
              <w:right w:w="43" w:type="dxa"/>
            </w:tcMar>
          </w:tcPr>
          <w:p w14:paraId="4F1F1075"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BBa_K2033002</w:t>
            </w:r>
          </w:p>
        </w:tc>
        <w:tc>
          <w:tcPr>
            <w:tcW w:w="3360" w:type="dxa"/>
            <w:shd w:val="clear" w:color="auto" w:fill="auto"/>
            <w:tcMar>
              <w:top w:w="43" w:type="dxa"/>
              <w:left w:w="43" w:type="dxa"/>
              <w:bottom w:w="43" w:type="dxa"/>
              <w:right w:w="43" w:type="dxa"/>
            </w:tcMar>
          </w:tcPr>
          <w:p w14:paraId="75C72800"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iGEM16_Arizona_State</w:t>
            </w:r>
          </w:p>
        </w:tc>
      </w:tr>
      <w:tr w:rsidR="00753D66" w14:paraId="26B48947" w14:textId="77777777">
        <w:tc>
          <w:tcPr>
            <w:tcW w:w="2535" w:type="dxa"/>
            <w:shd w:val="clear" w:color="auto" w:fill="auto"/>
            <w:tcMar>
              <w:top w:w="43" w:type="dxa"/>
              <w:left w:w="43" w:type="dxa"/>
              <w:bottom w:w="43" w:type="dxa"/>
              <w:right w:w="43" w:type="dxa"/>
            </w:tcMar>
          </w:tcPr>
          <w:p w14:paraId="3518F70F"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EsaI </w:t>
            </w:r>
          </w:p>
        </w:tc>
        <w:tc>
          <w:tcPr>
            <w:tcW w:w="3465" w:type="dxa"/>
            <w:shd w:val="clear" w:color="auto" w:fill="auto"/>
            <w:tcMar>
              <w:top w:w="43" w:type="dxa"/>
              <w:left w:w="43" w:type="dxa"/>
              <w:bottom w:w="43" w:type="dxa"/>
              <w:right w:w="43" w:type="dxa"/>
            </w:tcMar>
          </w:tcPr>
          <w:p w14:paraId="19CABB6A"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BBa_K1670004</w:t>
            </w:r>
          </w:p>
        </w:tc>
        <w:tc>
          <w:tcPr>
            <w:tcW w:w="3360" w:type="dxa"/>
            <w:shd w:val="clear" w:color="auto" w:fill="auto"/>
            <w:tcMar>
              <w:top w:w="43" w:type="dxa"/>
              <w:left w:w="43" w:type="dxa"/>
              <w:bottom w:w="43" w:type="dxa"/>
              <w:right w:w="43" w:type="dxa"/>
            </w:tcMar>
          </w:tcPr>
          <w:p w14:paraId="1184977E"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iGEM15_Manchester-Graz</w:t>
            </w:r>
          </w:p>
        </w:tc>
      </w:tr>
      <w:tr w:rsidR="00753D66" w14:paraId="20A99011" w14:textId="77777777">
        <w:tc>
          <w:tcPr>
            <w:tcW w:w="2535" w:type="dxa"/>
            <w:shd w:val="clear" w:color="auto" w:fill="auto"/>
            <w:tcMar>
              <w:top w:w="43" w:type="dxa"/>
              <w:left w:w="43" w:type="dxa"/>
              <w:bottom w:w="43" w:type="dxa"/>
              <w:right w:w="43" w:type="dxa"/>
            </w:tcMar>
          </w:tcPr>
          <w:p w14:paraId="77032DB9"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LuxI </w:t>
            </w:r>
          </w:p>
        </w:tc>
        <w:tc>
          <w:tcPr>
            <w:tcW w:w="3465" w:type="dxa"/>
            <w:shd w:val="clear" w:color="auto" w:fill="auto"/>
            <w:tcMar>
              <w:top w:w="43" w:type="dxa"/>
              <w:left w:w="43" w:type="dxa"/>
              <w:bottom w:w="43" w:type="dxa"/>
              <w:right w:w="43" w:type="dxa"/>
            </w:tcMar>
          </w:tcPr>
          <w:p w14:paraId="4FFE169B"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BBa_C0161</w:t>
            </w:r>
          </w:p>
        </w:tc>
        <w:tc>
          <w:tcPr>
            <w:tcW w:w="3360" w:type="dxa"/>
            <w:shd w:val="clear" w:color="auto" w:fill="auto"/>
            <w:tcMar>
              <w:top w:w="43" w:type="dxa"/>
              <w:left w:w="43" w:type="dxa"/>
              <w:bottom w:w="43" w:type="dxa"/>
              <w:right w:w="43" w:type="dxa"/>
            </w:tcMar>
          </w:tcPr>
          <w:p w14:paraId="61B610A6"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Antiquity</w:t>
            </w:r>
          </w:p>
        </w:tc>
      </w:tr>
      <w:tr w:rsidR="00753D66" w14:paraId="5C157021" w14:textId="77777777">
        <w:tc>
          <w:tcPr>
            <w:tcW w:w="2535" w:type="dxa"/>
            <w:shd w:val="clear" w:color="auto" w:fill="auto"/>
            <w:tcMar>
              <w:top w:w="43" w:type="dxa"/>
              <w:left w:w="43" w:type="dxa"/>
              <w:bottom w:w="43" w:type="dxa"/>
              <w:right w:w="43" w:type="dxa"/>
            </w:tcMar>
          </w:tcPr>
          <w:p w14:paraId="240894E6"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SinI </w:t>
            </w:r>
          </w:p>
        </w:tc>
        <w:tc>
          <w:tcPr>
            <w:tcW w:w="3465" w:type="dxa"/>
            <w:shd w:val="clear" w:color="auto" w:fill="auto"/>
            <w:tcMar>
              <w:top w:w="43" w:type="dxa"/>
              <w:left w:w="43" w:type="dxa"/>
              <w:bottom w:w="43" w:type="dxa"/>
              <w:right w:w="43" w:type="dxa"/>
            </w:tcMar>
          </w:tcPr>
          <w:p w14:paraId="78450249"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BBa_K2033008</w:t>
            </w:r>
          </w:p>
        </w:tc>
        <w:tc>
          <w:tcPr>
            <w:tcW w:w="3360" w:type="dxa"/>
            <w:shd w:val="clear" w:color="auto" w:fill="auto"/>
            <w:tcMar>
              <w:top w:w="43" w:type="dxa"/>
              <w:left w:w="43" w:type="dxa"/>
              <w:bottom w:w="43" w:type="dxa"/>
              <w:right w:w="43" w:type="dxa"/>
            </w:tcMar>
          </w:tcPr>
          <w:p w14:paraId="0A759658"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iGEM16_Arizona_State </w:t>
            </w:r>
          </w:p>
        </w:tc>
      </w:tr>
      <w:tr w:rsidR="00753D66" w14:paraId="12629F18" w14:textId="77777777">
        <w:tc>
          <w:tcPr>
            <w:tcW w:w="2535" w:type="dxa"/>
            <w:shd w:val="clear" w:color="auto" w:fill="auto"/>
            <w:tcMar>
              <w:top w:w="43" w:type="dxa"/>
              <w:left w:w="43" w:type="dxa"/>
              <w:bottom w:w="43" w:type="dxa"/>
              <w:right w:w="43" w:type="dxa"/>
            </w:tcMar>
          </w:tcPr>
          <w:p w14:paraId="3D7B8ABD"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AubI </w:t>
            </w:r>
          </w:p>
        </w:tc>
        <w:tc>
          <w:tcPr>
            <w:tcW w:w="3465" w:type="dxa"/>
            <w:shd w:val="clear" w:color="auto" w:fill="auto"/>
            <w:tcMar>
              <w:top w:w="43" w:type="dxa"/>
              <w:left w:w="43" w:type="dxa"/>
              <w:bottom w:w="43" w:type="dxa"/>
              <w:right w:w="43" w:type="dxa"/>
            </w:tcMar>
          </w:tcPr>
          <w:p w14:paraId="47864BF4"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BBa_K2033000</w:t>
            </w:r>
          </w:p>
        </w:tc>
        <w:tc>
          <w:tcPr>
            <w:tcW w:w="3360" w:type="dxa"/>
            <w:shd w:val="clear" w:color="auto" w:fill="auto"/>
            <w:tcMar>
              <w:top w:w="43" w:type="dxa"/>
              <w:left w:w="43" w:type="dxa"/>
              <w:bottom w:w="43" w:type="dxa"/>
              <w:right w:w="43" w:type="dxa"/>
            </w:tcMar>
          </w:tcPr>
          <w:p w14:paraId="061C9A93"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iGEM16_Arizona_State</w:t>
            </w:r>
          </w:p>
        </w:tc>
      </w:tr>
      <w:tr w:rsidR="00753D66" w14:paraId="377A0D5E" w14:textId="77777777">
        <w:tc>
          <w:tcPr>
            <w:tcW w:w="2535" w:type="dxa"/>
            <w:shd w:val="clear" w:color="auto" w:fill="auto"/>
            <w:tcMar>
              <w:top w:w="43" w:type="dxa"/>
              <w:left w:w="43" w:type="dxa"/>
              <w:bottom w:w="43" w:type="dxa"/>
              <w:right w:w="43" w:type="dxa"/>
            </w:tcMar>
          </w:tcPr>
          <w:p w14:paraId="6C7E1D34"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LasI </w:t>
            </w:r>
          </w:p>
        </w:tc>
        <w:tc>
          <w:tcPr>
            <w:tcW w:w="3465" w:type="dxa"/>
            <w:shd w:val="clear" w:color="auto" w:fill="auto"/>
            <w:tcMar>
              <w:top w:w="43" w:type="dxa"/>
              <w:left w:w="43" w:type="dxa"/>
              <w:bottom w:w="43" w:type="dxa"/>
              <w:right w:w="43" w:type="dxa"/>
            </w:tcMar>
          </w:tcPr>
          <w:p w14:paraId="3D334AA7"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BBa_C0078</w:t>
            </w:r>
          </w:p>
        </w:tc>
        <w:tc>
          <w:tcPr>
            <w:tcW w:w="3360" w:type="dxa"/>
            <w:shd w:val="clear" w:color="auto" w:fill="auto"/>
            <w:tcMar>
              <w:top w:w="43" w:type="dxa"/>
              <w:left w:w="43" w:type="dxa"/>
              <w:bottom w:w="43" w:type="dxa"/>
              <w:right w:w="43" w:type="dxa"/>
            </w:tcMar>
          </w:tcPr>
          <w:p w14:paraId="73C3BEC2"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Antiquity</w:t>
            </w:r>
          </w:p>
        </w:tc>
      </w:tr>
      <w:tr w:rsidR="00753D66" w14:paraId="5ED16E08" w14:textId="77777777">
        <w:tc>
          <w:tcPr>
            <w:tcW w:w="2535" w:type="dxa"/>
            <w:shd w:val="clear" w:color="auto" w:fill="auto"/>
            <w:tcMar>
              <w:top w:w="43" w:type="dxa"/>
              <w:left w:w="43" w:type="dxa"/>
              <w:bottom w:w="43" w:type="dxa"/>
              <w:right w:w="43" w:type="dxa"/>
            </w:tcMar>
          </w:tcPr>
          <w:p w14:paraId="605F9069"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CerI </w:t>
            </w:r>
          </w:p>
        </w:tc>
        <w:tc>
          <w:tcPr>
            <w:tcW w:w="3465" w:type="dxa"/>
            <w:shd w:val="clear" w:color="auto" w:fill="auto"/>
            <w:tcMar>
              <w:top w:w="43" w:type="dxa"/>
              <w:left w:w="43" w:type="dxa"/>
              <w:bottom w:w="43" w:type="dxa"/>
              <w:right w:w="43" w:type="dxa"/>
            </w:tcMar>
          </w:tcPr>
          <w:p w14:paraId="4D33EE00"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BBa_K2033006</w:t>
            </w:r>
          </w:p>
        </w:tc>
        <w:tc>
          <w:tcPr>
            <w:tcW w:w="3360" w:type="dxa"/>
            <w:shd w:val="clear" w:color="auto" w:fill="auto"/>
            <w:tcMar>
              <w:top w:w="43" w:type="dxa"/>
              <w:left w:w="43" w:type="dxa"/>
              <w:bottom w:w="43" w:type="dxa"/>
              <w:right w:w="43" w:type="dxa"/>
            </w:tcMar>
          </w:tcPr>
          <w:p w14:paraId="5C3E5861"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iGEM16_Arizona_State</w:t>
            </w:r>
          </w:p>
        </w:tc>
      </w:tr>
    </w:tbl>
    <w:p w14:paraId="23771F38" w14:textId="77777777" w:rsidR="00753D66" w:rsidRDefault="00753D66">
      <w:pPr>
        <w:pStyle w:val="normal0"/>
        <w:widowControl w:val="0"/>
        <w:spacing w:after="100" w:line="240" w:lineRule="auto"/>
        <w:rPr>
          <w:rFonts w:ascii="Times New Roman" w:eastAsia="Times New Roman" w:hAnsi="Times New Roman" w:cs="Times New Roman"/>
          <w:b/>
          <w:sz w:val="24"/>
          <w:szCs w:val="24"/>
        </w:rPr>
      </w:pPr>
    </w:p>
    <w:p w14:paraId="2BF579EB" w14:textId="77777777" w:rsidR="00753D66" w:rsidRDefault="00753D66">
      <w:pPr>
        <w:pStyle w:val="normal0"/>
        <w:spacing w:line="240" w:lineRule="auto"/>
        <w:rPr>
          <w:rFonts w:ascii="Times New Roman" w:eastAsia="Times New Roman" w:hAnsi="Times New Roman" w:cs="Times New Roman"/>
          <w:b/>
          <w:sz w:val="24"/>
          <w:szCs w:val="24"/>
        </w:rPr>
      </w:pPr>
      <w:bookmarkStart w:id="0" w:name="_GoBack"/>
      <w:bookmarkEnd w:id="0"/>
    </w:p>
    <w:p w14:paraId="0352E64B" w14:textId="77777777" w:rsidR="00753D66" w:rsidRDefault="00242475">
      <w:pPr>
        <w:pStyle w:val="normal0"/>
        <w:numPr>
          <w:ilvl w:val="0"/>
          <w:numId w:val="1"/>
        </w:numPr>
        <w:spacing w:line="24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Figures</w:t>
      </w:r>
    </w:p>
    <w:p w14:paraId="1E598E62" w14:textId="77777777" w:rsidR="00753D66" w:rsidRDefault="00753D66">
      <w:pPr>
        <w:pStyle w:val="normal0"/>
        <w:spacing w:line="240" w:lineRule="auto"/>
        <w:rPr>
          <w:rFonts w:ascii="Times New Roman" w:eastAsia="Times New Roman" w:hAnsi="Times New Roman" w:cs="Times New Roman"/>
          <w:sz w:val="24"/>
          <w:szCs w:val="24"/>
        </w:rPr>
      </w:pPr>
    </w:p>
    <w:p w14:paraId="6CB815DA" w14:textId="77777777" w:rsidR="00753D66" w:rsidRDefault="00242475">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5A9E07B7" wp14:editId="7B9AD630">
            <wp:extent cx="4848469" cy="712565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848469" cy="7125652"/>
                    </a:xfrm>
                    <a:prstGeom prst="rect">
                      <a:avLst/>
                    </a:prstGeom>
                    <a:ln/>
                  </pic:spPr>
                </pic:pic>
              </a:graphicData>
            </a:graphic>
          </wp:inline>
        </w:drawing>
      </w:r>
    </w:p>
    <w:p w14:paraId="6D2B2B47" w14:textId="77777777" w:rsidR="00753D66" w:rsidRDefault="00753D66">
      <w:pPr>
        <w:pStyle w:val="normal0"/>
        <w:spacing w:line="240" w:lineRule="auto"/>
        <w:jc w:val="center"/>
        <w:rPr>
          <w:rFonts w:ascii="Times New Roman" w:eastAsia="Times New Roman" w:hAnsi="Times New Roman" w:cs="Times New Roman"/>
          <w:sz w:val="24"/>
          <w:szCs w:val="24"/>
        </w:rPr>
      </w:pPr>
    </w:p>
    <w:p w14:paraId="2C282FF7" w14:textId="77777777" w:rsidR="00753D66" w:rsidRDefault="0024247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Supplementary Figure S1</w:t>
      </w:r>
      <w:r>
        <w:rPr>
          <w:rFonts w:ascii="Times New Roman" w:eastAsia="Times New Roman" w:hAnsi="Times New Roman" w:cs="Times New Roman"/>
          <w:sz w:val="24"/>
          <w:szCs w:val="24"/>
        </w:rPr>
        <w:t>. Induction over time of receivers with sender supernatant. Average GFP/OD</w:t>
      </w:r>
      <w:r>
        <w:rPr>
          <w:rFonts w:ascii="Times New Roman" w:eastAsia="Times New Roman" w:hAnsi="Times New Roman" w:cs="Times New Roman"/>
          <w:sz w:val="24"/>
          <w:szCs w:val="24"/>
          <w:vertAlign w:val="subscript"/>
        </w:rPr>
        <w:t>600</w:t>
      </w:r>
      <w:r>
        <w:rPr>
          <w:rFonts w:ascii="Times New Roman" w:eastAsia="Times New Roman" w:hAnsi="Times New Roman" w:cs="Times New Roman"/>
          <w:sz w:val="24"/>
          <w:szCs w:val="24"/>
        </w:rPr>
        <w:t xml:space="preserve"> over time. Receivers cells were diluted to OD</w:t>
      </w:r>
      <w:r>
        <w:rPr>
          <w:rFonts w:ascii="Times New Roman" w:eastAsia="Times New Roman" w:hAnsi="Times New Roman" w:cs="Times New Roman"/>
          <w:sz w:val="24"/>
          <w:szCs w:val="24"/>
          <w:vertAlign w:val="subscript"/>
        </w:rPr>
        <w:t xml:space="preserve">600 </w:t>
      </w:r>
      <w:r>
        <w:rPr>
          <w:rFonts w:ascii="Times New Roman" w:eastAsia="Times New Roman" w:hAnsi="Times New Roman" w:cs="Times New Roman"/>
          <w:sz w:val="24"/>
          <w:szCs w:val="24"/>
        </w:rPr>
        <w:t>= 0.4 in fresh LB and inoculated with filtered, HSL-enriched supernatant (HSL-s). Percent HSL is calculated based on the fraction of HSL-enriched supernatant in the total volume of treated Receiver culture (see Figure 4). Cells were incubated at 37℃ with c</w:t>
      </w:r>
      <w:r>
        <w:rPr>
          <w:rFonts w:ascii="Times New Roman" w:eastAsia="Times New Roman" w:hAnsi="Times New Roman" w:cs="Times New Roman"/>
          <w:sz w:val="24"/>
          <w:szCs w:val="24"/>
        </w:rPr>
        <w:t>onstant orbital rotation with GFP (excitation 485, emission 515). GFP and OD</w:t>
      </w:r>
      <w:r>
        <w:rPr>
          <w:rFonts w:ascii="Times New Roman" w:eastAsia="Times New Roman" w:hAnsi="Times New Roman" w:cs="Times New Roman"/>
          <w:sz w:val="24"/>
          <w:szCs w:val="24"/>
          <w:vertAlign w:val="subscript"/>
        </w:rPr>
        <w:t>600</w:t>
      </w:r>
      <w:r>
        <w:rPr>
          <w:rFonts w:ascii="Times New Roman" w:eastAsia="Times New Roman" w:hAnsi="Times New Roman" w:cs="Times New Roman"/>
          <w:sz w:val="24"/>
          <w:szCs w:val="24"/>
        </w:rPr>
        <w:t xml:space="preserve"> were measured every 10 minutes over 8 hours. Error bars represent standard deviation of three wells.</w:t>
      </w:r>
    </w:p>
    <w:p w14:paraId="1CC4E33C" w14:textId="77777777" w:rsidR="00753D66" w:rsidRDefault="00753D66">
      <w:pPr>
        <w:pStyle w:val="normal0"/>
        <w:widowControl w:val="0"/>
        <w:spacing w:after="240" w:line="240" w:lineRule="auto"/>
        <w:ind w:left="480"/>
        <w:rPr>
          <w:rFonts w:ascii="Times New Roman" w:eastAsia="Times New Roman" w:hAnsi="Times New Roman" w:cs="Times New Roman"/>
          <w:sz w:val="24"/>
          <w:szCs w:val="24"/>
        </w:rPr>
      </w:pPr>
    </w:p>
    <w:p w14:paraId="484E39BB" w14:textId="77777777" w:rsidR="00753D66" w:rsidRDefault="00753D66">
      <w:pPr>
        <w:pStyle w:val="normal0"/>
        <w:widowControl w:val="0"/>
        <w:spacing w:after="240" w:line="240" w:lineRule="auto"/>
        <w:ind w:left="480"/>
        <w:rPr>
          <w:rFonts w:ascii="Times New Roman" w:eastAsia="Times New Roman" w:hAnsi="Times New Roman" w:cs="Times New Roman"/>
          <w:sz w:val="24"/>
          <w:szCs w:val="24"/>
        </w:rPr>
      </w:pPr>
    </w:p>
    <w:p w14:paraId="7C0998F7" w14:textId="77777777" w:rsidR="00753D66" w:rsidRDefault="00753D66">
      <w:pPr>
        <w:pStyle w:val="normal0"/>
        <w:widowControl w:val="0"/>
        <w:spacing w:after="240" w:line="240" w:lineRule="auto"/>
        <w:ind w:left="480"/>
        <w:rPr>
          <w:rFonts w:ascii="Times New Roman" w:eastAsia="Times New Roman" w:hAnsi="Times New Roman" w:cs="Times New Roman"/>
          <w:sz w:val="24"/>
          <w:szCs w:val="24"/>
        </w:rPr>
      </w:pPr>
    </w:p>
    <w:p w14:paraId="173E3A5D" w14:textId="77777777" w:rsidR="00753D66" w:rsidRDefault="00242475">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E17F70E" wp14:editId="786DCB98">
            <wp:extent cx="4925378" cy="315591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925378" cy="3155918"/>
                    </a:xfrm>
                    <a:prstGeom prst="rect">
                      <a:avLst/>
                    </a:prstGeom>
                    <a:ln/>
                  </pic:spPr>
                </pic:pic>
              </a:graphicData>
            </a:graphic>
          </wp:inline>
        </w:drawing>
      </w:r>
    </w:p>
    <w:p w14:paraId="4951B45D" w14:textId="77777777" w:rsidR="00753D66" w:rsidRDefault="00753D66">
      <w:pPr>
        <w:pStyle w:val="normal0"/>
        <w:widowControl w:val="0"/>
        <w:spacing w:line="240" w:lineRule="auto"/>
        <w:rPr>
          <w:rFonts w:ascii="Times New Roman" w:eastAsia="Times New Roman" w:hAnsi="Times New Roman" w:cs="Times New Roman"/>
          <w:b/>
          <w:sz w:val="24"/>
          <w:szCs w:val="24"/>
        </w:rPr>
      </w:pPr>
    </w:p>
    <w:p w14:paraId="5E811E90"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S2</w:t>
      </w:r>
      <w:r>
        <w:rPr>
          <w:rFonts w:ascii="Times New Roman" w:eastAsia="Times New Roman" w:hAnsi="Times New Roman" w:cs="Times New Roman"/>
          <w:sz w:val="24"/>
          <w:szCs w:val="24"/>
        </w:rPr>
        <w:t xml:space="preserve">. Sender-Receiver induction map </w:t>
      </w:r>
      <w:r>
        <w:rPr>
          <w:rFonts w:ascii="Times New Roman" w:eastAsia="Times New Roman" w:hAnsi="Times New Roman" w:cs="Times New Roman"/>
          <w:sz w:val="24"/>
          <w:szCs w:val="24"/>
        </w:rPr>
        <w:t xml:space="preserve">based on results from assays with cell-free, HSL-enriched liquid media. Cells are represented as nodes (ovals) linked by edges that are formatted to represent the sensitivity of each Receiver (green) to the HSL-enriched supernatant produced by each Sender </w:t>
      </w:r>
      <w:r>
        <w:rPr>
          <w:rFonts w:ascii="Times New Roman" w:eastAsia="Times New Roman" w:hAnsi="Times New Roman" w:cs="Times New Roman"/>
          <w:sz w:val="24"/>
          <w:szCs w:val="24"/>
        </w:rPr>
        <w:t>(pink). High, medium, and low sensitivity represent inductions where 10%, 25%, or 50% HSL-enriched medium significantly increased GFP signal from a Receiver compared to mock-enriched medium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0.05, Student’s one-tailed t-test). Sets 1 and 2 (boxes) repr</w:t>
      </w:r>
      <w:r>
        <w:rPr>
          <w:rFonts w:ascii="Times New Roman" w:eastAsia="Times New Roman" w:hAnsi="Times New Roman" w:cs="Times New Roman"/>
          <w:sz w:val="24"/>
          <w:szCs w:val="24"/>
        </w:rPr>
        <w:t>esent Sender/Receiver pairs that are expected to operate without crosstalk. Set 2 is predicted to exhibit no crosstalk at low HSL concentrations (i.e. 10% HSL-enriched medium).</w:t>
      </w:r>
    </w:p>
    <w:p w14:paraId="1A7E5ECB" w14:textId="77777777" w:rsidR="00753D66" w:rsidRDefault="00753D66">
      <w:pPr>
        <w:pStyle w:val="normal0"/>
        <w:widowControl w:val="0"/>
        <w:spacing w:line="240" w:lineRule="auto"/>
        <w:rPr>
          <w:rFonts w:ascii="Times New Roman" w:eastAsia="Times New Roman" w:hAnsi="Times New Roman" w:cs="Times New Roman"/>
          <w:sz w:val="24"/>
          <w:szCs w:val="24"/>
        </w:rPr>
      </w:pPr>
    </w:p>
    <w:p w14:paraId="7D075B79" w14:textId="77777777" w:rsidR="00753D66" w:rsidRDefault="00242475">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27287BA2" wp14:editId="571BC19A">
            <wp:extent cx="6126480" cy="3314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126480" cy="3314700"/>
                    </a:xfrm>
                    <a:prstGeom prst="rect">
                      <a:avLst/>
                    </a:prstGeom>
                    <a:ln/>
                  </pic:spPr>
                </pic:pic>
              </a:graphicData>
            </a:graphic>
          </wp:inline>
        </w:drawing>
      </w:r>
    </w:p>
    <w:p w14:paraId="1E4D26F9" w14:textId="77777777" w:rsidR="00753D66" w:rsidRDefault="00753D66">
      <w:pPr>
        <w:pStyle w:val="normal0"/>
        <w:widowControl w:val="0"/>
        <w:spacing w:line="240" w:lineRule="auto"/>
        <w:rPr>
          <w:rFonts w:ascii="Times New Roman" w:eastAsia="Times New Roman" w:hAnsi="Times New Roman" w:cs="Times New Roman"/>
          <w:b/>
          <w:sz w:val="24"/>
          <w:szCs w:val="24"/>
        </w:rPr>
      </w:pPr>
    </w:p>
    <w:p w14:paraId="10DCD53C" w14:textId="77777777" w:rsidR="00753D66" w:rsidRDefault="00753D66">
      <w:pPr>
        <w:pStyle w:val="normal0"/>
        <w:widowControl w:val="0"/>
        <w:spacing w:line="240" w:lineRule="auto"/>
        <w:rPr>
          <w:rFonts w:ascii="Times New Roman" w:eastAsia="Times New Roman" w:hAnsi="Times New Roman" w:cs="Times New Roman"/>
          <w:b/>
          <w:sz w:val="24"/>
          <w:szCs w:val="24"/>
        </w:rPr>
      </w:pPr>
    </w:p>
    <w:p w14:paraId="02ED09CF" w14:textId="77777777" w:rsidR="00753D66" w:rsidRDefault="0024247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S3</w:t>
      </w:r>
      <w:r>
        <w:rPr>
          <w:rFonts w:ascii="Times New Roman" w:eastAsia="Times New Roman" w:hAnsi="Times New Roman" w:cs="Times New Roman"/>
          <w:sz w:val="24"/>
          <w:szCs w:val="24"/>
        </w:rPr>
        <w:t>. Sender-Receiver induction map based on results from assays on s</w:t>
      </w:r>
      <w:r>
        <w:rPr>
          <w:rFonts w:ascii="Times New Roman" w:eastAsia="Times New Roman" w:hAnsi="Times New Roman" w:cs="Times New Roman"/>
          <w:sz w:val="24"/>
          <w:szCs w:val="24"/>
        </w:rPr>
        <w:t>olid agar. As in Figure S2, Sender (pink) and Receiver (green) cells are represented as nodes (ovals) linked by edges that are formatted to represent the strength of induction. Here, induction strength is represented by relative induction distance across a</w:t>
      </w:r>
      <w:r>
        <w:rPr>
          <w:rFonts w:ascii="Times New Roman" w:eastAsia="Times New Roman" w:hAnsi="Times New Roman" w:cs="Times New Roman"/>
          <w:sz w:val="24"/>
          <w:szCs w:val="24"/>
        </w:rPr>
        <w:t xml:space="preserve"> lawn of Receiver cells, which was determined as described in Figure 5. Strong, medium, and low induction strengths, are classified by distance thresholds shown in the legend (bottom left). Shaded boxes indicate orthogonal sets that are also predicted by i</w:t>
      </w:r>
      <w:r>
        <w:rPr>
          <w:rFonts w:ascii="Times New Roman" w:eastAsia="Times New Roman" w:hAnsi="Times New Roman" w:cs="Times New Roman"/>
          <w:sz w:val="24"/>
          <w:szCs w:val="24"/>
        </w:rPr>
        <w:t xml:space="preserve">nduction with HSL-enriched media in liquid cultures (sets 1 and 2 from Figure S2). </w:t>
      </w:r>
    </w:p>
    <w:sectPr w:rsidR="00753D66">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C3651"/>
    <w:multiLevelType w:val="multilevel"/>
    <w:tmpl w:val="1F8EF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53D66"/>
    <w:rsid w:val="00242475"/>
    <w:rsid w:val="0075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9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424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4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424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4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rts.igem.org/" TargetMode="External"/><Relationship Id="rId7" Type="http://schemas.openxmlformats.org/officeDocument/2006/relationships/hyperlink" Target="http://parts.igem.org/"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3456</Characters>
  <Application>Microsoft Macintosh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Kamella Haynes</cp:lastModifiedBy>
  <cp:revision>2</cp:revision>
  <dcterms:created xsi:type="dcterms:W3CDTF">2019-02-20T18:23:00Z</dcterms:created>
  <dcterms:modified xsi:type="dcterms:W3CDTF">2019-02-20T18:23:00Z</dcterms:modified>
</cp:coreProperties>
</file>