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DE" w:rsidRDefault="00474CDE" w:rsidP="00947594">
      <w:pPr>
        <w:rPr>
          <w:rFonts w:ascii="Times New Roman" w:hAnsi="Times New Roman"/>
          <w:b/>
          <w:sz w:val="24"/>
          <w:szCs w:val="24"/>
        </w:rPr>
      </w:pPr>
      <w:r>
        <w:rPr>
          <w:rFonts w:ascii="Times New Roman" w:hAnsi="Times New Roman"/>
          <w:b/>
          <w:sz w:val="24"/>
          <w:szCs w:val="24"/>
        </w:rPr>
        <w:t>Supplementary Materials</w:t>
      </w:r>
    </w:p>
    <w:p w:rsidR="00474CDE" w:rsidRPr="007147FA" w:rsidRDefault="00474CDE" w:rsidP="00947594">
      <w:pPr>
        <w:rPr>
          <w:rFonts w:ascii="Times New Roman" w:hAnsi="Times New Roman"/>
          <w:b/>
          <w:sz w:val="24"/>
          <w:szCs w:val="24"/>
        </w:rPr>
      </w:pPr>
      <w:r>
        <w:rPr>
          <w:rFonts w:ascii="Times New Roman" w:hAnsi="Times New Roman"/>
          <w:b/>
          <w:sz w:val="24"/>
          <w:szCs w:val="24"/>
        </w:rPr>
        <w:t xml:space="preserve">Appendix 1. Methods description of decomposition study using </w:t>
      </w:r>
      <w:r>
        <w:rPr>
          <w:rFonts w:ascii="Times New Roman" w:hAnsi="Times New Roman"/>
          <w:b/>
          <w:i/>
          <w:sz w:val="24"/>
          <w:szCs w:val="24"/>
        </w:rPr>
        <w:t xml:space="preserve">Typha domingensis </w:t>
      </w:r>
      <w:r>
        <w:rPr>
          <w:rFonts w:ascii="Times New Roman" w:hAnsi="Times New Roman"/>
          <w:b/>
          <w:sz w:val="24"/>
          <w:szCs w:val="24"/>
        </w:rPr>
        <w:t>litter</w:t>
      </w:r>
    </w:p>
    <w:p w:rsidR="00474CDE" w:rsidRPr="007147FA" w:rsidRDefault="00474CDE" w:rsidP="007147FA">
      <w:pPr>
        <w:spacing w:line="240" w:lineRule="auto"/>
        <w:contextualSpacing/>
        <w:rPr>
          <w:rFonts w:ascii="Times New Roman" w:hAnsi="Times New Roman"/>
          <w:i/>
          <w:sz w:val="24"/>
          <w:szCs w:val="24"/>
        </w:rPr>
      </w:pPr>
      <w:r w:rsidRPr="007147FA">
        <w:rPr>
          <w:rFonts w:ascii="Times New Roman" w:hAnsi="Times New Roman"/>
          <w:i/>
          <w:sz w:val="24"/>
          <w:szCs w:val="24"/>
        </w:rPr>
        <w:t>Experimental set-up</w:t>
      </w:r>
    </w:p>
    <w:p w:rsidR="00474CDE" w:rsidRDefault="00474CDE" w:rsidP="007147FA">
      <w:pPr>
        <w:spacing w:line="240" w:lineRule="auto"/>
        <w:contextualSpacing/>
        <w:rPr>
          <w:rFonts w:ascii="Times New Roman" w:hAnsi="Times New Roman"/>
          <w:sz w:val="24"/>
          <w:szCs w:val="24"/>
        </w:rPr>
      </w:pPr>
      <w:r w:rsidRPr="007147FA">
        <w:rPr>
          <w:rFonts w:ascii="Times New Roman" w:hAnsi="Times New Roman"/>
          <w:b/>
          <w:sz w:val="24"/>
          <w:szCs w:val="24"/>
        </w:rPr>
        <w:tab/>
      </w:r>
      <w:r w:rsidRPr="007147FA">
        <w:rPr>
          <w:rFonts w:ascii="Times New Roman" w:hAnsi="Times New Roman"/>
          <w:sz w:val="24"/>
          <w:szCs w:val="24"/>
        </w:rPr>
        <w:t>In the summer</w:t>
      </w:r>
      <w:r w:rsidRPr="00230560">
        <w:rPr>
          <w:rFonts w:ascii="Times New Roman" w:hAnsi="Times New Roman"/>
          <w:sz w:val="24"/>
          <w:szCs w:val="24"/>
        </w:rPr>
        <w:t xml:space="preserve"> of 2016, we collected senescent </w:t>
      </w:r>
      <w:r w:rsidRPr="00230560">
        <w:rPr>
          <w:rFonts w:ascii="Times New Roman" w:hAnsi="Times New Roman"/>
          <w:i/>
          <w:sz w:val="24"/>
          <w:szCs w:val="24"/>
        </w:rPr>
        <w:t>Typha domingensis</w:t>
      </w:r>
      <w:r w:rsidRPr="00230560">
        <w:rPr>
          <w:rFonts w:ascii="Times New Roman" w:hAnsi="Times New Roman"/>
          <w:sz w:val="24"/>
          <w:szCs w:val="24"/>
        </w:rPr>
        <w:t xml:space="preserve"> leaves from a freshw</w:t>
      </w:r>
      <w:r>
        <w:rPr>
          <w:rFonts w:ascii="Times New Roman" w:hAnsi="Times New Roman"/>
          <w:sz w:val="24"/>
          <w:szCs w:val="24"/>
        </w:rPr>
        <w:t>ater marsh in Weeks Bay, Alabama. We</w:t>
      </w:r>
      <w:r w:rsidRPr="00230560">
        <w:rPr>
          <w:rFonts w:ascii="Times New Roman" w:hAnsi="Times New Roman"/>
          <w:sz w:val="24"/>
          <w:szCs w:val="24"/>
        </w:rPr>
        <w:t xml:space="preserve"> air dried, sectioned into 1</w:t>
      </w:r>
      <w:r>
        <w:rPr>
          <w:rFonts w:ascii="Times New Roman" w:hAnsi="Times New Roman"/>
          <w:sz w:val="24"/>
          <w:szCs w:val="24"/>
        </w:rPr>
        <w:t>7</w:t>
      </w:r>
      <w:r w:rsidRPr="00230560">
        <w:rPr>
          <w:rFonts w:ascii="Times New Roman" w:hAnsi="Times New Roman"/>
          <w:sz w:val="24"/>
          <w:szCs w:val="24"/>
        </w:rPr>
        <w:t xml:space="preserve">-cm lengths, and stored </w:t>
      </w:r>
      <w:r>
        <w:rPr>
          <w:rFonts w:ascii="Times New Roman" w:hAnsi="Times New Roman"/>
          <w:sz w:val="24"/>
          <w:szCs w:val="24"/>
        </w:rPr>
        <w:t xml:space="preserve">leaves </w:t>
      </w:r>
      <w:r w:rsidRPr="00230560">
        <w:rPr>
          <w:rFonts w:ascii="Times New Roman" w:hAnsi="Times New Roman"/>
          <w:sz w:val="24"/>
          <w:szCs w:val="24"/>
        </w:rPr>
        <w:t xml:space="preserve">in the laboratory until use. A subset of </w:t>
      </w:r>
      <w:r>
        <w:rPr>
          <w:rFonts w:ascii="Times New Roman" w:hAnsi="Times New Roman"/>
          <w:sz w:val="24"/>
          <w:szCs w:val="24"/>
        </w:rPr>
        <w:t xml:space="preserve">324 </w:t>
      </w:r>
      <w:r w:rsidRPr="00230560">
        <w:rPr>
          <w:rFonts w:ascii="Times New Roman" w:hAnsi="Times New Roman"/>
          <w:sz w:val="24"/>
          <w:szCs w:val="24"/>
        </w:rPr>
        <w:t>leaf sections w</w:t>
      </w:r>
      <w:r>
        <w:rPr>
          <w:rFonts w:ascii="Times New Roman" w:hAnsi="Times New Roman"/>
          <w:sz w:val="24"/>
          <w:szCs w:val="24"/>
        </w:rPr>
        <w:t>as</w:t>
      </w:r>
      <w:r w:rsidRPr="00230560">
        <w:rPr>
          <w:rFonts w:ascii="Times New Roman" w:hAnsi="Times New Roman"/>
          <w:sz w:val="24"/>
          <w:szCs w:val="24"/>
        </w:rPr>
        <w:t xml:space="preserve"> measured for initial dry mass to determine mass loss over the study. </w:t>
      </w:r>
    </w:p>
    <w:p w:rsidR="00474CDE" w:rsidRDefault="00474CDE" w:rsidP="007147FA">
      <w:pPr>
        <w:spacing w:line="240" w:lineRule="auto"/>
        <w:contextualSpacing/>
        <w:rPr>
          <w:rFonts w:ascii="Times New Roman" w:hAnsi="Times New Roman"/>
          <w:sz w:val="24"/>
          <w:szCs w:val="24"/>
        </w:rPr>
      </w:pPr>
      <w:r>
        <w:rPr>
          <w:rFonts w:ascii="Times New Roman" w:hAnsi="Times New Roman"/>
          <w:sz w:val="24"/>
          <w:szCs w:val="24"/>
        </w:rPr>
        <w:tab/>
      </w:r>
      <w:r w:rsidRPr="00230560">
        <w:rPr>
          <w:rFonts w:ascii="Times New Roman" w:hAnsi="Times New Roman"/>
          <w:sz w:val="24"/>
          <w:szCs w:val="24"/>
        </w:rPr>
        <w:t xml:space="preserve">In January 2017, we anchored twelve 1.2m x 1m floating canopies, six constructed from ultraviolet-transmitting Plexiglas G-UVT (Light treatment) and six from opaque black Plexiglas (Dark treatment), </w:t>
      </w:r>
      <w:r>
        <w:rPr>
          <w:rFonts w:ascii="Times New Roman" w:hAnsi="Times New Roman"/>
          <w:sz w:val="24"/>
          <w:szCs w:val="24"/>
        </w:rPr>
        <w:t xml:space="preserve">in the littoral zone of Lake Thoreau, at </w:t>
      </w:r>
      <w:r w:rsidRPr="00230560">
        <w:rPr>
          <w:rFonts w:ascii="Times New Roman" w:hAnsi="Times New Roman"/>
          <w:sz w:val="24"/>
          <w:szCs w:val="24"/>
        </w:rPr>
        <w:t xml:space="preserve">Lake Thoreau Environmental Center affiliated with the University of Southern Mississippi. To all four sides of each canopy we attached 1 m length opaque sheeting to drape into the water and reduce back-scattering of light. We checked light transmittance of canopies </w:t>
      </w:r>
      <w:r w:rsidRPr="00230560">
        <w:rPr>
          <w:rFonts w:ascii="Times New Roman" w:hAnsi="Times New Roman"/>
          <w:i/>
          <w:sz w:val="24"/>
          <w:szCs w:val="24"/>
        </w:rPr>
        <w:t>in situ</w:t>
      </w:r>
      <w:r w:rsidRPr="00230560">
        <w:rPr>
          <w:rFonts w:ascii="Times New Roman" w:hAnsi="Times New Roman"/>
          <w:sz w:val="24"/>
          <w:szCs w:val="24"/>
        </w:rPr>
        <w:t xml:space="preserve">; light canopies permitted 88% UV and 82% photosynthetically active radiation (PAR) transmittance, whereas Dark canopies permitted &lt;0.1% UV and PAR transmittance. </w:t>
      </w:r>
    </w:p>
    <w:p w:rsidR="00474CDE" w:rsidRDefault="00474CDE" w:rsidP="007147FA">
      <w:pPr>
        <w:spacing w:line="240" w:lineRule="auto"/>
        <w:contextualSpacing/>
        <w:rPr>
          <w:rFonts w:ascii="Times New Roman" w:hAnsi="Times New Roman"/>
          <w:sz w:val="24"/>
          <w:szCs w:val="24"/>
        </w:rPr>
      </w:pPr>
      <w:r>
        <w:rPr>
          <w:rFonts w:ascii="Times New Roman" w:hAnsi="Times New Roman"/>
          <w:sz w:val="24"/>
          <w:szCs w:val="24"/>
        </w:rPr>
        <w:tab/>
      </w:r>
      <w:r w:rsidRPr="00230560">
        <w:rPr>
          <w:rFonts w:ascii="Times New Roman" w:hAnsi="Times New Roman"/>
          <w:sz w:val="24"/>
          <w:szCs w:val="24"/>
        </w:rPr>
        <w:t>On January 13, 2017, three pre-weighed leaf sections were placed into each of 108 floating wire mesh trays and anchored and submerged under each of the twelve canopies (</w:t>
      </w:r>
      <w:r>
        <w:rPr>
          <w:rFonts w:ascii="Times New Roman" w:hAnsi="Times New Roman"/>
          <w:sz w:val="24"/>
          <w:szCs w:val="24"/>
        </w:rPr>
        <w:t>9</w:t>
      </w:r>
      <w:r w:rsidRPr="00230560">
        <w:rPr>
          <w:rFonts w:ascii="Times New Roman" w:hAnsi="Times New Roman"/>
          <w:sz w:val="24"/>
          <w:szCs w:val="24"/>
        </w:rPr>
        <w:t xml:space="preserve"> trays/canopy). Trays were sacrificially sampled from each canopy 7, 21, 42, 70, 98, 126, 154, and 221 days into the study. On each sampling date, litter sections were carefully removed from appropriate trays. Designated mass loss sections were placed into whirl-pak bags</w:t>
      </w:r>
      <w:r>
        <w:rPr>
          <w:rFonts w:ascii="Times New Roman" w:hAnsi="Times New Roman"/>
          <w:sz w:val="24"/>
          <w:szCs w:val="24"/>
        </w:rPr>
        <w:t>, returned to the laboratory, and frozen (-20</w:t>
      </w:r>
      <w:r>
        <w:rPr>
          <w:sz w:val="24"/>
          <w:szCs w:val="24"/>
        </w:rPr>
        <w:t>°</w:t>
      </w:r>
      <w:r>
        <w:rPr>
          <w:rFonts w:ascii="Times New Roman" w:hAnsi="Times New Roman"/>
          <w:sz w:val="24"/>
          <w:szCs w:val="24"/>
        </w:rPr>
        <w:t>C). On each date, lake w</w:t>
      </w:r>
      <w:r w:rsidRPr="00230560">
        <w:rPr>
          <w:rFonts w:ascii="Times New Roman" w:hAnsi="Times New Roman"/>
          <w:sz w:val="24"/>
          <w:szCs w:val="24"/>
        </w:rPr>
        <w:t xml:space="preserve">ater samples were </w:t>
      </w:r>
      <w:r>
        <w:rPr>
          <w:rFonts w:ascii="Times New Roman" w:hAnsi="Times New Roman"/>
          <w:sz w:val="24"/>
          <w:szCs w:val="24"/>
        </w:rPr>
        <w:t xml:space="preserve">collected, </w:t>
      </w:r>
      <w:r w:rsidRPr="00230560">
        <w:rPr>
          <w:rFonts w:ascii="Times New Roman" w:hAnsi="Times New Roman"/>
          <w:sz w:val="24"/>
          <w:szCs w:val="24"/>
        </w:rPr>
        <w:t>frozen and later thawed, filtered, and measured for P-PO</w:t>
      </w:r>
      <w:r w:rsidRPr="00230560">
        <w:rPr>
          <w:rFonts w:ascii="Times New Roman" w:hAnsi="Times New Roman"/>
          <w:sz w:val="24"/>
          <w:szCs w:val="24"/>
          <w:vertAlign w:val="subscript"/>
        </w:rPr>
        <w:t>4</w:t>
      </w:r>
      <w:r w:rsidRPr="00230560">
        <w:rPr>
          <w:rFonts w:ascii="Times New Roman" w:hAnsi="Times New Roman"/>
          <w:sz w:val="24"/>
          <w:szCs w:val="24"/>
        </w:rPr>
        <w:t>, N-NH</w:t>
      </w:r>
      <w:r w:rsidRPr="00230560">
        <w:rPr>
          <w:rFonts w:ascii="Times New Roman" w:hAnsi="Times New Roman"/>
          <w:sz w:val="24"/>
          <w:szCs w:val="24"/>
          <w:vertAlign w:val="subscript"/>
        </w:rPr>
        <w:t>4</w:t>
      </w:r>
      <w:r w:rsidRPr="00230560">
        <w:rPr>
          <w:rFonts w:ascii="Times New Roman" w:hAnsi="Times New Roman"/>
          <w:sz w:val="24"/>
          <w:szCs w:val="24"/>
        </w:rPr>
        <w:t>, and N-NO</w:t>
      </w:r>
      <w:r w:rsidRPr="00230560">
        <w:rPr>
          <w:rFonts w:ascii="Times New Roman" w:hAnsi="Times New Roman"/>
          <w:sz w:val="24"/>
          <w:szCs w:val="24"/>
          <w:vertAlign w:val="subscript"/>
        </w:rPr>
        <w:t>3</w:t>
      </w:r>
      <w:r w:rsidRPr="00230560">
        <w:rPr>
          <w:rFonts w:ascii="Times New Roman" w:hAnsi="Times New Roman"/>
          <w:sz w:val="24"/>
          <w:szCs w:val="24"/>
        </w:rPr>
        <w:t xml:space="preserve"> concentrations using a SEAL Autoanalyzer 3 (</w:t>
      </w:r>
      <w:r>
        <w:rPr>
          <w:rFonts w:ascii="Times New Roman" w:hAnsi="Times New Roman"/>
          <w:sz w:val="24"/>
          <w:szCs w:val="24"/>
        </w:rPr>
        <w:t>SEAL Analytical, Milwaukee, WI</w:t>
      </w:r>
      <w:r w:rsidRPr="00230560">
        <w:rPr>
          <w:rFonts w:ascii="Times New Roman" w:hAnsi="Times New Roman"/>
          <w:sz w:val="24"/>
          <w:szCs w:val="24"/>
        </w:rPr>
        <w:t>).</w:t>
      </w:r>
    </w:p>
    <w:p w:rsidR="00474CDE" w:rsidRDefault="00474CDE" w:rsidP="007147FA">
      <w:pPr>
        <w:spacing w:line="240" w:lineRule="auto"/>
        <w:contextualSpacing/>
        <w:rPr>
          <w:rFonts w:ascii="Times New Roman" w:hAnsi="Times New Roman"/>
          <w:sz w:val="24"/>
          <w:szCs w:val="24"/>
        </w:rPr>
      </w:pPr>
    </w:p>
    <w:p w:rsidR="00474CDE" w:rsidRDefault="00474CDE" w:rsidP="007147FA">
      <w:pPr>
        <w:spacing w:line="240" w:lineRule="auto"/>
        <w:contextualSpacing/>
        <w:rPr>
          <w:rFonts w:ascii="Times New Roman" w:hAnsi="Times New Roman"/>
          <w:i/>
          <w:sz w:val="24"/>
          <w:szCs w:val="24"/>
        </w:rPr>
      </w:pPr>
      <w:r>
        <w:rPr>
          <w:rFonts w:ascii="Times New Roman" w:hAnsi="Times New Roman"/>
          <w:i/>
          <w:sz w:val="24"/>
          <w:szCs w:val="24"/>
        </w:rPr>
        <w:t>Sample analysis</w:t>
      </w:r>
    </w:p>
    <w:p w:rsidR="00474CDE" w:rsidRPr="007E3045" w:rsidRDefault="00474CDE" w:rsidP="007147FA">
      <w:pPr>
        <w:spacing w:line="240" w:lineRule="auto"/>
        <w:contextualSpacing/>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To determine mass loss, frozen sections collected from each canopy on each date were lyophilized, desiccated, and re-weighed. A subset of 12 pre-weighed handling loss litter sections were also lyophilized and reweighed to determine mass loss during field deployment of litter. All 3 litter sections from each replicate on each date were subsequently ground, desiccated, and weighed to determine %C, %N, and %P contents. Litter %C and %N were analyzed using a Costech Elemental Analyzer (Costech Analytical Technologies, Valencia, CA), and %P contents were analyzed after combustion at 500</w:t>
      </w:r>
      <w:r>
        <w:rPr>
          <w:sz w:val="24"/>
          <w:szCs w:val="24"/>
        </w:rPr>
        <w:t>°</w:t>
      </w:r>
      <w:r>
        <w:rPr>
          <w:rFonts w:ascii="Times New Roman" w:hAnsi="Times New Roman"/>
          <w:sz w:val="24"/>
          <w:szCs w:val="24"/>
        </w:rPr>
        <w:t>C, digestion in hydrochloric acid at 85</w:t>
      </w:r>
      <w:r>
        <w:rPr>
          <w:sz w:val="24"/>
          <w:szCs w:val="24"/>
        </w:rPr>
        <w:t>°</w:t>
      </w:r>
      <w:r>
        <w:rPr>
          <w:rFonts w:ascii="Times New Roman" w:hAnsi="Times New Roman"/>
          <w:sz w:val="24"/>
          <w:szCs w:val="24"/>
        </w:rPr>
        <w:t>C, and dilution prior to measurement of P-PO</w:t>
      </w:r>
      <w:r>
        <w:rPr>
          <w:rFonts w:ascii="Times New Roman" w:hAnsi="Times New Roman"/>
          <w:sz w:val="24"/>
          <w:szCs w:val="24"/>
          <w:vertAlign w:val="subscript"/>
        </w:rPr>
        <w:t xml:space="preserve">4 </w:t>
      </w:r>
      <w:r>
        <w:rPr>
          <w:rFonts w:ascii="Times New Roman" w:hAnsi="Times New Roman"/>
          <w:sz w:val="24"/>
          <w:szCs w:val="24"/>
        </w:rPr>
        <w:t xml:space="preserve">using a SEAL AutoAnalyzer 3 (Seal Analytical Inc., Mequon, WI). </w:t>
      </w:r>
    </w:p>
    <w:p w:rsidR="00474CDE" w:rsidRPr="003F436B" w:rsidRDefault="00474CDE" w:rsidP="007147FA">
      <w:pPr>
        <w:spacing w:line="240" w:lineRule="auto"/>
        <w:contextualSpacing/>
        <w:rPr>
          <w:rFonts w:ascii="Times New Roman" w:hAnsi="Times New Roman"/>
          <w:sz w:val="24"/>
          <w:szCs w:val="24"/>
        </w:rPr>
      </w:pPr>
      <w:r>
        <w:rPr>
          <w:rFonts w:ascii="Times New Roman" w:hAnsi="Times New Roman"/>
          <w:sz w:val="24"/>
          <w:szCs w:val="24"/>
        </w:rPr>
        <w:tab/>
        <w:t xml:space="preserve">We calculated exponential dry mass loss rates </w:t>
      </w:r>
      <w:r>
        <w:rPr>
          <w:rFonts w:ascii="Times New Roman" w:hAnsi="Times New Roman"/>
          <w:i/>
          <w:sz w:val="24"/>
          <w:szCs w:val="24"/>
        </w:rPr>
        <w:t xml:space="preserve">k </w:t>
      </w:r>
      <w:r>
        <w:rPr>
          <w:rFonts w:ascii="Times New Roman" w:hAnsi="Times New Roman"/>
          <w:sz w:val="24"/>
          <w:szCs w:val="24"/>
        </w:rPr>
        <w:t>(d</w:t>
      </w:r>
      <w:r>
        <w:rPr>
          <w:rFonts w:ascii="Times New Roman" w:hAnsi="Times New Roman"/>
          <w:sz w:val="24"/>
          <w:szCs w:val="24"/>
          <w:vertAlign w:val="superscript"/>
        </w:rPr>
        <w:t>-1</w:t>
      </w:r>
      <w:r>
        <w:rPr>
          <w:rFonts w:ascii="Times New Roman" w:hAnsi="Times New Roman"/>
          <w:sz w:val="24"/>
          <w:szCs w:val="24"/>
        </w:rPr>
        <w:t>) based on the negative log-transformed slope of litter-periphyton dry mass remaining vs. time (Barl</w:t>
      </w:r>
      <w:r w:rsidRPr="001C6616">
        <w:rPr>
          <w:rFonts w:ascii="Times New Roman" w:hAnsi="Times New Roman"/>
          <w:sz w:val="24"/>
          <w:szCs w:val="24"/>
        </w:rPr>
        <w:t>ö</w:t>
      </w:r>
      <w:r>
        <w:rPr>
          <w:rFonts w:ascii="Times New Roman" w:hAnsi="Times New Roman"/>
          <w:sz w:val="24"/>
          <w:szCs w:val="24"/>
        </w:rPr>
        <w:t xml:space="preserve">cher, 2005). Mass loss rates were subsequently analyzed to determine algal priming intensity following Equation 1 within the main text. Algal effect sizes on litter C:N, C:P, </w:t>
      </w:r>
      <w:r w:rsidRPr="003F436B">
        <w:rPr>
          <w:rFonts w:ascii="Times New Roman" w:hAnsi="Times New Roman"/>
          <w:i/>
          <w:sz w:val="24"/>
          <w:szCs w:val="24"/>
        </w:rPr>
        <w:t>k</w:t>
      </w:r>
      <w:r>
        <w:rPr>
          <w:rFonts w:ascii="Times New Roman" w:hAnsi="Times New Roman"/>
          <w:sz w:val="24"/>
          <w:szCs w:val="24"/>
          <w:vertAlign w:val="subscript"/>
        </w:rPr>
        <w:t>N</w:t>
      </w:r>
      <w:r>
        <w:rPr>
          <w:rFonts w:ascii="Times New Roman" w:hAnsi="Times New Roman"/>
          <w:sz w:val="24"/>
          <w:szCs w:val="24"/>
        </w:rPr>
        <w:t xml:space="preserve">, and </w:t>
      </w:r>
      <w:r w:rsidRPr="003F436B">
        <w:rPr>
          <w:rFonts w:ascii="Times New Roman" w:hAnsi="Times New Roman"/>
          <w:i/>
          <w:sz w:val="24"/>
          <w:szCs w:val="24"/>
        </w:rPr>
        <w:t>k</w:t>
      </w:r>
      <w:r>
        <w:rPr>
          <w:rFonts w:ascii="Times New Roman" w:hAnsi="Times New Roman"/>
          <w:sz w:val="24"/>
          <w:szCs w:val="24"/>
          <w:vertAlign w:val="subscript"/>
        </w:rPr>
        <w:t>P</w:t>
      </w:r>
      <w:r>
        <w:rPr>
          <w:rFonts w:ascii="Times New Roman" w:hAnsi="Times New Roman"/>
          <w:sz w:val="24"/>
          <w:szCs w:val="24"/>
        </w:rPr>
        <w:t xml:space="preserve"> were similarly calculated following equations described within the main text.</w:t>
      </w: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Pr="00170F9A" w:rsidRDefault="00474CDE" w:rsidP="00947594">
      <w:pPr>
        <w:rPr>
          <w:rFonts w:ascii="Times New Roman" w:hAnsi="Times New Roman"/>
          <w:sz w:val="24"/>
          <w:szCs w:val="24"/>
        </w:rPr>
      </w:pPr>
      <w:r w:rsidRPr="00170F9A">
        <w:rPr>
          <w:rFonts w:ascii="Times New Roman" w:hAnsi="Times New Roman"/>
          <w:b/>
          <w:sz w:val="24"/>
          <w:szCs w:val="24"/>
        </w:rPr>
        <w:t xml:space="preserve">Supplemental Table S1. </w:t>
      </w:r>
      <w:r w:rsidRPr="00170F9A">
        <w:rPr>
          <w:rFonts w:ascii="Times New Roman" w:hAnsi="Times New Roman"/>
          <w:sz w:val="24"/>
          <w:szCs w:val="24"/>
        </w:rPr>
        <w:t xml:space="preserve">Mean (±SE) initial molar C:N, C:P, and N:P of leaf litter used in all datasets included in the meta-analysis. See Table 1 in </w:t>
      </w:r>
      <w:r>
        <w:rPr>
          <w:rFonts w:ascii="Times New Roman" w:hAnsi="Times New Roman"/>
          <w:sz w:val="24"/>
          <w:szCs w:val="24"/>
        </w:rPr>
        <w:t xml:space="preserve">the </w:t>
      </w:r>
      <w:r w:rsidRPr="00170F9A">
        <w:rPr>
          <w:rFonts w:ascii="Times New Roman" w:hAnsi="Times New Roman"/>
          <w:sz w:val="24"/>
          <w:szCs w:val="24"/>
        </w:rPr>
        <w:t>main text for further dataset description.</w:t>
      </w:r>
    </w:p>
    <w:tbl>
      <w:tblPr>
        <w:tblW w:w="7517" w:type="dxa"/>
        <w:tblInd w:w="93" w:type="dxa"/>
        <w:tblLook w:val="00A0"/>
      </w:tblPr>
      <w:tblGrid>
        <w:gridCol w:w="607"/>
        <w:gridCol w:w="555"/>
        <w:gridCol w:w="2158"/>
        <w:gridCol w:w="1390"/>
        <w:gridCol w:w="1313"/>
        <w:gridCol w:w="1275"/>
        <w:gridCol w:w="219"/>
      </w:tblGrid>
      <w:tr w:rsidR="00474CDE" w:rsidRPr="007B2E69" w:rsidTr="00C559C5">
        <w:trPr>
          <w:gridAfter w:val="1"/>
          <w:wAfter w:w="219" w:type="dxa"/>
          <w:trHeight w:val="300"/>
        </w:trPr>
        <w:tc>
          <w:tcPr>
            <w:tcW w:w="1165" w:type="dxa"/>
            <w:gridSpan w:val="2"/>
            <w:tcBorders>
              <w:top w:val="single" w:sz="4" w:space="0" w:color="auto"/>
              <w:left w:val="nil"/>
              <w:bottom w:val="single" w:sz="4" w:space="0" w:color="auto"/>
              <w:right w:val="nil"/>
            </w:tcBorders>
          </w:tcPr>
          <w:p w:rsidR="00474CDE" w:rsidRPr="00C559C5" w:rsidRDefault="00474CDE" w:rsidP="006740D7">
            <w:pPr>
              <w:spacing w:after="0" w:line="240" w:lineRule="auto"/>
              <w:rPr>
                <w:rFonts w:ascii="Times New Roman" w:hAnsi="Times New Roman"/>
                <w:color w:val="000000"/>
                <w:sz w:val="24"/>
                <w:szCs w:val="24"/>
                <w:vertAlign w:val="superscript"/>
              </w:rPr>
            </w:pPr>
            <w:r>
              <w:rPr>
                <w:rFonts w:ascii="Times New Roman" w:hAnsi="Times New Roman"/>
                <w:color w:val="000000"/>
                <w:sz w:val="24"/>
                <w:szCs w:val="24"/>
              </w:rPr>
              <w:t>Citation</w:t>
            </w:r>
            <w:r>
              <w:rPr>
                <w:rFonts w:ascii="Times New Roman" w:hAnsi="Times New Roman"/>
                <w:color w:val="000000"/>
                <w:sz w:val="24"/>
                <w:szCs w:val="24"/>
                <w:vertAlign w:val="superscript"/>
              </w:rPr>
              <w:t>a</w:t>
            </w:r>
          </w:p>
        </w:tc>
        <w:tc>
          <w:tcPr>
            <w:tcW w:w="2158" w:type="dxa"/>
            <w:tcBorders>
              <w:top w:val="single" w:sz="4" w:space="0" w:color="auto"/>
              <w:left w:val="nil"/>
              <w:bottom w:val="single" w:sz="4" w:space="0" w:color="auto"/>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Leaf species</w:t>
            </w:r>
          </w:p>
        </w:tc>
        <w:tc>
          <w:tcPr>
            <w:tcW w:w="1387" w:type="dxa"/>
            <w:tcBorders>
              <w:top w:val="single" w:sz="4" w:space="0" w:color="auto"/>
              <w:left w:val="nil"/>
              <w:bottom w:val="single" w:sz="4" w:space="0" w:color="auto"/>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Initial C:N</w:t>
            </w:r>
          </w:p>
        </w:tc>
        <w:tc>
          <w:tcPr>
            <w:tcW w:w="1313" w:type="dxa"/>
            <w:tcBorders>
              <w:top w:val="single" w:sz="4" w:space="0" w:color="auto"/>
              <w:left w:val="nil"/>
              <w:bottom w:val="single" w:sz="4" w:space="0" w:color="auto"/>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Initial C:P</w:t>
            </w:r>
          </w:p>
        </w:tc>
        <w:tc>
          <w:tcPr>
            <w:tcW w:w="1275" w:type="dxa"/>
            <w:tcBorders>
              <w:top w:val="single" w:sz="4" w:space="0" w:color="auto"/>
              <w:left w:val="nil"/>
              <w:bottom w:val="single" w:sz="4" w:space="0" w:color="auto"/>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Initial N:P</w:t>
            </w:r>
          </w:p>
        </w:tc>
      </w:tr>
      <w:tr w:rsidR="00474CDE" w:rsidRPr="007B2E69" w:rsidTr="00C559C5">
        <w:trPr>
          <w:trHeight w:val="300"/>
        </w:trPr>
        <w:tc>
          <w:tcPr>
            <w:tcW w:w="610" w:type="dxa"/>
            <w:tcBorders>
              <w:top w:val="single" w:sz="4" w:space="0" w:color="auto"/>
              <w:left w:val="nil"/>
              <w:bottom w:val="nil"/>
              <w:right w:val="nil"/>
            </w:tcBorders>
          </w:tcPr>
          <w:p w:rsidR="00474CDE" w:rsidRPr="00C559C5" w:rsidRDefault="00474CDE" w:rsidP="006740D7">
            <w:pPr>
              <w:spacing w:after="0" w:line="240" w:lineRule="auto"/>
              <w:rPr>
                <w:rFonts w:ascii="Times New Roman" w:hAnsi="Times New Roman"/>
                <w:color w:val="000000"/>
                <w:sz w:val="24"/>
                <w:szCs w:val="24"/>
              </w:rPr>
            </w:pPr>
            <w:r w:rsidRPr="00C559C5">
              <w:rPr>
                <w:rFonts w:ascii="Times New Roman" w:hAnsi="Times New Roman"/>
                <w:color w:val="000000"/>
                <w:sz w:val="24"/>
                <w:szCs w:val="24"/>
              </w:rPr>
              <w:t>1</w:t>
            </w:r>
          </w:p>
        </w:tc>
        <w:tc>
          <w:tcPr>
            <w:tcW w:w="2713" w:type="dxa"/>
            <w:gridSpan w:val="2"/>
            <w:tcBorders>
              <w:top w:val="single" w:sz="4" w:space="0" w:color="auto"/>
              <w:left w:val="nil"/>
              <w:bottom w:val="nil"/>
              <w:right w:val="nil"/>
            </w:tcBorders>
            <w:noWrap/>
            <w:vAlign w:val="bottom"/>
          </w:tcPr>
          <w:p w:rsidR="00474CDE" w:rsidRPr="006740D7" w:rsidRDefault="00474CDE" w:rsidP="006740D7">
            <w:pPr>
              <w:spacing w:after="0" w:line="240" w:lineRule="auto"/>
              <w:rPr>
                <w:rFonts w:ascii="Times New Roman" w:hAnsi="Times New Roman"/>
                <w:i/>
                <w:color w:val="000000"/>
                <w:sz w:val="24"/>
                <w:szCs w:val="24"/>
              </w:rPr>
            </w:pPr>
            <w:r w:rsidRPr="006740D7">
              <w:rPr>
                <w:rFonts w:ascii="Times New Roman" w:hAnsi="Times New Roman"/>
                <w:i/>
                <w:color w:val="000000"/>
                <w:sz w:val="24"/>
                <w:szCs w:val="24"/>
              </w:rPr>
              <w:t>Acer saccharum</w:t>
            </w:r>
          </w:p>
        </w:tc>
        <w:tc>
          <w:tcPr>
            <w:tcW w:w="1390" w:type="dxa"/>
            <w:tcBorders>
              <w:top w:val="single" w:sz="4" w:space="0" w:color="auto"/>
              <w:left w:val="nil"/>
              <w:bottom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71.9 (2.9)</w:t>
            </w:r>
          </w:p>
        </w:tc>
        <w:tc>
          <w:tcPr>
            <w:tcW w:w="1313" w:type="dxa"/>
            <w:tcBorders>
              <w:top w:val="single" w:sz="4" w:space="0" w:color="auto"/>
              <w:left w:val="nil"/>
              <w:bottom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2334 (603)</w:t>
            </w:r>
          </w:p>
        </w:tc>
        <w:tc>
          <w:tcPr>
            <w:tcW w:w="1491" w:type="dxa"/>
            <w:gridSpan w:val="2"/>
            <w:tcBorders>
              <w:top w:val="single" w:sz="4" w:space="0" w:color="auto"/>
              <w:left w:val="nil"/>
              <w:bottom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32.1 (7.4)</w:t>
            </w:r>
          </w:p>
        </w:tc>
      </w:tr>
      <w:tr w:rsidR="00474CDE" w:rsidRPr="007B2E69" w:rsidTr="00C559C5">
        <w:trPr>
          <w:trHeight w:val="300"/>
        </w:trPr>
        <w:tc>
          <w:tcPr>
            <w:tcW w:w="610" w:type="dxa"/>
            <w:tcBorders>
              <w:top w:val="nil"/>
              <w:left w:val="nil"/>
              <w:bottom w:val="nil"/>
              <w:right w:val="nil"/>
            </w:tcBorders>
          </w:tcPr>
          <w:p w:rsidR="00474CDE" w:rsidRPr="00C559C5" w:rsidRDefault="00474CDE" w:rsidP="006740D7">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2713" w:type="dxa"/>
            <w:gridSpan w:val="2"/>
            <w:tcBorders>
              <w:top w:val="nil"/>
              <w:left w:val="nil"/>
              <w:bottom w:val="nil"/>
              <w:right w:val="nil"/>
            </w:tcBorders>
            <w:noWrap/>
            <w:vAlign w:val="bottom"/>
          </w:tcPr>
          <w:p w:rsidR="00474CDE" w:rsidRPr="006740D7" w:rsidRDefault="00474CDE" w:rsidP="006740D7">
            <w:pPr>
              <w:spacing w:after="0" w:line="240" w:lineRule="auto"/>
              <w:rPr>
                <w:rFonts w:ascii="Times New Roman" w:hAnsi="Times New Roman"/>
                <w:i/>
                <w:color w:val="000000"/>
                <w:sz w:val="24"/>
                <w:szCs w:val="24"/>
              </w:rPr>
            </w:pPr>
            <w:r w:rsidRPr="006740D7">
              <w:rPr>
                <w:rFonts w:ascii="Times New Roman" w:hAnsi="Times New Roman"/>
                <w:i/>
                <w:color w:val="000000"/>
                <w:sz w:val="24"/>
                <w:szCs w:val="24"/>
              </w:rPr>
              <w:t>Liriodendron tulipifera</w:t>
            </w:r>
          </w:p>
        </w:tc>
        <w:tc>
          <w:tcPr>
            <w:tcW w:w="1390" w:type="dxa"/>
            <w:tcBorders>
              <w:top w:val="nil"/>
              <w:left w:val="nil"/>
              <w:bottom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66.4 (3.0)</w:t>
            </w:r>
          </w:p>
        </w:tc>
        <w:tc>
          <w:tcPr>
            <w:tcW w:w="1313" w:type="dxa"/>
            <w:tcBorders>
              <w:top w:val="nil"/>
              <w:left w:val="nil"/>
              <w:bottom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5693 (394)</w:t>
            </w:r>
          </w:p>
        </w:tc>
        <w:tc>
          <w:tcPr>
            <w:tcW w:w="1491" w:type="dxa"/>
            <w:gridSpan w:val="2"/>
            <w:tcBorders>
              <w:top w:val="nil"/>
              <w:left w:val="nil"/>
              <w:bottom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86.4 (6.3)</w:t>
            </w:r>
          </w:p>
        </w:tc>
      </w:tr>
      <w:tr w:rsidR="00474CDE" w:rsidRPr="007B2E69" w:rsidTr="00C559C5">
        <w:trPr>
          <w:trHeight w:val="300"/>
        </w:trPr>
        <w:tc>
          <w:tcPr>
            <w:tcW w:w="610" w:type="dxa"/>
            <w:tcBorders>
              <w:top w:val="nil"/>
              <w:left w:val="nil"/>
              <w:bottom w:val="nil"/>
              <w:right w:val="nil"/>
            </w:tcBorders>
          </w:tcPr>
          <w:p w:rsidR="00474CDE" w:rsidRPr="00C559C5" w:rsidRDefault="00474CDE" w:rsidP="006740D7">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2713" w:type="dxa"/>
            <w:gridSpan w:val="2"/>
            <w:tcBorders>
              <w:top w:val="nil"/>
              <w:left w:val="nil"/>
              <w:bottom w:val="nil"/>
              <w:right w:val="nil"/>
            </w:tcBorders>
            <w:noWrap/>
            <w:vAlign w:val="bottom"/>
          </w:tcPr>
          <w:p w:rsidR="00474CDE" w:rsidRPr="006740D7" w:rsidRDefault="00474CDE" w:rsidP="006740D7">
            <w:pPr>
              <w:spacing w:after="0" w:line="240" w:lineRule="auto"/>
              <w:rPr>
                <w:rFonts w:ascii="Times New Roman" w:hAnsi="Times New Roman"/>
                <w:i/>
                <w:color w:val="000000"/>
                <w:sz w:val="24"/>
                <w:szCs w:val="24"/>
              </w:rPr>
            </w:pPr>
            <w:r w:rsidRPr="006740D7">
              <w:rPr>
                <w:rFonts w:ascii="Times New Roman" w:hAnsi="Times New Roman"/>
                <w:i/>
                <w:color w:val="000000"/>
                <w:sz w:val="24"/>
                <w:szCs w:val="24"/>
              </w:rPr>
              <w:t>Quercus nigra</w:t>
            </w:r>
          </w:p>
        </w:tc>
        <w:tc>
          <w:tcPr>
            <w:tcW w:w="1390" w:type="dxa"/>
            <w:tcBorders>
              <w:top w:val="nil"/>
              <w:left w:val="nil"/>
              <w:bottom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60.8 (4.8)</w:t>
            </w:r>
          </w:p>
        </w:tc>
        <w:tc>
          <w:tcPr>
            <w:tcW w:w="1313" w:type="dxa"/>
            <w:tcBorders>
              <w:top w:val="nil"/>
              <w:left w:val="nil"/>
              <w:bottom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6928 (909)</w:t>
            </w:r>
          </w:p>
        </w:tc>
        <w:tc>
          <w:tcPr>
            <w:tcW w:w="1491" w:type="dxa"/>
            <w:gridSpan w:val="2"/>
            <w:tcBorders>
              <w:top w:val="nil"/>
              <w:left w:val="nil"/>
              <w:bottom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120.5 (20.6)</w:t>
            </w:r>
          </w:p>
        </w:tc>
      </w:tr>
      <w:tr w:rsidR="00474CDE" w:rsidRPr="007B2E69" w:rsidTr="00C559C5">
        <w:trPr>
          <w:trHeight w:val="300"/>
        </w:trPr>
        <w:tc>
          <w:tcPr>
            <w:tcW w:w="610" w:type="dxa"/>
            <w:tcBorders>
              <w:top w:val="nil"/>
              <w:left w:val="nil"/>
              <w:bottom w:val="nil"/>
              <w:right w:val="nil"/>
            </w:tcBorders>
          </w:tcPr>
          <w:p w:rsidR="00474CDE" w:rsidRPr="00C559C5" w:rsidRDefault="00474CDE" w:rsidP="006740D7">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2713" w:type="dxa"/>
            <w:gridSpan w:val="2"/>
            <w:tcBorders>
              <w:top w:val="nil"/>
              <w:left w:val="nil"/>
              <w:bottom w:val="nil"/>
              <w:right w:val="nil"/>
            </w:tcBorders>
            <w:noWrap/>
            <w:vAlign w:val="bottom"/>
          </w:tcPr>
          <w:p w:rsidR="00474CDE" w:rsidRPr="006740D7" w:rsidRDefault="00474CDE" w:rsidP="006740D7">
            <w:pPr>
              <w:spacing w:after="0" w:line="240" w:lineRule="auto"/>
              <w:rPr>
                <w:rFonts w:ascii="Times New Roman" w:hAnsi="Times New Roman"/>
                <w:i/>
                <w:color w:val="000000"/>
                <w:sz w:val="24"/>
                <w:szCs w:val="24"/>
              </w:rPr>
            </w:pPr>
            <w:r w:rsidRPr="006740D7">
              <w:rPr>
                <w:rFonts w:ascii="Times New Roman" w:hAnsi="Times New Roman"/>
                <w:i/>
                <w:color w:val="000000"/>
                <w:sz w:val="24"/>
                <w:szCs w:val="24"/>
              </w:rPr>
              <w:t>Alnus glutinosa</w:t>
            </w:r>
          </w:p>
        </w:tc>
        <w:tc>
          <w:tcPr>
            <w:tcW w:w="1390" w:type="dxa"/>
            <w:tcBorders>
              <w:top w:val="nil"/>
              <w:left w:val="nil"/>
              <w:bottom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20.5 (&lt;0.1)</w:t>
            </w:r>
          </w:p>
        </w:tc>
        <w:tc>
          <w:tcPr>
            <w:tcW w:w="1313" w:type="dxa"/>
            <w:tcBorders>
              <w:top w:val="nil"/>
              <w:left w:val="nil"/>
              <w:bottom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3877 (2)</w:t>
            </w:r>
          </w:p>
        </w:tc>
        <w:tc>
          <w:tcPr>
            <w:tcW w:w="1491" w:type="dxa"/>
            <w:gridSpan w:val="2"/>
            <w:tcBorders>
              <w:top w:val="nil"/>
              <w:left w:val="nil"/>
              <w:bottom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189.0 (0.1)</w:t>
            </w:r>
          </w:p>
        </w:tc>
      </w:tr>
      <w:tr w:rsidR="00474CDE" w:rsidRPr="007B2E69" w:rsidTr="00C559C5">
        <w:trPr>
          <w:trHeight w:val="300"/>
        </w:trPr>
        <w:tc>
          <w:tcPr>
            <w:tcW w:w="610" w:type="dxa"/>
            <w:tcBorders>
              <w:top w:val="nil"/>
              <w:left w:val="nil"/>
              <w:right w:val="nil"/>
            </w:tcBorders>
          </w:tcPr>
          <w:p w:rsidR="00474CDE" w:rsidRPr="00C559C5" w:rsidRDefault="00474CDE" w:rsidP="006740D7">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2713" w:type="dxa"/>
            <w:gridSpan w:val="2"/>
            <w:tcBorders>
              <w:top w:val="nil"/>
              <w:left w:val="nil"/>
              <w:right w:val="nil"/>
            </w:tcBorders>
            <w:noWrap/>
            <w:vAlign w:val="bottom"/>
          </w:tcPr>
          <w:p w:rsidR="00474CDE" w:rsidRPr="006740D7" w:rsidRDefault="00474CDE" w:rsidP="006740D7">
            <w:pPr>
              <w:spacing w:after="0" w:line="240" w:lineRule="auto"/>
              <w:rPr>
                <w:rFonts w:ascii="Times New Roman" w:hAnsi="Times New Roman"/>
                <w:i/>
                <w:color w:val="000000"/>
                <w:sz w:val="24"/>
                <w:szCs w:val="24"/>
              </w:rPr>
            </w:pPr>
            <w:r w:rsidRPr="006740D7">
              <w:rPr>
                <w:rFonts w:ascii="Times New Roman" w:hAnsi="Times New Roman"/>
                <w:i/>
                <w:color w:val="000000"/>
                <w:sz w:val="24"/>
                <w:szCs w:val="24"/>
              </w:rPr>
              <w:t>Zea mays</w:t>
            </w:r>
          </w:p>
        </w:tc>
        <w:tc>
          <w:tcPr>
            <w:tcW w:w="1390" w:type="dxa"/>
            <w:tcBorders>
              <w:top w:val="nil"/>
              <w:left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10</w:t>
            </w:r>
          </w:p>
        </w:tc>
        <w:tc>
          <w:tcPr>
            <w:tcW w:w="1313" w:type="dxa"/>
            <w:tcBorders>
              <w:top w:val="nil"/>
              <w:left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p>
        </w:tc>
        <w:tc>
          <w:tcPr>
            <w:tcW w:w="1491" w:type="dxa"/>
            <w:gridSpan w:val="2"/>
            <w:tcBorders>
              <w:top w:val="nil"/>
              <w:left w:val="nil"/>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p>
        </w:tc>
      </w:tr>
      <w:tr w:rsidR="00474CDE" w:rsidRPr="007B2E69" w:rsidTr="00C559C5">
        <w:trPr>
          <w:trHeight w:val="300"/>
        </w:trPr>
        <w:tc>
          <w:tcPr>
            <w:tcW w:w="610" w:type="dxa"/>
            <w:tcBorders>
              <w:top w:val="nil"/>
              <w:left w:val="nil"/>
              <w:bottom w:val="single" w:sz="4" w:space="0" w:color="auto"/>
              <w:right w:val="nil"/>
            </w:tcBorders>
          </w:tcPr>
          <w:p w:rsidR="00474CDE" w:rsidRPr="00C559C5" w:rsidRDefault="00474CDE" w:rsidP="006740D7">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2713" w:type="dxa"/>
            <w:gridSpan w:val="2"/>
            <w:tcBorders>
              <w:top w:val="nil"/>
              <w:left w:val="nil"/>
              <w:bottom w:val="single" w:sz="4" w:space="0" w:color="auto"/>
              <w:right w:val="nil"/>
            </w:tcBorders>
            <w:noWrap/>
            <w:vAlign w:val="bottom"/>
          </w:tcPr>
          <w:p w:rsidR="00474CDE" w:rsidRPr="006740D7" w:rsidRDefault="00474CDE" w:rsidP="006740D7">
            <w:pPr>
              <w:spacing w:after="0" w:line="240" w:lineRule="auto"/>
              <w:rPr>
                <w:rFonts w:ascii="Times New Roman" w:hAnsi="Times New Roman"/>
                <w:i/>
                <w:color w:val="000000"/>
                <w:sz w:val="24"/>
                <w:szCs w:val="24"/>
              </w:rPr>
            </w:pPr>
            <w:r w:rsidRPr="006740D7">
              <w:rPr>
                <w:rFonts w:ascii="Times New Roman" w:hAnsi="Times New Roman"/>
                <w:i/>
                <w:color w:val="000000"/>
                <w:sz w:val="24"/>
                <w:szCs w:val="24"/>
              </w:rPr>
              <w:t>Typha domingensis</w:t>
            </w:r>
          </w:p>
        </w:tc>
        <w:tc>
          <w:tcPr>
            <w:tcW w:w="1390" w:type="dxa"/>
            <w:tcBorders>
              <w:top w:val="nil"/>
              <w:left w:val="nil"/>
              <w:bottom w:val="single" w:sz="4" w:space="0" w:color="auto"/>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88.5 (3.6)</w:t>
            </w:r>
          </w:p>
        </w:tc>
        <w:tc>
          <w:tcPr>
            <w:tcW w:w="1313" w:type="dxa"/>
            <w:tcBorders>
              <w:top w:val="nil"/>
              <w:left w:val="nil"/>
              <w:bottom w:val="single" w:sz="4" w:space="0" w:color="auto"/>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4031 (513)</w:t>
            </w:r>
          </w:p>
        </w:tc>
        <w:tc>
          <w:tcPr>
            <w:tcW w:w="1491" w:type="dxa"/>
            <w:gridSpan w:val="2"/>
            <w:tcBorders>
              <w:top w:val="nil"/>
              <w:left w:val="nil"/>
              <w:bottom w:val="single" w:sz="4" w:space="0" w:color="auto"/>
              <w:right w:val="nil"/>
            </w:tcBorders>
            <w:noWrap/>
            <w:vAlign w:val="bottom"/>
          </w:tcPr>
          <w:p w:rsidR="00474CDE" w:rsidRPr="006740D7" w:rsidRDefault="00474CDE" w:rsidP="006740D7">
            <w:pPr>
              <w:spacing w:after="0" w:line="240" w:lineRule="auto"/>
              <w:rPr>
                <w:rFonts w:ascii="Times New Roman" w:hAnsi="Times New Roman"/>
                <w:color w:val="000000"/>
                <w:sz w:val="24"/>
                <w:szCs w:val="24"/>
              </w:rPr>
            </w:pPr>
            <w:r w:rsidRPr="006740D7">
              <w:rPr>
                <w:rFonts w:ascii="Times New Roman" w:hAnsi="Times New Roman"/>
                <w:color w:val="000000"/>
                <w:sz w:val="24"/>
                <w:szCs w:val="24"/>
              </w:rPr>
              <w:t>45.0 (4.6)</w:t>
            </w:r>
          </w:p>
        </w:tc>
      </w:tr>
    </w:tbl>
    <w:p w:rsidR="00474CDE" w:rsidRDefault="00474CDE" w:rsidP="00947594">
      <w:pPr>
        <w:rPr>
          <w:rFonts w:ascii="Times New Roman" w:hAnsi="Times New Roman"/>
          <w:sz w:val="24"/>
          <w:szCs w:val="24"/>
        </w:rPr>
      </w:pPr>
      <w:r w:rsidRPr="00C559C5">
        <w:rPr>
          <w:rFonts w:ascii="Times New Roman" w:hAnsi="Times New Roman"/>
          <w:sz w:val="24"/>
          <w:szCs w:val="24"/>
          <w:vertAlign w:val="superscript"/>
        </w:rPr>
        <w:t>a</w:t>
      </w:r>
      <w:r w:rsidRPr="00C559C5">
        <w:rPr>
          <w:rFonts w:ascii="Times New Roman" w:hAnsi="Times New Roman"/>
          <w:sz w:val="24"/>
          <w:szCs w:val="24"/>
        </w:rPr>
        <w:t xml:space="preserve"> Citations</w:t>
      </w:r>
      <w:r>
        <w:rPr>
          <w:rFonts w:ascii="Times New Roman" w:hAnsi="Times New Roman"/>
          <w:sz w:val="24"/>
          <w:szCs w:val="24"/>
        </w:rPr>
        <w:t xml:space="preserve">: </w:t>
      </w:r>
      <w:r>
        <w:rPr>
          <w:rFonts w:ascii="Times New Roman" w:hAnsi="Times New Roman"/>
          <w:sz w:val="24"/>
          <w:szCs w:val="24"/>
          <w:vertAlign w:val="superscript"/>
        </w:rPr>
        <w:t>1</w:t>
      </w:r>
      <w:r>
        <w:rPr>
          <w:rFonts w:ascii="Times New Roman" w:hAnsi="Times New Roman"/>
          <w:sz w:val="24"/>
          <w:szCs w:val="24"/>
        </w:rPr>
        <w:t xml:space="preserve">Halvorson et al. (2016), </w:t>
      </w:r>
      <w:r>
        <w:rPr>
          <w:rFonts w:ascii="Times New Roman" w:hAnsi="Times New Roman"/>
          <w:sz w:val="24"/>
          <w:szCs w:val="24"/>
          <w:vertAlign w:val="superscript"/>
        </w:rPr>
        <w:t>2</w:t>
      </w:r>
      <w:r>
        <w:rPr>
          <w:rFonts w:ascii="Times New Roman" w:hAnsi="Times New Roman"/>
          <w:sz w:val="24"/>
          <w:szCs w:val="24"/>
        </w:rPr>
        <w:t xml:space="preserve">Halvorson et al. (2019), </w:t>
      </w:r>
      <w:r>
        <w:rPr>
          <w:rFonts w:ascii="Times New Roman" w:hAnsi="Times New Roman"/>
          <w:sz w:val="24"/>
          <w:szCs w:val="24"/>
          <w:vertAlign w:val="superscript"/>
        </w:rPr>
        <w:t>3</w:t>
      </w:r>
      <w:r>
        <w:rPr>
          <w:rFonts w:ascii="Times New Roman" w:hAnsi="Times New Roman"/>
          <w:sz w:val="24"/>
          <w:szCs w:val="24"/>
        </w:rPr>
        <w:t xml:space="preserve">Danger et al. (2013), </w:t>
      </w:r>
      <w:r>
        <w:rPr>
          <w:rFonts w:ascii="Times New Roman" w:hAnsi="Times New Roman"/>
          <w:sz w:val="24"/>
          <w:szCs w:val="24"/>
          <w:vertAlign w:val="superscript"/>
        </w:rPr>
        <w:t>4</w:t>
      </w:r>
      <w:r>
        <w:rPr>
          <w:rFonts w:ascii="Times New Roman" w:hAnsi="Times New Roman"/>
          <w:sz w:val="24"/>
          <w:szCs w:val="24"/>
        </w:rPr>
        <w:t xml:space="preserve">Soares et al. (2017), </w:t>
      </w:r>
      <w:r>
        <w:rPr>
          <w:rFonts w:ascii="Times New Roman" w:hAnsi="Times New Roman"/>
          <w:sz w:val="24"/>
          <w:szCs w:val="24"/>
          <w:vertAlign w:val="superscript"/>
        </w:rPr>
        <w:t>5</w:t>
      </w:r>
      <w:r>
        <w:rPr>
          <w:rFonts w:ascii="Times New Roman" w:hAnsi="Times New Roman"/>
          <w:sz w:val="24"/>
          <w:szCs w:val="24"/>
        </w:rPr>
        <w:t>Halvorson et al. (unpublished)</w:t>
      </w:r>
      <w:bookmarkStart w:id="0" w:name="_GoBack"/>
      <w:bookmarkEnd w:id="0"/>
    </w:p>
    <w:p w:rsidR="00474CDE" w:rsidRPr="00C559C5" w:rsidRDefault="00474CDE" w:rsidP="00947594">
      <w:pPr>
        <w:rPr>
          <w:rFonts w:ascii="Times New Roman" w:hAnsi="Times New Roman"/>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p>
    <w:p w:rsidR="00474CDE" w:rsidRDefault="00474CDE" w:rsidP="00947594">
      <w:pPr>
        <w:rPr>
          <w:rFonts w:ascii="Times New Roman" w:hAnsi="Times New Roman"/>
          <w:b/>
          <w:sz w:val="24"/>
          <w:szCs w:val="24"/>
        </w:rPr>
      </w:pPr>
      <w:r w:rsidRPr="007B2E69">
        <w:rPr>
          <w:rFonts w:ascii="Times New Roman" w:hAnsi="Times New Roman"/>
          <w:b/>
          <w:noProof/>
          <w:sz w:val="24"/>
          <w:szCs w:val="24"/>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in;height:438pt;visibility:visible">
            <v:imagedata r:id="rId4" o:title=""/>
          </v:shape>
        </w:pict>
      </w:r>
    </w:p>
    <w:p w:rsidR="00474CDE" w:rsidRPr="008D6663" w:rsidRDefault="00474CDE" w:rsidP="00947594">
      <w:pPr>
        <w:rPr>
          <w:rFonts w:ascii="Times New Roman" w:hAnsi="Times New Roman"/>
          <w:sz w:val="24"/>
          <w:szCs w:val="24"/>
        </w:rPr>
      </w:pPr>
      <w:r w:rsidRPr="008D6663">
        <w:rPr>
          <w:rFonts w:ascii="Times New Roman" w:hAnsi="Times New Roman"/>
          <w:b/>
          <w:sz w:val="24"/>
          <w:szCs w:val="24"/>
        </w:rPr>
        <w:t xml:space="preserve">Supplemental Figure S1. </w:t>
      </w:r>
      <w:r>
        <w:rPr>
          <w:rFonts w:ascii="Times New Roman" w:hAnsi="Times New Roman"/>
          <w:sz w:val="24"/>
          <w:szCs w:val="24"/>
        </w:rPr>
        <w:t xml:space="preserve">Funnel plots describing algal effect sizes on litter-periphyton molar C:N (A), molar C:P (B), N mass loss rates </w:t>
      </w:r>
      <w:r>
        <w:rPr>
          <w:rFonts w:ascii="Times New Roman" w:hAnsi="Times New Roman"/>
          <w:i/>
          <w:sz w:val="24"/>
          <w:szCs w:val="24"/>
        </w:rPr>
        <w:t>k</w:t>
      </w:r>
      <w:r>
        <w:rPr>
          <w:rFonts w:ascii="Times New Roman" w:hAnsi="Times New Roman"/>
          <w:sz w:val="24"/>
          <w:szCs w:val="24"/>
          <w:vertAlign w:val="subscript"/>
        </w:rPr>
        <w:t>N</w:t>
      </w:r>
      <w:r>
        <w:rPr>
          <w:rFonts w:ascii="Times New Roman" w:hAnsi="Times New Roman"/>
          <w:sz w:val="24"/>
          <w:szCs w:val="24"/>
        </w:rPr>
        <w:t xml:space="preserve"> (C), and P mass loss rates </w:t>
      </w:r>
      <w:r>
        <w:rPr>
          <w:rFonts w:ascii="Times New Roman" w:hAnsi="Times New Roman"/>
          <w:i/>
          <w:sz w:val="24"/>
          <w:szCs w:val="24"/>
        </w:rPr>
        <w:t>k</w:t>
      </w:r>
      <w:r>
        <w:rPr>
          <w:rFonts w:ascii="Times New Roman" w:hAnsi="Times New Roman"/>
          <w:sz w:val="24"/>
          <w:szCs w:val="24"/>
          <w:vertAlign w:val="subscript"/>
        </w:rPr>
        <w:t>P</w:t>
      </w:r>
      <w:r>
        <w:rPr>
          <w:rFonts w:ascii="Times New Roman" w:hAnsi="Times New Roman"/>
          <w:sz w:val="24"/>
          <w:szCs w:val="24"/>
        </w:rPr>
        <w:t xml:space="preserve"> (D). A total of 8 or 9 datasets are included for each funnel plot. In each panel, the vertical solid line indicates the global mean effect size and dotted diagonal lines indicate</w:t>
      </w:r>
      <w:r w:rsidRPr="00170F9A">
        <w:rPr>
          <w:rFonts w:ascii="Times New Roman" w:hAnsi="Times New Roman"/>
          <w:sz w:val="24"/>
          <w:szCs w:val="24"/>
        </w:rPr>
        <w:t xml:space="preserve"> ±95% confidence intervals.</w:t>
      </w:r>
      <w:r>
        <w:rPr>
          <w:rFonts w:ascii="Times New Roman" w:hAnsi="Times New Roman"/>
          <w:sz w:val="24"/>
          <w:szCs w:val="24"/>
        </w:rPr>
        <w:t xml:space="preserve"> </w:t>
      </w:r>
    </w:p>
    <w:p w:rsidR="00474CDE" w:rsidRDefault="00474CDE" w:rsidP="00947594">
      <w:pPr>
        <w:rPr>
          <w:rFonts w:ascii="Times New Roman" w:hAnsi="Times New Roman"/>
          <w:b/>
          <w:sz w:val="24"/>
          <w:szCs w:val="24"/>
        </w:rPr>
      </w:pPr>
      <w:r w:rsidRPr="007B2E69">
        <w:rPr>
          <w:rFonts w:ascii="Times New Roman" w:hAnsi="Times New Roman"/>
          <w:b/>
          <w:noProof/>
          <w:sz w:val="24"/>
          <w:szCs w:val="24"/>
          <w:lang w:val="en-IN" w:eastAsia="en-IN"/>
        </w:rPr>
        <w:pict>
          <v:shape id="Picture 6" o:spid="_x0000_i1026" type="#_x0000_t75" style="width:5in;height:491.25pt;visibility:visible">
            <v:imagedata r:id="rId5" o:title=""/>
          </v:shape>
        </w:pict>
      </w:r>
    </w:p>
    <w:p w:rsidR="00474CDE" w:rsidRDefault="00474CDE">
      <w:pPr>
        <w:rPr>
          <w:rFonts w:ascii="Times New Roman" w:hAnsi="Times New Roman"/>
          <w:sz w:val="24"/>
          <w:szCs w:val="24"/>
        </w:rPr>
      </w:pPr>
      <w:r>
        <w:rPr>
          <w:rFonts w:ascii="Times New Roman" w:hAnsi="Times New Roman"/>
          <w:b/>
          <w:sz w:val="24"/>
          <w:szCs w:val="24"/>
        </w:rPr>
        <w:t xml:space="preserve">Supplementary Figure S2. </w:t>
      </w:r>
      <w:r>
        <w:rPr>
          <w:rFonts w:ascii="Times New Roman" w:hAnsi="Times New Roman"/>
          <w:sz w:val="24"/>
          <w:szCs w:val="24"/>
        </w:rPr>
        <w:t xml:space="preserve">Scatterplots of algal priming intensity (A) and algal effect sizes on litter-periphyton molar C:N (B), molar C:P (C), and N- or P-specific mass loss coefficients </w:t>
      </w:r>
      <w:r>
        <w:rPr>
          <w:rFonts w:ascii="Times New Roman" w:hAnsi="Times New Roman"/>
          <w:i/>
          <w:sz w:val="24"/>
          <w:szCs w:val="24"/>
        </w:rPr>
        <w:t>k</w:t>
      </w:r>
      <w:r w:rsidRPr="000930A7">
        <w:rPr>
          <w:rFonts w:ascii="Times New Roman" w:hAnsi="Times New Roman"/>
          <w:sz w:val="24"/>
          <w:szCs w:val="24"/>
          <w:vertAlign w:val="subscript"/>
        </w:rPr>
        <w:t>N</w:t>
      </w:r>
      <w:r>
        <w:rPr>
          <w:rFonts w:ascii="Times New Roman" w:hAnsi="Times New Roman"/>
          <w:sz w:val="24"/>
          <w:szCs w:val="24"/>
        </w:rPr>
        <w:t xml:space="preserve"> (D), and </w:t>
      </w:r>
      <w:r>
        <w:rPr>
          <w:rFonts w:ascii="Times New Roman" w:hAnsi="Times New Roman"/>
          <w:i/>
          <w:sz w:val="24"/>
          <w:szCs w:val="24"/>
        </w:rPr>
        <w:t>k</w:t>
      </w:r>
      <w:r>
        <w:rPr>
          <w:rFonts w:ascii="Times New Roman" w:hAnsi="Times New Roman"/>
          <w:sz w:val="24"/>
          <w:szCs w:val="24"/>
          <w:vertAlign w:val="subscript"/>
        </w:rPr>
        <w:t>P</w:t>
      </w:r>
      <w:r>
        <w:rPr>
          <w:rFonts w:ascii="Times New Roman" w:hAnsi="Times New Roman"/>
          <w:sz w:val="24"/>
          <w:szCs w:val="24"/>
        </w:rPr>
        <w:t xml:space="preserve"> (E) across gradients of dissolved inorganic N:P. In all panels, vertical dashed lines describe an N:P ratio of 16 and horizontal dashed lines indicate an algal effect size of zero, indicating the switch between algal increasing (positive values) or decreasing (negative) each response variable. Pearson correlation coefficients accompany each scatterplot.</w:t>
      </w:r>
    </w:p>
    <w:p w:rsidR="00474CDE" w:rsidRPr="00947594" w:rsidRDefault="00474CDE">
      <w:pPr>
        <w:rPr>
          <w:rFonts w:ascii="Times New Roman" w:hAnsi="Times New Roman"/>
          <w:sz w:val="24"/>
          <w:szCs w:val="24"/>
        </w:rPr>
      </w:pPr>
    </w:p>
    <w:sectPr w:rsidR="00474CDE" w:rsidRPr="00947594" w:rsidSect="00BA3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594"/>
    <w:rsid w:val="000930A7"/>
    <w:rsid w:val="00170F9A"/>
    <w:rsid w:val="001C6616"/>
    <w:rsid w:val="001D5006"/>
    <w:rsid w:val="00230560"/>
    <w:rsid w:val="0030057D"/>
    <w:rsid w:val="003E1A61"/>
    <w:rsid w:val="003F436B"/>
    <w:rsid w:val="00467997"/>
    <w:rsid w:val="00474CDE"/>
    <w:rsid w:val="00550231"/>
    <w:rsid w:val="005C023A"/>
    <w:rsid w:val="005F7A67"/>
    <w:rsid w:val="006740D7"/>
    <w:rsid w:val="007147FA"/>
    <w:rsid w:val="007B2E69"/>
    <w:rsid w:val="007E3045"/>
    <w:rsid w:val="00844E9B"/>
    <w:rsid w:val="008D6663"/>
    <w:rsid w:val="00947594"/>
    <w:rsid w:val="00A64E81"/>
    <w:rsid w:val="00A86D6B"/>
    <w:rsid w:val="00BA3FBF"/>
    <w:rsid w:val="00C559C5"/>
    <w:rsid w:val="00D0082B"/>
    <w:rsid w:val="00E57C39"/>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94"/>
    <w:pPr>
      <w:spacing w:after="200" w:line="276" w:lineRule="auto"/>
    </w:pPr>
    <w:rPr>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70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691</Words>
  <Characters>3945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dc:title>
  <dc:subject/>
  <dc:creator>Halvor Halvorson</dc:creator>
  <cp:keywords/>
  <dc:description/>
  <cp:lastModifiedBy>lalitha.b</cp:lastModifiedBy>
  <cp:revision>2</cp:revision>
  <dcterms:created xsi:type="dcterms:W3CDTF">2019-04-09T07:07:00Z</dcterms:created>
  <dcterms:modified xsi:type="dcterms:W3CDTF">2019-04-09T07:07:00Z</dcterms:modified>
</cp:coreProperties>
</file>