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FFE50" w14:textId="77777777" w:rsidR="001F319A" w:rsidRPr="001E2A1D" w:rsidRDefault="001F319A" w:rsidP="001F319A">
      <w:pPr>
        <w:pStyle w:val="Heading1"/>
        <w:rPr>
          <w:b w:val="0"/>
        </w:rPr>
      </w:pPr>
      <w:r w:rsidRPr="001E2A1D">
        <w:t>The Effect of Cofactor Binding on the Conformational Plasticity of the Biological Receptors in Artificial Metalloenzymes: The Case Study of LmrR.</w:t>
      </w:r>
    </w:p>
    <w:p w14:paraId="45C4268E" w14:textId="77777777" w:rsidR="00431961" w:rsidRPr="001E2A1D" w:rsidRDefault="00431961" w:rsidP="000D0DA2">
      <w:pPr>
        <w:spacing w:line="480" w:lineRule="auto"/>
        <w:jc w:val="both"/>
        <w:rPr>
          <w:rFonts w:asciiTheme="majorHAnsi" w:hAnsiTheme="majorHAnsi"/>
          <w:b/>
        </w:rPr>
      </w:pPr>
    </w:p>
    <w:p w14:paraId="75C15990" w14:textId="6E8B2AEF" w:rsidR="00431961" w:rsidRPr="00EC0A46" w:rsidRDefault="006F2152" w:rsidP="000D0DA2">
      <w:pPr>
        <w:spacing w:line="480" w:lineRule="auto"/>
        <w:jc w:val="center"/>
        <w:rPr>
          <w:rFonts w:asciiTheme="majorHAnsi" w:hAnsiTheme="majorHAnsi"/>
          <w:b/>
          <w:sz w:val="32"/>
          <w:lang w:val="es-ES"/>
        </w:rPr>
      </w:pPr>
      <w:r w:rsidRPr="00EC0A46">
        <w:rPr>
          <w:rFonts w:asciiTheme="majorHAnsi" w:hAnsiTheme="majorHAnsi"/>
          <w:b/>
          <w:sz w:val="32"/>
          <w:lang w:val="es-ES"/>
        </w:rPr>
        <w:t>Supplementary information</w:t>
      </w:r>
    </w:p>
    <w:p w14:paraId="1595E8EB" w14:textId="77777777" w:rsidR="00431961" w:rsidRPr="00EC0A46" w:rsidRDefault="00431961" w:rsidP="000D0DA2">
      <w:pPr>
        <w:spacing w:line="480" w:lineRule="auto"/>
        <w:jc w:val="both"/>
        <w:rPr>
          <w:rFonts w:asciiTheme="majorHAnsi" w:hAnsiTheme="majorHAnsi"/>
          <w:b/>
          <w:lang w:val="es-ES"/>
        </w:rPr>
      </w:pPr>
    </w:p>
    <w:p w14:paraId="33153FBC" w14:textId="4279A74B" w:rsidR="00613037" w:rsidRPr="00EC0A46" w:rsidRDefault="00613037" w:rsidP="000D0DA2">
      <w:pPr>
        <w:spacing w:line="480" w:lineRule="auto"/>
        <w:jc w:val="both"/>
        <w:rPr>
          <w:rFonts w:asciiTheme="majorHAnsi" w:hAnsiTheme="majorHAnsi"/>
          <w:vertAlign w:val="superscript"/>
          <w:lang w:val="es-ES"/>
        </w:rPr>
      </w:pPr>
      <w:r w:rsidRPr="00EC0A46">
        <w:rPr>
          <w:rFonts w:asciiTheme="majorHAnsi" w:hAnsiTheme="majorHAnsi"/>
          <w:lang w:val="es-ES"/>
        </w:rPr>
        <w:t>Lur Alonso-Cotchico</w:t>
      </w:r>
      <w:r w:rsidR="00CC7B31" w:rsidRPr="00EC0A46">
        <w:rPr>
          <w:rFonts w:asciiTheme="majorHAnsi" w:hAnsiTheme="majorHAnsi"/>
          <w:lang w:val="es-ES"/>
        </w:rPr>
        <w:t>,</w:t>
      </w:r>
      <w:r w:rsidR="00133EDE" w:rsidRPr="00EC0A46">
        <w:rPr>
          <w:rFonts w:asciiTheme="majorHAnsi" w:hAnsiTheme="majorHAnsi"/>
          <w:vertAlign w:val="superscript"/>
          <w:lang w:val="es-ES"/>
        </w:rPr>
        <w:t>1</w:t>
      </w:r>
      <w:r w:rsidR="00CC7B31" w:rsidRPr="00EC0A46">
        <w:rPr>
          <w:rFonts w:asciiTheme="majorHAnsi" w:hAnsiTheme="majorHAnsi"/>
          <w:vertAlign w:val="superscript"/>
          <w:lang w:val="es-ES"/>
        </w:rPr>
        <w:t>,2</w:t>
      </w:r>
      <w:r w:rsidRPr="00EC0A46">
        <w:rPr>
          <w:rFonts w:asciiTheme="majorHAnsi" w:hAnsiTheme="majorHAnsi"/>
          <w:lang w:val="es-ES"/>
        </w:rPr>
        <w:t xml:space="preserve"> </w:t>
      </w:r>
      <w:r w:rsidR="00DE2EAB" w:rsidRPr="00EC0A46">
        <w:rPr>
          <w:rFonts w:asciiTheme="majorHAnsi" w:hAnsiTheme="majorHAnsi"/>
          <w:lang w:val="es-ES"/>
        </w:rPr>
        <w:t>Jaime Rodr</w:t>
      </w:r>
      <w:r w:rsidR="00FE3A65" w:rsidRPr="00EC0A46">
        <w:rPr>
          <w:rFonts w:asciiTheme="majorHAnsi" w:hAnsiTheme="majorHAnsi"/>
          <w:lang w:val="es-ES"/>
        </w:rPr>
        <w:t>í</w:t>
      </w:r>
      <w:r w:rsidR="00DE2EAB" w:rsidRPr="00EC0A46">
        <w:rPr>
          <w:rFonts w:asciiTheme="majorHAnsi" w:hAnsiTheme="majorHAnsi"/>
          <w:lang w:val="es-ES"/>
        </w:rPr>
        <w:t>guez-Guerra</w:t>
      </w:r>
      <w:r w:rsidR="00474ECC" w:rsidRPr="00EC0A46">
        <w:rPr>
          <w:rFonts w:asciiTheme="majorHAnsi" w:hAnsiTheme="majorHAnsi"/>
          <w:lang w:val="es-ES"/>
        </w:rPr>
        <w:t xml:space="preserve"> Pedregal</w:t>
      </w:r>
      <w:r w:rsidR="00CC7B31" w:rsidRPr="00EC0A46">
        <w:rPr>
          <w:rFonts w:asciiTheme="majorHAnsi" w:hAnsiTheme="majorHAnsi"/>
          <w:lang w:val="es-ES"/>
        </w:rPr>
        <w:t>,</w:t>
      </w:r>
      <w:r w:rsidR="00133EDE" w:rsidRPr="00EC0A46">
        <w:rPr>
          <w:rFonts w:asciiTheme="majorHAnsi" w:hAnsiTheme="majorHAnsi"/>
          <w:vertAlign w:val="superscript"/>
          <w:lang w:val="es-ES"/>
        </w:rPr>
        <w:t>1</w:t>
      </w:r>
      <w:r w:rsidR="00DE2EAB" w:rsidRPr="00EC0A46">
        <w:rPr>
          <w:rFonts w:asciiTheme="majorHAnsi" w:hAnsiTheme="majorHAnsi"/>
          <w:lang w:val="es-ES"/>
        </w:rPr>
        <w:t xml:space="preserve"> </w:t>
      </w:r>
      <w:r w:rsidRPr="00EC0A46">
        <w:rPr>
          <w:rFonts w:asciiTheme="majorHAnsi" w:hAnsiTheme="majorHAnsi"/>
          <w:lang w:val="es-ES"/>
        </w:rPr>
        <w:t>Agustí Lledós</w:t>
      </w:r>
      <w:r w:rsidR="00CC7B31" w:rsidRPr="00EC0A46">
        <w:rPr>
          <w:rFonts w:asciiTheme="majorHAnsi" w:hAnsiTheme="majorHAnsi"/>
          <w:lang w:val="es-ES"/>
        </w:rPr>
        <w:t>,</w:t>
      </w:r>
      <w:r w:rsidR="00133EDE" w:rsidRPr="00EC0A46">
        <w:rPr>
          <w:rFonts w:asciiTheme="majorHAnsi" w:hAnsiTheme="majorHAnsi"/>
          <w:vertAlign w:val="superscript"/>
          <w:lang w:val="es-ES"/>
        </w:rPr>
        <w:t>1</w:t>
      </w:r>
      <w:r w:rsidRPr="00EC0A46">
        <w:rPr>
          <w:rFonts w:asciiTheme="majorHAnsi" w:hAnsiTheme="majorHAnsi"/>
          <w:lang w:val="es-ES"/>
        </w:rPr>
        <w:t xml:space="preserve"> Jean-Didier Maréchal</w:t>
      </w:r>
      <w:r w:rsidR="00CC7B31" w:rsidRPr="00EC0A46">
        <w:rPr>
          <w:rFonts w:asciiTheme="majorHAnsi" w:hAnsiTheme="majorHAnsi"/>
          <w:vertAlign w:val="superscript"/>
          <w:lang w:val="es-ES"/>
        </w:rPr>
        <w:t>1</w:t>
      </w:r>
      <w:r w:rsidR="003930D3" w:rsidRPr="00EC0A46">
        <w:rPr>
          <w:rFonts w:asciiTheme="majorHAnsi" w:hAnsiTheme="majorHAnsi"/>
          <w:lang w:val="es-ES"/>
        </w:rPr>
        <w:t>*</w:t>
      </w:r>
    </w:p>
    <w:p w14:paraId="0A18C501" w14:textId="77777777" w:rsidR="00133EDE" w:rsidRPr="00EC0A46" w:rsidRDefault="00133EDE" w:rsidP="000D0DA2">
      <w:pPr>
        <w:spacing w:line="480" w:lineRule="auto"/>
        <w:jc w:val="both"/>
        <w:rPr>
          <w:rFonts w:asciiTheme="majorHAnsi" w:hAnsiTheme="majorHAnsi"/>
          <w:lang w:val="es-ES"/>
        </w:rPr>
      </w:pPr>
    </w:p>
    <w:p w14:paraId="01784E55" w14:textId="044AEB21" w:rsidR="00133EDE" w:rsidRPr="00EC0A46" w:rsidRDefault="00133EDE" w:rsidP="00133EDE">
      <w:pPr>
        <w:spacing w:after="200" w:line="480" w:lineRule="auto"/>
        <w:rPr>
          <w:rFonts w:asciiTheme="majorHAnsi" w:hAnsiTheme="majorHAnsi"/>
          <w:lang w:val="es-ES"/>
        </w:rPr>
      </w:pPr>
      <w:r w:rsidRPr="00EC0A46">
        <w:rPr>
          <w:rFonts w:asciiTheme="majorHAnsi" w:hAnsiTheme="majorHAnsi"/>
          <w:vertAlign w:val="superscript"/>
          <w:lang w:val="es-ES"/>
        </w:rPr>
        <w:t>1</w:t>
      </w:r>
      <w:r w:rsidRPr="00EC0A46">
        <w:rPr>
          <w:rFonts w:asciiTheme="majorHAnsi" w:hAnsiTheme="majorHAnsi"/>
          <w:lang w:val="es-ES"/>
        </w:rPr>
        <w:t>Departament de Química, Universitat Autònoma de Barcelona, Edifici C.n., 08193 Cerdanyola del Vallés, Barcelona, Spain</w:t>
      </w:r>
    </w:p>
    <w:p w14:paraId="0EC49E78" w14:textId="29796973" w:rsidR="00133EDE" w:rsidRPr="001E2A1D" w:rsidRDefault="00133EDE" w:rsidP="00133EDE">
      <w:pPr>
        <w:spacing w:after="200" w:line="480" w:lineRule="auto"/>
        <w:rPr>
          <w:rFonts w:asciiTheme="majorHAnsi" w:hAnsiTheme="majorHAnsi"/>
        </w:rPr>
      </w:pPr>
      <w:r w:rsidRPr="001E2A1D">
        <w:rPr>
          <w:rFonts w:asciiTheme="majorHAnsi" w:hAnsiTheme="majorHAnsi"/>
          <w:vertAlign w:val="superscript"/>
        </w:rPr>
        <w:t>2</w:t>
      </w:r>
      <w:r w:rsidRPr="001E2A1D">
        <w:rPr>
          <w:rFonts w:asciiTheme="majorHAnsi" w:hAnsiTheme="majorHAnsi"/>
        </w:rPr>
        <w:t>Stratingh Institute for Chemistry, University of Groningen, Nijenborgh 4, 9747 AG Groningen, the Netherlands</w:t>
      </w:r>
    </w:p>
    <w:p w14:paraId="5C39D372" w14:textId="11FBB21E" w:rsidR="00613037" w:rsidRPr="001E2A1D" w:rsidRDefault="00133EDE" w:rsidP="00133EDE">
      <w:pPr>
        <w:spacing w:after="200" w:line="480" w:lineRule="auto"/>
        <w:rPr>
          <w:rFonts w:asciiTheme="majorHAnsi" w:hAnsiTheme="majorHAnsi"/>
          <w:b/>
        </w:rPr>
      </w:pPr>
      <w:r w:rsidRPr="001E2A1D">
        <w:rPr>
          <w:rFonts w:asciiTheme="majorHAnsi" w:hAnsiTheme="majorHAnsi"/>
        </w:rPr>
        <w:t>*email: JeanDidier.Marechal@uab.cat</w:t>
      </w:r>
      <w:r w:rsidR="00613037" w:rsidRPr="001E2A1D">
        <w:rPr>
          <w:rFonts w:asciiTheme="majorHAnsi" w:hAnsiTheme="majorHAnsi"/>
          <w:b/>
        </w:rPr>
        <w:br w:type="page"/>
      </w:r>
    </w:p>
    <w:p w14:paraId="50398400" w14:textId="77777777" w:rsidR="00782C80" w:rsidRPr="001E2A1D" w:rsidRDefault="00782C80" w:rsidP="006F2152">
      <w:pPr>
        <w:pStyle w:val="TAMainText"/>
      </w:pPr>
    </w:p>
    <w:p w14:paraId="25CA1BE2" w14:textId="0B0450CD" w:rsidR="006F2152" w:rsidRPr="001E2A1D" w:rsidRDefault="006F2152" w:rsidP="00673E84">
      <w:pPr>
        <w:pStyle w:val="TAMainText"/>
        <w:spacing w:line="276" w:lineRule="auto"/>
        <w:rPr>
          <w:b/>
        </w:rPr>
      </w:pPr>
      <w:r w:rsidRPr="001E2A1D">
        <w:rPr>
          <w:b/>
        </w:rPr>
        <w:t>Model systems</w:t>
      </w:r>
    </w:p>
    <w:p w14:paraId="3CFDB078" w14:textId="32B051AF" w:rsidR="004621C9" w:rsidRPr="001E2A1D" w:rsidRDefault="008428A8" w:rsidP="00673E84">
      <w:pPr>
        <w:pStyle w:val="TAMainText"/>
        <w:spacing w:line="276" w:lineRule="auto"/>
      </w:pPr>
      <w:r w:rsidRPr="001E2A1D">
        <w:t>Available X-ray data</w:t>
      </w:r>
      <w:r w:rsidR="004B213A" w:rsidRPr="001E2A1D">
        <w:t xml:space="preserve"> of the LmrR </w:t>
      </w:r>
      <w:r w:rsidRPr="001E2A1D">
        <w:t>was</w:t>
      </w:r>
      <w:r w:rsidR="004B213A" w:rsidRPr="001E2A1D">
        <w:t xml:space="preserve"> used for</w:t>
      </w:r>
      <w:r w:rsidRPr="001E2A1D">
        <w:t xml:space="preserve"> constructing</w:t>
      </w:r>
      <w:r w:rsidR="004B213A" w:rsidRPr="001E2A1D">
        <w:t xml:space="preserve"> the </w:t>
      </w:r>
      <w:r w:rsidR="004B213A" w:rsidRPr="001E2A1D">
        <w:rPr>
          <w:i/>
        </w:rPr>
        <w:t>apo</w:t>
      </w:r>
      <w:r w:rsidR="004B213A" w:rsidRPr="001E2A1D">
        <w:t xml:space="preserve"> LmrR (</w:t>
      </w:r>
      <w:r w:rsidRPr="001E2A1D">
        <w:t>PDB</w:t>
      </w:r>
      <w:r w:rsidR="004B213A" w:rsidRPr="001E2A1D">
        <w:t xml:space="preserve"> code: </w:t>
      </w:r>
      <w:r w:rsidRPr="001E2A1D">
        <w:t>3F8B</w:t>
      </w:r>
      <w:r w:rsidR="000D4C56" w:rsidRPr="001E2A1D">
        <w:t>), the drug-</w:t>
      </w:r>
      <w:r w:rsidR="004B213A" w:rsidRPr="001E2A1D">
        <w:t>bound (</w:t>
      </w:r>
      <w:r w:rsidRPr="001E2A1D">
        <w:t>PDB</w:t>
      </w:r>
      <w:r w:rsidR="004B213A" w:rsidRPr="001E2A1D">
        <w:t xml:space="preserve"> code: </w:t>
      </w:r>
      <w:r w:rsidRPr="001E2A1D">
        <w:t>3F8F</w:t>
      </w:r>
      <w:r w:rsidR="004B213A" w:rsidRPr="001E2A1D">
        <w:t>)</w:t>
      </w:r>
      <w:r w:rsidRPr="001E2A1D">
        <w:t xml:space="preserve"> </w:t>
      </w:r>
      <w:r w:rsidR="000D4C56" w:rsidRPr="001E2A1D">
        <w:t>and the heme-bound form (PDB: 6FUU) of LmrR</w:t>
      </w:r>
      <w:r w:rsidR="004B213A" w:rsidRPr="001E2A1D">
        <w:t>. For th</w:t>
      </w:r>
      <w:r w:rsidRPr="001E2A1D">
        <w:t>e ArMs containing both</w:t>
      </w:r>
      <w:r w:rsidR="00B54887" w:rsidRPr="001E2A1D">
        <w:t xml:space="preserve"> the</w:t>
      </w:r>
      <w:r w:rsidRPr="001E2A1D">
        <w:t xml:space="preserve"> Phen</w:t>
      </w:r>
      <w:r w:rsidR="004621C9" w:rsidRPr="001E2A1D">
        <w:t>-Cu(II)</w:t>
      </w:r>
      <w:r w:rsidRPr="001E2A1D">
        <w:t xml:space="preserve"> and BpyA</w:t>
      </w:r>
      <w:r w:rsidR="004621C9" w:rsidRPr="001E2A1D">
        <w:t>-Cu(II)</w:t>
      </w:r>
      <w:r w:rsidR="00B54887" w:rsidRPr="001E2A1D">
        <w:t xml:space="preserve"> based complexes </w:t>
      </w:r>
      <w:r w:rsidR="000D4C56" w:rsidRPr="001E2A1D">
        <w:t xml:space="preserve">corresponding to systems </w:t>
      </w:r>
      <w:r w:rsidR="000D4C56" w:rsidRPr="001E2A1D">
        <w:rPr>
          <w:b/>
        </w:rPr>
        <w:t>4</w:t>
      </w:r>
      <w:r w:rsidR="000D4C56" w:rsidRPr="001E2A1D">
        <w:t xml:space="preserve"> and </w:t>
      </w:r>
      <w:r w:rsidR="000D4C56" w:rsidRPr="001E2A1D">
        <w:rPr>
          <w:b/>
        </w:rPr>
        <w:t>5</w:t>
      </w:r>
      <w:r w:rsidR="000D4C56" w:rsidRPr="001E2A1D">
        <w:t>, for which</w:t>
      </w:r>
      <w:r w:rsidR="000D4C56" w:rsidRPr="001E2A1D">
        <w:rPr>
          <w:b/>
        </w:rPr>
        <w:t xml:space="preserve"> </w:t>
      </w:r>
      <w:r w:rsidR="00B54887" w:rsidRPr="001E2A1D">
        <w:t xml:space="preserve">no X-ray data </w:t>
      </w:r>
      <w:r w:rsidR="000D4C56" w:rsidRPr="001E2A1D">
        <w:t xml:space="preserve">was </w:t>
      </w:r>
      <w:r w:rsidR="00B54887" w:rsidRPr="001E2A1D">
        <w:t>available,</w:t>
      </w:r>
      <w:r w:rsidRPr="001E2A1D">
        <w:t xml:space="preserve"> the scaffold </w:t>
      </w:r>
      <w:r w:rsidR="000D4C56" w:rsidRPr="001E2A1D">
        <w:t>containing</w:t>
      </w:r>
      <w:r w:rsidRPr="001E2A1D">
        <w:t xml:space="preserve"> drug daunomycin </w:t>
      </w:r>
      <w:r w:rsidR="000D4C56" w:rsidRPr="001E2A1D">
        <w:t xml:space="preserve">(system </w:t>
      </w:r>
      <w:r w:rsidR="000D4C56" w:rsidRPr="001E2A1D">
        <w:rPr>
          <w:b/>
        </w:rPr>
        <w:t>2</w:t>
      </w:r>
      <w:r w:rsidR="000D4C56" w:rsidRPr="001E2A1D">
        <w:t xml:space="preserve">) </w:t>
      </w:r>
      <w:r w:rsidR="00B54887" w:rsidRPr="001E2A1D">
        <w:t>was used</w:t>
      </w:r>
      <w:r w:rsidR="004B213A" w:rsidRPr="001E2A1D">
        <w:t>.</w:t>
      </w:r>
      <w:r w:rsidRPr="001E2A1D">
        <w:t xml:space="preserve"> The </w:t>
      </w:r>
      <w:r w:rsidR="000D4C56" w:rsidRPr="001E2A1D">
        <w:t>inhibitor</w:t>
      </w:r>
      <w:r w:rsidRPr="001E2A1D">
        <w:t xml:space="preserve"> </w:t>
      </w:r>
      <w:r w:rsidR="002E3B1F" w:rsidRPr="001E2A1D">
        <w:t>was</w:t>
      </w:r>
      <w:r w:rsidRPr="001E2A1D">
        <w:t xml:space="preserve"> manually removed</w:t>
      </w:r>
      <w:r w:rsidR="004621C9" w:rsidRPr="001E2A1D">
        <w:t xml:space="preserve"> and then the cofactors (Phen-Cu(II)</w:t>
      </w:r>
      <w:r w:rsidR="00B54887" w:rsidRPr="001E2A1D">
        <w:t>-(H</w:t>
      </w:r>
      <w:r w:rsidR="00B54887" w:rsidRPr="001E2A1D">
        <w:rPr>
          <w:vertAlign w:val="subscript"/>
        </w:rPr>
        <w:t>2</w:t>
      </w:r>
      <w:r w:rsidR="00B54887" w:rsidRPr="001E2A1D">
        <w:t>O)</w:t>
      </w:r>
      <w:r w:rsidR="00853F00" w:rsidRPr="001E2A1D">
        <w:rPr>
          <w:vertAlign w:val="subscript"/>
        </w:rPr>
        <w:t xml:space="preserve">2 </w:t>
      </w:r>
      <w:r w:rsidR="00853F00" w:rsidRPr="001E2A1D">
        <w:t xml:space="preserve">and </w:t>
      </w:r>
      <w:r w:rsidR="00B54887" w:rsidRPr="001E2A1D">
        <w:t>BpyA-Cu(II)-(H</w:t>
      </w:r>
      <w:r w:rsidR="00B54887" w:rsidRPr="001E2A1D">
        <w:rPr>
          <w:vertAlign w:val="subscript"/>
        </w:rPr>
        <w:t>2</w:t>
      </w:r>
      <w:r w:rsidR="00B54887" w:rsidRPr="001E2A1D">
        <w:t>O)</w:t>
      </w:r>
      <w:r w:rsidR="00B54887" w:rsidRPr="001E2A1D">
        <w:rPr>
          <w:vertAlign w:val="subscript"/>
        </w:rPr>
        <w:t>2</w:t>
      </w:r>
      <w:r w:rsidR="00853F00" w:rsidRPr="001E2A1D">
        <w:t xml:space="preserve">) </w:t>
      </w:r>
      <w:r w:rsidR="00B54887" w:rsidRPr="001E2A1D">
        <w:t>were included at position 89 of LmrR</w:t>
      </w:r>
      <w:r w:rsidR="009618C1" w:rsidRPr="001E2A1D">
        <w:t xml:space="preserve">. </w:t>
      </w:r>
      <w:r w:rsidR="002E3B1F" w:rsidRPr="001E2A1D">
        <w:t xml:space="preserve">For all the models </w:t>
      </w:r>
      <w:r w:rsidR="000D4C56" w:rsidRPr="001E2A1D">
        <w:t xml:space="preserve">the </w:t>
      </w:r>
      <w:r w:rsidR="002E3B1F" w:rsidRPr="001E2A1D">
        <w:t xml:space="preserve">crystallographic water molecules and ions were manually removed and missing amino acids in the X-ray material were reconstructed </w:t>
      </w:r>
      <w:r w:rsidR="000D4C56" w:rsidRPr="001E2A1D">
        <w:t>by</w:t>
      </w:r>
      <w:r w:rsidR="002E3B1F" w:rsidRPr="001E2A1D">
        <w:t xml:space="preserve"> superimposition of the </w:t>
      </w:r>
      <w:r w:rsidR="00933512" w:rsidRPr="001E2A1D">
        <w:t xml:space="preserve">LmrR </w:t>
      </w:r>
      <w:r w:rsidR="002E3B1F" w:rsidRPr="001E2A1D">
        <w:t>monomers</w:t>
      </w:r>
      <w:r w:rsidR="00EA0DBA" w:rsidRPr="001E2A1D">
        <w:t xml:space="preserve"> with UCSF Chimera’s matchmaker command</w:t>
      </w:r>
      <w:r w:rsidR="003930D3" w:rsidRPr="001E2A1D">
        <w:t xml:space="preserve"> </w:t>
      </w:r>
      <w:r w:rsidR="00EA0DBA" w:rsidRPr="001E2A1D">
        <w:fldChar w:fldCharType="begin" w:fldLock="1"/>
      </w:r>
      <w:r w:rsidR="008B4FEC" w:rsidRPr="001E2A1D">
        <w:instrText>ADDIN CSL_CITATION {"citationItems":[{"id":"ITEM-1","itemData":{"DOI":"10.1002/jcc.20084","ISBN":"0192-8651 (Print)\\n0192-8651 (Linking)","ISSN":"01928651","PMID":"15264254","abstract":"The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 ©2004 Wiley Periodicals, Inc. J Comput Chem 25: 1605-1612, 2004","author":[{"dropping-particle":"","family":"Pettersen","given":"Eric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E","non-dropping-particle":"","parse-names":false,"suffix":""}],"container-title":"Journal of Computational Chemistry","id":"ITEM-1","issue":"13","issued":{"date-parts":[["2004"]]},"page":"1605-1612","title":"UCSF Chimera - A visualization system for exploratory research and analysis","type":"article-journal","volume":"25"},"uris":["http://www.mendeley.com/documents/?uuid=a324215f-e1a2-4f1a-bb43-7b78c3c63b49"]}],"mendeley":{"formattedCitation":"(Pettersen et al. 2004)","plainTextFormattedCitation":"(Pettersen et al. 2004)","previouslyFormattedCitation":"(Pettersen et al. 2004)"},"properties":{"noteIndex":0},"schema":"https://github.com/citation-style-language/schema/raw/master/csl-citation.json"}</w:instrText>
      </w:r>
      <w:r w:rsidR="00EA0DBA" w:rsidRPr="001E2A1D">
        <w:fldChar w:fldCharType="separate"/>
      </w:r>
      <w:r w:rsidR="00EA0DBA" w:rsidRPr="001E2A1D">
        <w:t>(Pettersen et al. 2004)</w:t>
      </w:r>
      <w:r w:rsidR="00EA0DBA" w:rsidRPr="001E2A1D">
        <w:fldChar w:fldCharType="end"/>
      </w:r>
      <w:r w:rsidR="003930D3" w:rsidRPr="001E2A1D">
        <w:t>.</w:t>
      </w:r>
    </w:p>
    <w:p w14:paraId="7EBB1E35" w14:textId="77777777" w:rsidR="00BB28DD" w:rsidRPr="001E2A1D" w:rsidRDefault="00BB28DD" w:rsidP="00673E84">
      <w:pPr>
        <w:pStyle w:val="TAMainText"/>
        <w:spacing w:line="276" w:lineRule="auto"/>
      </w:pPr>
    </w:p>
    <w:p w14:paraId="47E3FC3C" w14:textId="041F1EDC" w:rsidR="006F2152" w:rsidRPr="001E2A1D" w:rsidRDefault="006F2152" w:rsidP="00673E84">
      <w:pPr>
        <w:pStyle w:val="TAMainText"/>
        <w:spacing w:line="276" w:lineRule="auto"/>
        <w:rPr>
          <w:b/>
        </w:rPr>
      </w:pPr>
      <w:r w:rsidRPr="001E2A1D">
        <w:rPr>
          <w:b/>
        </w:rPr>
        <w:t>Computational methods</w:t>
      </w:r>
    </w:p>
    <w:p w14:paraId="2640CD61" w14:textId="354AA7FA" w:rsidR="004B213A" w:rsidRPr="001E2A1D" w:rsidRDefault="002304CA" w:rsidP="00673E84">
      <w:pPr>
        <w:pStyle w:val="TAMainText"/>
        <w:spacing w:line="276" w:lineRule="auto"/>
        <w:rPr>
          <w:i/>
        </w:rPr>
      </w:pPr>
      <w:r w:rsidRPr="001E2A1D">
        <w:rPr>
          <w:i/>
        </w:rPr>
        <w:t xml:space="preserve">Quantum calculations. </w:t>
      </w:r>
      <w:r w:rsidR="001B09B3" w:rsidRPr="001E2A1D">
        <w:t>All t</w:t>
      </w:r>
      <w:r w:rsidR="004B213A" w:rsidRPr="001E2A1D">
        <w:t xml:space="preserve">he organometallic complexes </w:t>
      </w:r>
      <w:r w:rsidR="001B09B3" w:rsidRPr="001E2A1D">
        <w:t>Phen-Cu(II)-(H</w:t>
      </w:r>
      <w:r w:rsidR="001B09B3" w:rsidRPr="001E2A1D">
        <w:rPr>
          <w:vertAlign w:val="subscript"/>
        </w:rPr>
        <w:t>2</w:t>
      </w:r>
      <w:r w:rsidR="001B09B3" w:rsidRPr="001E2A1D">
        <w:t>O)</w:t>
      </w:r>
      <w:r w:rsidR="001B09B3" w:rsidRPr="001E2A1D">
        <w:rPr>
          <w:vertAlign w:val="subscript"/>
        </w:rPr>
        <w:t>2</w:t>
      </w:r>
      <w:r w:rsidR="001B09B3" w:rsidRPr="001E2A1D">
        <w:t>, BpyA-Cu(II)-(H</w:t>
      </w:r>
      <w:r w:rsidR="001B09B3" w:rsidRPr="001E2A1D">
        <w:rPr>
          <w:vertAlign w:val="subscript"/>
        </w:rPr>
        <w:t>2</w:t>
      </w:r>
      <w:r w:rsidR="001B09B3" w:rsidRPr="001E2A1D">
        <w:t>O)</w:t>
      </w:r>
      <w:r w:rsidR="001B09B3" w:rsidRPr="001E2A1D">
        <w:rPr>
          <w:vertAlign w:val="subscript"/>
        </w:rPr>
        <w:t>2</w:t>
      </w:r>
      <w:r w:rsidR="001B09B3" w:rsidRPr="001E2A1D">
        <w:t xml:space="preserve"> and </w:t>
      </w:r>
      <w:r w:rsidR="000D4C56" w:rsidRPr="001E2A1D">
        <w:t>the</w:t>
      </w:r>
      <w:r w:rsidR="001B09B3" w:rsidRPr="001E2A1D">
        <w:t xml:space="preserve"> heme group</w:t>
      </w:r>
      <w:r w:rsidR="004B213A" w:rsidRPr="001E2A1D">
        <w:t xml:space="preserve"> were optimized with Gaussian09 program</w:t>
      </w:r>
      <w:r w:rsidR="003930D3" w:rsidRPr="001E2A1D">
        <w:t xml:space="preserve"> </w:t>
      </w:r>
      <w:r w:rsidR="006F6A6B" w:rsidRPr="001E2A1D">
        <w:fldChar w:fldCharType="begin" w:fldLock="1"/>
      </w:r>
      <w:r w:rsidR="006F6A6B" w:rsidRPr="001E2A1D">
        <w:instrText>ADDIN CSL_CITATION {"citationItems":[{"id":"ITEM-1","itemData":{"DOI":"10.1159/000348293","ISBN":"9781935522027","ISSN":"1424-859X","PMID":"23364178","abstract":"Frisch, M. J.; Gaussian 09, Revision C.01; Gaussian, Inc.: Wallingford CT, 2009.","author":[{"dropping-particle":"","family":"Frisch","given":"M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container-title":"Gaussian 09, Revision D.01","id":"ITEM-1","issued":{"date-parts":[["2009"]]},"title":"Gaussian 09, Revision D.01","type":"article"},"uris":["http://www.mendeley.com/documents/?uuid=324e2399-b86b-4556-b059-31b3615c319a"]}],"mendeley":{"formattedCitation":"(Frisch et al. 2009)","plainTextFormattedCitation":"(Frisch et al. 2009)","previouslyFormattedCitation":"(Frisch et al. 2009)"},"properties":{"noteIndex":0},"schema":"https://github.com/citation-style-language/schema/raw/master/csl-citation.json"}</w:instrText>
      </w:r>
      <w:r w:rsidR="006F6A6B" w:rsidRPr="001E2A1D">
        <w:fldChar w:fldCharType="separate"/>
      </w:r>
      <w:r w:rsidR="006F6A6B" w:rsidRPr="001E2A1D">
        <w:t>(Frisch et al. 2009)</w:t>
      </w:r>
      <w:r w:rsidR="006F6A6B" w:rsidRPr="001E2A1D">
        <w:fldChar w:fldCharType="end"/>
      </w:r>
      <w:r w:rsidR="00EA0DBA" w:rsidRPr="001E2A1D">
        <w:t xml:space="preserve"> </w:t>
      </w:r>
      <w:r w:rsidR="004B213A" w:rsidRPr="001E2A1D">
        <w:t>at DFT/B3LYP</w:t>
      </w:r>
      <w:r w:rsidR="00715FDC" w:rsidRPr="001E2A1D">
        <w:t>-D3 level</w:t>
      </w:r>
      <w:r w:rsidR="003930D3" w:rsidRPr="001E2A1D">
        <w:t xml:space="preserve"> </w:t>
      </w:r>
      <w:r w:rsidR="00715FDC" w:rsidRPr="001E2A1D">
        <w:fldChar w:fldCharType="begin" w:fldLock="1"/>
      </w:r>
      <w:r w:rsidR="00715FDC" w:rsidRPr="001E2A1D">
        <w:instrText>ADDIN CSL_CITATION {"citationItems":[{"id":"ITEM-1","itemData":{"DOI":"10.1063/1.464913","ISBN":"0021-9606","ISSN":"00219606","PMID":"905","abstract":"Despite the remarkable thermochemical accuracy of Kohn-Sham density-functional theories with gradient corrections for exchange-correlation {[}see, for example, A. D. Becke, J. Chem. Phys. 96, 2155 (1992)], we believe that further improvements are unlikely unless exact-exchange information is considered. Arguments to support this view are presented, and a semiempirical exchange-correlation functional containing local-spin-density, gradient, and exact-exchange terms is tested on 56 atomization energies, 42 ionization potentials, 8 proton affinities, and 10 total atomic energies of first- and second-row systems. This functional performs significantly better than previous functionals with gradient corrections only, and fits experimental atomization energies with an impressively small average absolute deviation of 2.4 kcal/mol.","author":[{"dropping-particle":"","family":"Becke","given":"Axel D","non-dropping-particle":"","parse-names":false,"suffix":""}],"container-title":"The Journal of Chemical Physics","id":"ITEM-1","issue":"7","issued":{"date-parts":[["1993"]]},"page":"5648-5652","title":"Density-functional thermochemistry. III. The role of exact exchange","type":"article-journal","volume":"98"},"uris":["http://www.mendeley.com/documents/?uuid=5a89365f-b0e1-4f55-92ef-aff03f864c67"]},{"id":"ITEM-2","itemData":{"DOI":"10.1021/j100096a001","ISBN":"0022-3654","ISSN":"0022-3654","PMID":"20684921","abstract":"The unpolarized absorption and circular dichroism spectra of the fundamental vibrational transitions of the chiral molecule 4-methyl-2-oxetanone are calculated ab initio. Harmonic force fields are obtained using density functional theory (DFT), MP2 and SCF methodologies, and a [5s4p2d/3s2p] (TZ2P) basis set. DFT calculations use the LSDA, BLYP, and Becke3LYP (B3LYP) density functionals. Mid-IR spectra predicted using LSDA, BLYP, and B3LYP force fields are of significantly different quality, the B3LYP force field yielding spectra in clearly superior, and overall excellent, agreement with experiment. The MP2 force field yields spectra in slightly worse agreement with experiment than the B3LYP force field. The SCF force field yields spectra in poor agreement with experiment. The basis set dependence of B3LYP force fields is also explored: the 6-31G* and TZ2P basis sets give very similar results while the 3-21G basis set yields spectra in substantially worse agreement with experiment.","author":[{"dropping-particle":"","family":"Stephens","given":"P J","non-dropping-particle":"","parse-names":false,"suffix":""},{"dropping-particle":"","family":"Devlin","given":"F J","non-dropping-particle":"","parse-names":false,"suffix":""},{"dropping-particle":"","family":"Chabalowski","given":"C F","non-dropping-particle":"","parse-names":false,"suffix":""},{"dropping-particle":"","family":"Frisch","given":"M J","non-dropping-particle":"","parse-names":false,"suffix":""}],"container-title":"The Journal of Physical Chemistry","id":"ITEM-2","issue":"45","issued":{"date-parts":[["1994"]]},"page":"11623-11627","title":"Ab initio calculation of vibrational absorption and circular dichroism spectra using density functional force fields","type":"article-journal","volume":"98"},"uris":["http://www.mendeley.com/documents/?uuid=685fc9e9-9970-4352-9cb6-2cb6c146723e"]},{"id":"ITEM-3","itemData":{"DOI":"10.1063/1.3382344","ISBN":"0021-9606","ISSN":"00219606","PMID":"20423165","abstract":"The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author":[{"dropping-particle":"","family":"Grimme","given":"Stefan","non-dropping-particle":"","parse-names":false,"suffix":""},{"dropping-particle":"","family":"Antony","given":"Jens","non-dropping-particle":"","parse-names":false,"suffix":""},{"dropping-particle":"","family":"Ehrlich","given":"Stephan","non-dropping-particle":"","parse-names":false,"suffix":""},{"dropping-particle":"","family":"Krieg","given":"Helge","non-dropping-particle":"","parse-names":false,"suffix":""}],"container-title":"Journal of Chemical Physics","id":"ITEM-3","issue":"15","issued":{"date-parts":[["2010"]]},"page":"154104","title":"A consistent and accurate ab initio parametrization of density functional dispersion correction (DFT-D) for the 94 elements H-Pu","type":"article-journal","volume":"132"},"uris":["http://www.mendeley.com/documents/?uuid=358635be-6713-4a6f-8133-dd6891302a0e"]}],"mendeley":{"formattedCitation":"(Becke 1993; Stephens et al. 1994; Grimme et al. 2010)","plainTextFormattedCitation":"(Becke 1993; Stephens et al. 1994; Grimme et al. 2010)","previouslyFormattedCitation":"(Becke 1993; Stephens et al. 1994; Grimme et al. 2010)"},"properties":{"noteIndex":0},"schema":"https://github.com/citation-style-language/schema/raw/master/csl-citation.json"}</w:instrText>
      </w:r>
      <w:r w:rsidR="00715FDC" w:rsidRPr="001E2A1D">
        <w:fldChar w:fldCharType="separate"/>
      </w:r>
      <w:r w:rsidR="00715FDC" w:rsidRPr="001E2A1D">
        <w:t>(Becke 1993; Stephens et al. 1994; Grimme et al. 2010)</w:t>
      </w:r>
      <w:r w:rsidR="00715FDC" w:rsidRPr="001E2A1D">
        <w:fldChar w:fldCharType="end"/>
      </w:r>
      <w:r w:rsidR="004B213A" w:rsidRPr="001E2A1D">
        <w:t xml:space="preserve"> and the 6-31g(d,p) basis set</w:t>
      </w:r>
      <w:r w:rsidR="003930D3" w:rsidRPr="001E2A1D">
        <w:t xml:space="preserve"> </w:t>
      </w:r>
      <w:r w:rsidR="00715FDC" w:rsidRPr="001E2A1D">
        <w:fldChar w:fldCharType="begin" w:fldLock="1"/>
      </w:r>
      <w:r w:rsidR="00715FDC" w:rsidRPr="001E2A1D">
        <w:instrText>ADDIN CSL_CITATION {"citationItems":[{"id":"ITEM-1","itemData":{"author":[{"dropping-particle":"","family":"Petersson","given":"G A","non-dropping-particle":"","parse-names":false,"suffix":""},{"dropping-particle":"","family":"Bennett","given":"Andrew","non-dropping-particle":"","parse-names":false,"suffix":""},{"dropping-particle":"","family":"Tensfeldt","given":"Thomas G","non-dropping-particle":"","parse-names":false,"suffix":""},{"dropping-particle":"","family":"Al-Laham","given":"Mohammad A","non-dropping-particle":"","parse-names":false,"suffix":""},{"dropping-particle":"","family":"Shirley","given":"William A","non-dropping-particle":"","parse-names":false,"suffix":""},{"dropping-particle":"","family":"Mantzaris","given":"John","non-dropping-particle":"","parse-names":false,"suffix":""}],"container-title":"The Journal of chemical physics","id":"ITEM-1","issue":"4","issued":{"date-parts":[["1988"]]},"page":"2193-2218","publisher":"AIP","title":"A complete basis set model chemistry. I. The total energies of closed-shell atoms and hydrides of the first-row elements","type":"article-journal","volume":"89"},"uris":["http://www.mendeley.com/documents/?uuid=975380c0-e874-47c8-a8e7-a25f319a7227"]},{"id":"ITEM-2","itemData":{"author":[{"dropping-particle":"","family":"Petersson","given":"G A","non-dropping-particle":"","parse-names":false,"suffix":""},{"dropping-particle":"","family":"Al-Laham","given":"Mohammad A","non-dropping-particle":"","parse-names":false,"suffix":""}],"container-title":"The Journal of chemical physics","id":"ITEM-2","issue":"9","issued":{"date-parts":[["1991"]]},"page":"6081-6090","publisher":"AIP","title":"A complete basis set model chemistry. II. Open-shell systems and the total energies of the first-row atoms","type":"article-journal","volume":"94"},"uris":["http://www.mendeley.com/documents/?uuid=f3a90b91-957c-4a12-aa14-4929de215aa6"]},{"id":"ITEM-3","itemData":{"author":[{"dropping-particle":"","family":"Rassolov","given":"Vitaly A","non-dropping-particle":"","parse-names":false,"suffix":""},{"dropping-particle":"","family":"Ratner","given":"Mark A","non-dropping-particle":"","parse-names":false,"suffix":""},{"dropping-particle":"","family":"Pople","given":"John A","non-dropping-particle":"","parse-names":false,"suffix":""},{"dropping-particle":"","family":"Redfern","given":"Paul C","non-dropping-particle":"","parse-names":false,"suffix":""},{"dropping-particle":"","family":"Curtiss","given":"Larry A","non-dropping-particle":"","parse-names":false,"suffix":""}],"container-title":"Journal of Computational Chemistry","id":"ITEM-3","issue":"9","issued":{"date-parts":[["2001"]]},"page":"976-984","publisher":"Wiley Online Library","title":"6-31G* basis set for third-row atoms","type":"article-journal","volume":"22"},"uris":["http://www.mendeley.com/documents/?uuid=cc3e827b-c3e0-4e3b-b205-e14dfbcd8f93"]}],"mendeley":{"formattedCitation":"(Petersson et al. 1988; Petersson and Al-Laham 1991; Rassolov et al. 2001)","plainTextFormattedCitation":"(Petersson et al. 1988; Petersson and Al-Laham 1991; Rassolov et al. 2001)","previouslyFormattedCitation":"(Petersson et al. 1988; Petersson and Al-Laham 1991; Rassolov et al. 2001)"},"properties":{"noteIndex":0},"schema":"https://github.com/citation-style-language/schema/raw/master/csl-citation.json"}</w:instrText>
      </w:r>
      <w:r w:rsidR="00715FDC" w:rsidRPr="001E2A1D">
        <w:fldChar w:fldCharType="separate"/>
      </w:r>
      <w:r w:rsidR="00715FDC" w:rsidRPr="001E2A1D">
        <w:t>(Petersson et al. 1988; Petersson and Al-Laham 1991; Rassolov et al. 2001)</w:t>
      </w:r>
      <w:r w:rsidR="00715FDC" w:rsidRPr="001E2A1D">
        <w:fldChar w:fldCharType="end"/>
      </w:r>
      <w:r w:rsidR="003930D3" w:rsidRPr="001E2A1D">
        <w:t xml:space="preserve">. </w:t>
      </w:r>
      <w:r w:rsidR="0075238F" w:rsidRPr="001E2A1D">
        <w:rPr>
          <w:color w:val="000000"/>
        </w:rPr>
        <w:t>The implicit Solvation Model based on Density (SMD)</w:t>
      </w:r>
      <w:r w:rsidR="003930D3" w:rsidRPr="001E2A1D">
        <w:rPr>
          <w:color w:val="000000"/>
        </w:rPr>
        <w:t xml:space="preserve"> </w:t>
      </w:r>
      <w:r w:rsidR="00715FDC" w:rsidRPr="001E2A1D">
        <w:rPr>
          <w:color w:val="000000"/>
        </w:rPr>
        <w:fldChar w:fldCharType="begin" w:fldLock="1"/>
      </w:r>
      <w:r w:rsidR="00715FDC" w:rsidRPr="001E2A1D">
        <w:rPr>
          <w:color w:val="000000"/>
        </w:rPr>
        <w:instrText>ADDIN CSL_CITATION {"citationItems":[{"id":"ITEM-1","itemData":{"DOI":"10.1021/jp810292n","ISBN":"1520-6106","ISSN":"15206106","PMID":"19366259","abstract":"We present a new continuum solvation model based on the quantum mechanical charge density of a solute molecule interacting with a continuum description of the solvent. The model is called SMD, where the \" D \" stands for \" density \" to denote that the full solute electron density is used without defining partial atomic charges. \" Continuum \" denotes that the solvent is not represented explicitly but rather as a dielectric medium with surface tension at the solute-solvent boundary. SMD is a universal solvation model, where \" universal \" denotes its applicability to any charged or uncharged solute in any solvent or liquid medium for which a few key descriptors are known (in particular, dielectric constant, refractive index, bulk surface tension, and acidity and basicity parameters). The model separates the observable solvation free energy into two main components. The first component is the bulk electrostatic contribution arising from a self-consistent reaction field treatment that involves the solution of the nonhomogeneous Poisson equation for electrostatics in terms of the integral-equation-formalism polarizable continuum model (IEF-PCM). The cavities for the bulk electrostatic calculation are defined by superpositions of nuclear-centered spheres. The second component is called the cavity-dispersion-solvent-structure term and is the contribution arising from short-range interactions between the solute and solvent molecules in the first solvation shell. This contribution is a sum of terms that are proportional (with geometry-dependent proportionality constants called atomic surface tensions) to the solvent-accessible surface areas of the individual atoms of the solute. The SMD model has been parametrized with a training set of 2821 solvation data including 112 aqueous ionic solvation free energies, 220 solvation free energies for 166 ions in acetonitrile, methanol, and dimethyl sulfoxide, 2346 solvation free energies for 318 neutral solutes in 91 solvents (90 nonaqueous organic solvents and water), and 143 transfer free energies for 93 neutral solutes between water and 15 organic solvents. The elements present in the solutes are H, C, N, O, F, Si, P, S, Cl, and Br. The SMD model employs a single set of parameters (intrinsic atomic Coulomb radii and atomic surface tension coefficients) optimized over six electronic structure methods: M05-2X/MIDI!6D, M05-2X/ 6-31G*, M05-2X/6-31+G**, M05-2X/cc-pVTZ, B3LYP/6-31G*, and HF/6-31G*. Although the SMD model has be…","author":[{"dropping-particle":"V","family":"Marenich","given":"Aleksandr","non-dropping-particle":"","parse-names":false,"suffix":""},{"dropping-particle":"","family":"Cramer","given":"Christopher J","non-dropping-particle":"","parse-names":false,"suffix":""},{"dropping-particle":"","family":"Truhlar","given":"Donald G","non-dropping-particle":"","parse-names":false,"suffix":""}],"container-title":"Journal of Physical Chemistry B","id":"ITEM-1","issue":"18","issued":{"date-parts":[["2009"]]},"page":"6378-6396","title":"Universal solvation model based on solute electron density and on a continuum model of the solvent defined by the bulk dielectric constant and atomic surface tensions","type":"article-journal","volume":"113"},"uris":["http://www.mendeley.com/documents/?uuid=c9896617-7098-4b6d-824b-86370b7a00d9"]}],"mendeley":{"formattedCitation":"(Marenich, Cramer, and Truhlar 2009)","plainTextFormattedCitation":"(Marenich, Cramer, and Truhlar 2009)","previouslyFormattedCitation":"(Marenich, Cramer, and Truhlar 2009)"},"properties":{"noteIndex":0},"schema":"https://github.com/citation-style-language/schema/raw/master/csl-citation.json"}</w:instrText>
      </w:r>
      <w:r w:rsidR="00715FDC" w:rsidRPr="001E2A1D">
        <w:rPr>
          <w:color w:val="000000"/>
        </w:rPr>
        <w:fldChar w:fldCharType="separate"/>
      </w:r>
      <w:r w:rsidR="00715FDC" w:rsidRPr="001E2A1D">
        <w:rPr>
          <w:color w:val="000000"/>
        </w:rPr>
        <w:t>(Marenich, Cramer, and Truhlar 2009)</w:t>
      </w:r>
      <w:r w:rsidR="00715FDC" w:rsidRPr="001E2A1D">
        <w:rPr>
          <w:color w:val="000000"/>
        </w:rPr>
        <w:fldChar w:fldCharType="end"/>
      </w:r>
      <w:r w:rsidR="0075238F" w:rsidRPr="001E2A1D">
        <w:rPr>
          <w:color w:val="000000"/>
        </w:rPr>
        <w:t xml:space="preserve"> was used as continuum method.</w:t>
      </w:r>
      <w:r w:rsidR="0075238F" w:rsidRPr="001E2A1D">
        <w:t xml:space="preserve"> </w:t>
      </w:r>
      <w:r w:rsidR="0075238F" w:rsidRPr="001E2A1D">
        <w:rPr>
          <w:color w:val="000000"/>
        </w:rPr>
        <w:t xml:space="preserve">For non-metallic atoms </w:t>
      </w:r>
      <w:r w:rsidR="000D4C56" w:rsidRPr="001E2A1D">
        <w:rPr>
          <w:color w:val="000000"/>
        </w:rPr>
        <w:t xml:space="preserve">the </w:t>
      </w:r>
      <w:r w:rsidR="0075238F" w:rsidRPr="001E2A1D">
        <w:rPr>
          <w:color w:val="000000"/>
        </w:rPr>
        <w:t xml:space="preserve">SDD </w:t>
      </w:r>
      <w:r w:rsidR="000D4C56" w:rsidRPr="001E2A1D">
        <w:rPr>
          <w:color w:val="000000"/>
        </w:rPr>
        <w:t>pseudopotential</w:t>
      </w:r>
      <w:r w:rsidR="003930D3" w:rsidRPr="001E2A1D">
        <w:rPr>
          <w:color w:val="000000"/>
        </w:rPr>
        <w:t xml:space="preserve"> </w:t>
      </w:r>
      <w:r w:rsidR="00715FDC" w:rsidRPr="001E2A1D">
        <w:rPr>
          <w:color w:val="000000"/>
        </w:rPr>
        <w:fldChar w:fldCharType="begin" w:fldLock="1"/>
      </w:r>
      <w:r w:rsidR="00955384" w:rsidRPr="001E2A1D">
        <w:rPr>
          <w:color w:val="000000"/>
        </w:rPr>
        <w:instrText>ADDIN CSL_CITATION {"citationItems":[{"id":"ITEM-1","itemData":{"author":[{"dropping-particle":"","family":"Dolg","given":"M","non-dropping-particle":"","parse-names":false,"suffix":""},{"dropping-particle":"","family":"Wedig","given":"U","non-dropping-particle":"","parse-names":false,"suffix":""},{"dropping-particle":"","family":"Stoll","given":"H","non-dropping-particle":"","parse-names":false,"suffix":""},{"dropping-particle":"","family":"Preuss","given":"H","non-dropping-particle":"","parse-names":false,"suffix":""}],"container-title":"The Journal of Chemical Physics","id":"ITEM-1","issue":"2","issued":{"date-parts":[["1987"]]},"page":"866-872","publisher":"AIP","title":"Energy-adjusted ab initio pseudopotentials for the first row transition elements","type":"article-journal","volume":"86"},"uris":["http://www.mendeley.com/documents/?uuid=e238023a-c43e-43e2-bb5b-4f5f253cac13"]}],"mendeley":{"formattedCitation":"(Dolg et al. 1987)","plainTextFormattedCitation":"(Dolg et al. 1987)","previouslyFormattedCitation":"(Dolg et al. 1987)"},"properties":{"noteIndex":0},"schema":"https://github.com/citation-style-language/schema/raw/master/csl-citation.json"}</w:instrText>
      </w:r>
      <w:r w:rsidR="00715FDC" w:rsidRPr="001E2A1D">
        <w:rPr>
          <w:color w:val="000000"/>
        </w:rPr>
        <w:fldChar w:fldCharType="separate"/>
      </w:r>
      <w:r w:rsidR="00715FDC" w:rsidRPr="001E2A1D">
        <w:rPr>
          <w:color w:val="000000"/>
        </w:rPr>
        <w:t>(Dolg et al. 1987)</w:t>
      </w:r>
      <w:r w:rsidR="00715FDC" w:rsidRPr="001E2A1D">
        <w:rPr>
          <w:color w:val="000000"/>
        </w:rPr>
        <w:fldChar w:fldCharType="end"/>
      </w:r>
      <w:r w:rsidR="0075238F" w:rsidRPr="001E2A1D">
        <w:rPr>
          <w:color w:val="000000"/>
        </w:rPr>
        <w:t xml:space="preserve"> including a </w:t>
      </w:r>
      <w:r w:rsidR="000D4C56" w:rsidRPr="001E2A1D">
        <w:rPr>
          <w:i/>
        </w:rPr>
        <w:t>f</w:t>
      </w:r>
      <w:r w:rsidR="0075238F" w:rsidRPr="001E2A1D">
        <w:rPr>
          <w:i/>
          <w:color w:val="000000"/>
        </w:rPr>
        <w:t xml:space="preserve"> </w:t>
      </w:r>
      <w:r w:rsidR="0075238F" w:rsidRPr="001E2A1D">
        <w:rPr>
          <w:color w:val="000000"/>
        </w:rPr>
        <w:t>polarization function for the outer electrons (the inner core electro</w:t>
      </w:r>
      <w:r w:rsidR="0075238F" w:rsidRPr="001E2A1D">
        <w:t xml:space="preserve">ns </w:t>
      </w:r>
      <w:r w:rsidR="00715FDC" w:rsidRPr="001E2A1D">
        <w:rPr>
          <w:color w:val="000000"/>
        </w:rPr>
        <w:t>were</w:t>
      </w:r>
      <w:r w:rsidR="0075238F" w:rsidRPr="001E2A1D">
        <w:rPr>
          <w:color w:val="000000"/>
        </w:rPr>
        <w:t xml:space="preserve"> described by the SDD effective core potential (ECP))</w:t>
      </w:r>
      <w:r w:rsidR="000D4C56" w:rsidRPr="001E2A1D">
        <w:rPr>
          <w:color w:val="000000"/>
        </w:rPr>
        <w:t xml:space="preserve"> was used</w:t>
      </w:r>
      <w:r w:rsidR="0075238F" w:rsidRPr="001E2A1D">
        <w:rPr>
          <w:color w:val="000000"/>
        </w:rPr>
        <w:t>.</w:t>
      </w:r>
    </w:p>
    <w:p w14:paraId="5608F2CB" w14:textId="6CC1A0E1" w:rsidR="004B213A" w:rsidRPr="001E2A1D" w:rsidRDefault="002304CA" w:rsidP="00673E84">
      <w:pPr>
        <w:pStyle w:val="TAMainText"/>
        <w:spacing w:line="276" w:lineRule="auto"/>
        <w:rPr>
          <w:b/>
        </w:rPr>
      </w:pPr>
      <w:r w:rsidRPr="001E2A1D">
        <w:rPr>
          <w:i/>
        </w:rPr>
        <w:t>Protein-Ligand Docking</w:t>
      </w:r>
      <w:r w:rsidRPr="001E2A1D">
        <w:t>. The optimized structures of the complexes Phen-Cu(II)-(H</w:t>
      </w:r>
      <w:r w:rsidRPr="001E2A1D">
        <w:rPr>
          <w:vertAlign w:val="subscript"/>
        </w:rPr>
        <w:t>2</w:t>
      </w:r>
      <w:r w:rsidRPr="001E2A1D">
        <w:t>O)</w:t>
      </w:r>
      <w:r w:rsidRPr="001E2A1D">
        <w:rPr>
          <w:vertAlign w:val="subscript"/>
        </w:rPr>
        <w:t>2</w:t>
      </w:r>
      <w:r w:rsidRPr="001E2A1D">
        <w:t xml:space="preserve"> </w:t>
      </w:r>
      <w:r w:rsidR="00A05C07" w:rsidRPr="001E2A1D">
        <w:t>and</w:t>
      </w:r>
      <w:r w:rsidRPr="001E2A1D">
        <w:t xml:space="preserve"> BpyA-Cu(II)-(H</w:t>
      </w:r>
      <w:r w:rsidRPr="001E2A1D">
        <w:rPr>
          <w:vertAlign w:val="subscript"/>
        </w:rPr>
        <w:t>2</w:t>
      </w:r>
      <w:r w:rsidRPr="001E2A1D">
        <w:t>O)</w:t>
      </w:r>
      <w:r w:rsidRPr="001E2A1D">
        <w:rPr>
          <w:vertAlign w:val="subscript"/>
        </w:rPr>
        <w:t>2</w:t>
      </w:r>
      <w:r w:rsidRPr="001E2A1D">
        <w:t xml:space="preserve"> were docked at position 89/89’ of LmrR. For this purpose, </w:t>
      </w:r>
      <w:r w:rsidR="004B213A" w:rsidRPr="001E2A1D">
        <w:t>M89 and M89’ were</w:t>
      </w:r>
      <w:r w:rsidRPr="001E2A1D">
        <w:t xml:space="preserve"> </w:t>
      </w:r>
      <w:r w:rsidR="00A05C07" w:rsidRPr="001E2A1D">
        <w:t xml:space="preserve">first </w:t>
      </w:r>
      <w:r w:rsidR="004B213A" w:rsidRPr="001E2A1D">
        <w:t>mutated</w:t>
      </w:r>
      <w:r w:rsidR="00967826" w:rsidRPr="001E2A1D">
        <w:t xml:space="preserve"> </w:t>
      </w:r>
      <w:r w:rsidR="00A05C07" w:rsidRPr="001E2A1D">
        <w:t xml:space="preserve">to cysteine or to alanine, </w:t>
      </w:r>
      <w:r w:rsidR="00967826" w:rsidRPr="001E2A1D">
        <w:t>using the Dunbrack rotamer library</w:t>
      </w:r>
      <w:r w:rsidR="003930D3" w:rsidRPr="001E2A1D">
        <w:t xml:space="preserve"> </w:t>
      </w:r>
      <w:r w:rsidR="00955384" w:rsidRPr="001E2A1D">
        <w:fldChar w:fldCharType="begin" w:fldLock="1"/>
      </w:r>
      <w:r w:rsidR="00955384" w:rsidRPr="001E2A1D">
        <w:instrText>ADDIN CSL_CITATION {"citationItems":[{"id":"ITEM-1","itemData":{"author":[{"dropping-particle":"","family":"Dunbrack Jr","given":"Roland L","non-dropping-particle":"","parse-names":false,"suffix":""}],"container-title":"Current opinion in structural biology","id":"ITEM-1","issue":"4","issued":{"date-parts":[["2002"]]},"page":"431-440","publisher":"Elsevier","title":"Rotamer libraries in the 21st century","type":"article-journal","volume":"12"},"uris":["http://www.mendeley.com/documents/?uuid=b6134eed-0832-445c-98bb-e63137be5427"]}],"mendeley":{"formattedCitation":"(Dunbrack Jr 2002)","plainTextFormattedCitation":"(Dunbrack Jr 2002)","previouslyFormattedCitation":"(Dunbrack Jr 2002)"},"properties":{"noteIndex":0},"schema":"https://github.com/citation-style-language/schema/raw/master/csl-citation.json"}</w:instrText>
      </w:r>
      <w:r w:rsidR="00955384" w:rsidRPr="001E2A1D">
        <w:fldChar w:fldCharType="separate"/>
      </w:r>
      <w:r w:rsidR="00955384" w:rsidRPr="001E2A1D">
        <w:t>(Dunbrack Jr 2002)</w:t>
      </w:r>
      <w:r w:rsidR="00955384" w:rsidRPr="001E2A1D">
        <w:fldChar w:fldCharType="end"/>
      </w:r>
      <w:r w:rsidR="00967826" w:rsidRPr="001E2A1D">
        <w:t xml:space="preserve"> available in the UCSF Chimera program</w:t>
      </w:r>
      <w:r w:rsidR="003930D3" w:rsidRPr="001E2A1D">
        <w:t xml:space="preserve"> </w:t>
      </w:r>
      <w:r w:rsidR="00955384" w:rsidRPr="001E2A1D">
        <w:fldChar w:fldCharType="begin" w:fldLock="1"/>
      </w:r>
      <w:r w:rsidR="00955384" w:rsidRPr="001E2A1D">
        <w:instrText>ADDIN CSL_CITATION {"citationItems":[{"id":"ITEM-1","itemData":{"DOI":"10.1002/jcc.20084","ISBN":"0192-8651 (Print)\\n0192-8651 (Linking)","ISSN":"01928651","PMID":"15264254","abstract":"The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 ©2004 Wiley Periodicals, Inc. J Comput Chem 25: 1605-1612, 2004","author":[{"dropping-particle":"","family":"Pettersen","given":"Eric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E","non-dropping-particle":"","parse-names":false,"suffix":""}],"container-title":"Journal of Computational Chemistry","id":"ITEM-1","issue":"13","issued":{"date-parts":[["2004"]]},"page":"1605-1612","title":"UCSF Chimera - A visualization system for exploratory research and analysis","type":"article-journal","volume":"25"},"uris":["http://www.mendeley.com/documents/?uuid=a324215f-e1a2-4f1a-bb43-7b78c3c63b49"]}],"mendeley":{"formattedCitation":"(Pettersen et al. 2004)","plainTextFormattedCitation":"(Pettersen et al. 2004)","previouslyFormattedCitation":"(Pettersen et al. 2004)"},"properties":{"noteIndex":0},"schema":"https://github.com/citation-style-language/schema/raw/master/csl-citation.json"}</w:instrText>
      </w:r>
      <w:r w:rsidR="00955384" w:rsidRPr="001E2A1D">
        <w:fldChar w:fldCharType="separate"/>
      </w:r>
      <w:r w:rsidR="00955384" w:rsidRPr="001E2A1D">
        <w:t>(Pettersen et al. 2004)</w:t>
      </w:r>
      <w:r w:rsidR="00955384" w:rsidRPr="001E2A1D">
        <w:fldChar w:fldCharType="end"/>
      </w:r>
      <w:r w:rsidR="003930D3" w:rsidRPr="001E2A1D">
        <w:t xml:space="preserve">, </w:t>
      </w:r>
      <w:r w:rsidR="00967826" w:rsidRPr="001E2A1D">
        <w:t xml:space="preserve">to construct </w:t>
      </w:r>
      <w:r w:rsidR="00A05C07" w:rsidRPr="001E2A1D">
        <w:t xml:space="preserve">systems </w:t>
      </w:r>
      <w:r w:rsidR="00A05C07" w:rsidRPr="001E2A1D">
        <w:rPr>
          <w:b/>
        </w:rPr>
        <w:t xml:space="preserve">4 </w:t>
      </w:r>
      <w:r w:rsidR="00A05C07" w:rsidRPr="001E2A1D">
        <w:t>and</w:t>
      </w:r>
      <w:r w:rsidR="00A05C07" w:rsidRPr="001E2A1D">
        <w:rPr>
          <w:b/>
        </w:rPr>
        <w:t xml:space="preserve"> 5</w:t>
      </w:r>
      <w:r w:rsidR="00A05C07" w:rsidRPr="001E2A1D">
        <w:t>, respectively</w:t>
      </w:r>
      <w:r w:rsidR="004B213A" w:rsidRPr="001E2A1D">
        <w:t xml:space="preserve">. </w:t>
      </w:r>
      <w:r w:rsidR="00A05C07" w:rsidRPr="001E2A1D">
        <w:t>A covalent approach was used</w:t>
      </w:r>
      <w:r w:rsidR="00967826" w:rsidRPr="001E2A1D">
        <w:t xml:space="preserve"> by superimposing the C</w:t>
      </w:r>
      <w:r w:rsidR="00967826" w:rsidRPr="001E2A1D">
        <w:rPr>
          <w:rFonts w:ascii="Symbol" w:hAnsi="Symbol"/>
        </w:rPr>
        <w:t></w:t>
      </w:r>
      <w:r w:rsidR="00967826" w:rsidRPr="001E2A1D">
        <w:t xml:space="preserve"> (alanine) or the S atom (cysteine) with the corresponding atom in the organometallic complexes.</w:t>
      </w:r>
      <w:r w:rsidR="00A05C07" w:rsidRPr="001E2A1D">
        <w:rPr>
          <w:b/>
        </w:rPr>
        <w:t xml:space="preserve"> </w:t>
      </w:r>
      <w:r w:rsidR="004B213A" w:rsidRPr="001E2A1D">
        <w:t>All docking runs were ca</w:t>
      </w:r>
      <w:r w:rsidR="00967826" w:rsidRPr="001E2A1D">
        <w:t>rried out with GOLD 5.2 program</w:t>
      </w:r>
      <w:r w:rsidR="003930D3" w:rsidRPr="001E2A1D">
        <w:t xml:space="preserve"> </w:t>
      </w:r>
      <w:r w:rsidR="00955384" w:rsidRPr="001E2A1D">
        <w:fldChar w:fldCharType="begin" w:fldLock="1"/>
      </w:r>
      <w:r w:rsidR="00955384" w:rsidRPr="001E2A1D">
        <w:instrText>ADDIN CSL_CITATION {"citationItems":[{"id":"ITEM-1","itemData":{"DOI":"10.1002/prot.10465","ISBN":"0887-3585","ISSN":"1097-0134","PMID":"12910460","abstract":"The Chemscore function was implemented as a scoring function for the protein-ligand docking program GOLD, and its performance compared to the original Goldscore function and two consensus docking protocols, \"Goldscore-CS\" and \"Chemscore-GS,\" in terms of docking accuracy, prediction of binding affinities, and speed. In the \"Goldscore-CS\" protocol, dockings produced with the Goldscore function are scored and ranked with the Chemscore function; in the \"Chemscore-GS\" protocol, dockings produced with the Chemscore function are scored and ranked with the Goldscore function. Comparisons were made for a \"clean\" set of 224 protein-ligand complexes, and for two subsets of this set, one for which the ligands are \"drug-like,\" the other for which they are \"fragment-like.\" For \"drug-like\" and \"fragment-like\" ligands, the docking accuracies obtained with Chemscore and Goldscore functions are similar. For larger ligands, Goldscore gives superior results. Docking with the Chemscore function is up to three times faster than docking with the Goldscore function. Both combined docking protocols give significant improvements in docking accuracy over the use of the Goldscore or Chemscore function alone. \"Goldscore-CS\" gives success rates of up to 81% (top-ranked GOLD solution within 2.0 A of the experimental binding mode) for the \"clean list,\" but at the cost of long search times. For most virtual screening applications, \"Chemscore-GS\" seems optimal; search settings that give docking speeds of around 0.25-1.3 min/compound have success rates of about 78% for \"drug-like\" compounds and 85% for \"fragment-like\" compounds. In terms of producing binding energy estimates, the Goldscore function appears to perform better than the Chemscore function and the two consensus protocols, particularly for faster search settings. Even at docking speeds of around 1-2 min/compound, the Goldscore function predicts binding energies with a standard deviation of approximately 10.5 kJ/mol.","author":[{"dropping-particle":"","family":"Verdonk","given":"Marcel L","non-dropping-particle":"","parse-names":false,"suffix":""},{"dropping-particle":"","family":"Cole","given":"Jason C","non-dropping-particle":"","parse-names":false,"suffix":""},{"dropping-particle":"","family":"Hartshorn","given":"Michael J","non-dropping-particle":"","parse-names":false,"suffix":""},{"dropping-particle":"","family":"Murray","given":"Christopher W","non-dropping-particle":"","parse-names":false,"suffix":""},{"dropping-particle":"","family":"Taylor","given":"Richard D","non-dropping-particle":"","parse-names":false,"suffix":""}],"container-title":"Proteins","id":"ITEM-1","issue":"4","issued":{"date-parts":[["2003"]]},"page":"609-623","title":"Improved protein-ligand docking using GOLD.","type":"article-journal","volume":"52"},"uris":["http://www.mendeley.com/documents/?uuid=798ad34a-a41d-4246-8285-b415c5ba90a6"]}],"mendeley":{"formattedCitation":"(Verdonk et al. 2003)","plainTextFormattedCitation":"(Verdonk et al. 2003)","previouslyFormattedCitation":"(Verdonk et al. 2003)"},"properties":{"noteIndex":0},"schema":"https://github.com/citation-style-language/schema/raw/master/csl-citation.json"}</w:instrText>
      </w:r>
      <w:r w:rsidR="00955384" w:rsidRPr="001E2A1D">
        <w:fldChar w:fldCharType="separate"/>
      </w:r>
      <w:r w:rsidR="00955384" w:rsidRPr="001E2A1D">
        <w:t>(Verdonk et al. 2003)</w:t>
      </w:r>
      <w:r w:rsidR="00955384" w:rsidRPr="001E2A1D">
        <w:fldChar w:fldCharType="end"/>
      </w:r>
      <w:r w:rsidR="004B213A" w:rsidRPr="001E2A1D">
        <w:t xml:space="preserve"> </w:t>
      </w:r>
      <w:r w:rsidR="00967826" w:rsidRPr="001E2A1D">
        <w:t>and results were evaluated using the ChemScore</w:t>
      </w:r>
      <w:r w:rsidR="003930D3" w:rsidRPr="001E2A1D">
        <w:t xml:space="preserve"> </w:t>
      </w:r>
      <w:r w:rsidR="00955384" w:rsidRPr="001E2A1D">
        <w:fldChar w:fldCharType="begin" w:fldLock="1"/>
      </w:r>
      <w:r w:rsidR="00955384" w:rsidRPr="001E2A1D">
        <w:instrText>ADDIN CSL_CITATION {"citationItems":[{"id":"ITEM-1","itemData":{"DOI":"Doi 10.1023/A:1007996124545","ISBN":"0920-654X","ISSN":"0920-654X","PMID":"9385547","abstract":"This paper describes the development of a simple empirical scoring function designed to estimate the free energy of binding for a protein-ligand complex when the 3D structure of the complex is known or can be approximated. The function uses simple contact terms to estimate lipophilic and metal-ligand binding contributions, a simple explicit form for hydrogen bonds and a term which penalises flexibility. The coefficients of each term are obtained using a regression based on 82 ligand-receptor complexes for which the binding affinity is known. The function reproduces the binding affinity of the complexes with a cross-validated error of 8.68 kJ/mol. Tests on internal consistency indicate that the coefficients obtained are stable to changes in the composition of the training set. The function is also tested on two test sets containing a further 20 and 10 complexes, respectively. The deficiencies of this type of function are discussed and it is compared to approaches by other workers.","author":[{"dropping-particle":"","family":"Eldridge","given":"M D","non-dropping-particle":"","parse-names":false,"suffix":""},{"dropping-particle":"","family":"Murray","given":"C W","non-dropping-particle":"","parse-names":false,"suffix":""},{"dropping-particle":"","family":"Auton","given":"T R","non-dropping-particle":"","parse-names":false,"suffix":""},{"dropping-particle":"V","family":"Paolini","given":"G","non-dropping-particle":"","parse-names":false,"suffix":""},{"dropping-particle":"","family":"Mee","given":"R P","non-dropping-particle":"","parse-names":false,"suffix":""}],"container-title":"Journal of computer-aided molecular design","id":"ITEM-1","issue":"5","issued":{"date-parts":[["1997"]]},"page":"425-445","title":"Empirical scoring functions: I. The development of a fast empirical scoring function to estimate the binding affinity of ligands in receptor complexes.","type":"article-journal","volume":"11"},"uris":["http://www.mendeley.com/documents/?uuid=9a8040e5-4083-45aa-badd-0bf2d523525c"]}],"mendeley":{"formattedCitation":"(Eldridge et al. 1997)","plainTextFormattedCitation":"(Eldridge et al. 1997)","previouslyFormattedCitation":"(Eldridge et al. 1997)"},"properties":{"noteIndex":0},"schema":"https://github.com/citation-style-language/schema/raw/master/csl-citation.json"}</w:instrText>
      </w:r>
      <w:r w:rsidR="00955384" w:rsidRPr="001E2A1D">
        <w:fldChar w:fldCharType="separate"/>
      </w:r>
      <w:r w:rsidR="00955384" w:rsidRPr="001E2A1D">
        <w:t>(Eldridge et al. 1997)</w:t>
      </w:r>
      <w:r w:rsidR="00955384" w:rsidRPr="001E2A1D">
        <w:fldChar w:fldCharType="end"/>
      </w:r>
      <w:r w:rsidR="00967826" w:rsidRPr="001E2A1D">
        <w:t xml:space="preserve"> scoring function.</w:t>
      </w:r>
    </w:p>
    <w:p w14:paraId="721B1F99" w14:textId="7C1B144C" w:rsidR="009C2CF5" w:rsidRPr="001E2A1D" w:rsidRDefault="009C2CF5" w:rsidP="00673E84">
      <w:pPr>
        <w:pStyle w:val="TAMainText"/>
        <w:spacing w:line="276" w:lineRule="auto"/>
      </w:pPr>
      <w:r w:rsidRPr="001E2A1D">
        <w:rPr>
          <w:i/>
        </w:rPr>
        <w:t xml:space="preserve">Classical </w:t>
      </w:r>
      <w:r w:rsidR="004B213A" w:rsidRPr="001E2A1D">
        <w:rPr>
          <w:i/>
        </w:rPr>
        <w:t>M</w:t>
      </w:r>
      <w:r w:rsidRPr="001E2A1D">
        <w:rPr>
          <w:i/>
        </w:rPr>
        <w:t>olecular D</w:t>
      </w:r>
      <w:r w:rsidR="004B213A" w:rsidRPr="001E2A1D">
        <w:rPr>
          <w:i/>
        </w:rPr>
        <w:t>ynamics</w:t>
      </w:r>
      <w:r w:rsidRPr="001E2A1D">
        <w:rPr>
          <w:i/>
        </w:rPr>
        <w:t xml:space="preserve"> simulations</w:t>
      </w:r>
      <w:r w:rsidR="004B213A" w:rsidRPr="001E2A1D">
        <w:t xml:space="preserve">. </w:t>
      </w:r>
      <w:r w:rsidR="00A05C07" w:rsidRPr="001E2A1D">
        <w:t>The X-ray data as well as t</w:t>
      </w:r>
      <w:r w:rsidRPr="001E2A1D">
        <w:t xml:space="preserve">he best </w:t>
      </w:r>
      <w:r w:rsidR="00A05C07" w:rsidRPr="001E2A1D">
        <w:t>scored docking</w:t>
      </w:r>
      <w:r w:rsidRPr="001E2A1D">
        <w:t xml:space="preserve"> solutions for systems </w:t>
      </w:r>
      <w:r w:rsidR="00A05C07" w:rsidRPr="001E2A1D">
        <w:rPr>
          <w:b/>
        </w:rPr>
        <w:t xml:space="preserve">4 </w:t>
      </w:r>
      <w:r w:rsidR="00A05C07" w:rsidRPr="001E2A1D">
        <w:t>and</w:t>
      </w:r>
      <w:r w:rsidR="00A05C07" w:rsidRPr="001E2A1D">
        <w:rPr>
          <w:b/>
        </w:rPr>
        <w:t xml:space="preserve"> 5 </w:t>
      </w:r>
      <w:r w:rsidR="00A05C07" w:rsidRPr="001E2A1D">
        <w:t>were</w:t>
      </w:r>
      <w:r w:rsidRPr="001E2A1D">
        <w:t xml:space="preserve"> used as starting point for </w:t>
      </w:r>
      <w:r w:rsidR="00A05C07" w:rsidRPr="001E2A1D">
        <w:t>3</w:t>
      </w:r>
      <w:r w:rsidRPr="001E2A1D">
        <w:t xml:space="preserve">00 ns </w:t>
      </w:r>
      <w:r w:rsidR="00A05C07" w:rsidRPr="001E2A1D">
        <w:t xml:space="preserve">of </w:t>
      </w:r>
      <w:r w:rsidRPr="001E2A1D">
        <w:t xml:space="preserve">MD simulation. </w:t>
      </w:r>
      <w:r w:rsidR="007A3BB3" w:rsidRPr="001E2A1D">
        <w:t>The parameters for all the organometallic complexes, including the heme, Phen-Cu(II)-(H</w:t>
      </w:r>
      <w:r w:rsidR="007A3BB3" w:rsidRPr="001E2A1D">
        <w:rPr>
          <w:vertAlign w:val="subscript"/>
        </w:rPr>
        <w:t>2</w:t>
      </w:r>
      <w:r w:rsidR="007A3BB3" w:rsidRPr="001E2A1D">
        <w:t>O)</w:t>
      </w:r>
      <w:r w:rsidR="007A3BB3" w:rsidRPr="001E2A1D">
        <w:rPr>
          <w:vertAlign w:val="subscript"/>
        </w:rPr>
        <w:t>2</w:t>
      </w:r>
      <w:r w:rsidR="007A3BB3" w:rsidRPr="001E2A1D">
        <w:t xml:space="preserve"> and BpyA-Cu(II)-(H</w:t>
      </w:r>
      <w:r w:rsidR="007A3BB3" w:rsidRPr="001E2A1D">
        <w:rPr>
          <w:vertAlign w:val="subscript"/>
        </w:rPr>
        <w:t>2</w:t>
      </w:r>
      <w:r w:rsidR="007A3BB3" w:rsidRPr="001E2A1D">
        <w:t>O)</w:t>
      </w:r>
      <w:r w:rsidR="007A3BB3" w:rsidRPr="001E2A1D">
        <w:rPr>
          <w:vertAlign w:val="subscript"/>
        </w:rPr>
        <w:t>2</w:t>
      </w:r>
      <w:r w:rsidR="007A3BB3" w:rsidRPr="001E2A1D">
        <w:t xml:space="preserve"> were generated based on standard approaches: point charges w</w:t>
      </w:r>
      <w:r w:rsidR="00955384" w:rsidRPr="001E2A1D">
        <w:t>ere calculated with antechamber</w:t>
      </w:r>
      <w:r w:rsidR="003930D3" w:rsidRPr="001E2A1D">
        <w:t xml:space="preserve"> </w:t>
      </w:r>
      <w:r w:rsidR="00955384" w:rsidRPr="001E2A1D">
        <w:fldChar w:fldCharType="begin" w:fldLock="1"/>
      </w:r>
      <w:r w:rsidR="00955384" w:rsidRPr="001E2A1D">
        <w:instrText>ADDIN CSL_CITATION {"citationItems":[{"id":"ITEM-1","itemData":{"DOI":"10.1016/j.jmgm.2005.12.005","ISBN":"1093-3263","ISSN":"10933263","PMID":"16458552","abstract":"In molecular mechanics (MM) studies, atom types and/or bond types of molecules are needed to determine prior to energy calculations. We present here an automatic algorithm of perceiving atom types that are defined in a description table, and an automatic algorithm of assigning bond types just based on atomic connectivity. The algorithms have been implemented in a new module of the AMBER packages. This auxiliary module, antechamber (roughly meaning \"before AMBER\"), can be applied to generate necessary inputs of leap-the AMBER program to generate topologies for minimization, molecular dynamics, etc., for most organic molecules. The algorithms behind the manipulations may be useful for other molecular mechanical packages as well as applications that need to designate atom types and bond types. ©2005 Elsevier Inc. All rights reserved.","author":[{"dropping-particle":"","family":"Wang","given":"Junmei","non-dropping-particle":"","parse-names":false,"suffix":""},{"dropping-particle":"","family":"Wang","given":"Wei","non-dropping-particle":"","parse-names":false,"suffix":""},{"dropping-particle":"","family":"Kollman","given":"Peter A","non-dropping-particle":"","parse-names":false,"suffix":""},{"dropping-particle":"","family":"Case","given":"David A","non-dropping-particle":"","parse-names":false,"suffix":""}],"container-title":"Journal of Molecular Graphics and Modelling","id":"ITEM-1","issue":"2","issued":{"date-parts":[["2006"]]},"page":"247-260","title":"Automatic atom type and bond type perception in molecular mechanical calculations","type":"article-journal","volume":"25"},"uris":["http://www.mendeley.com/documents/?uuid=76040e42-e8ef-441a-aadf-99285d81629b"]}],"mendeley":{"formattedCitation":"(Wang et al. 2006)","plainTextFormattedCitation":"(Wang et al. 2006)","previouslyFormattedCitation":"(Wang et al. 2006)"},"properties":{"noteIndex":0},"schema":"https://github.com/citation-style-language/schema/raw/master/csl-citation.json"}</w:instrText>
      </w:r>
      <w:r w:rsidR="00955384" w:rsidRPr="001E2A1D">
        <w:fldChar w:fldCharType="separate"/>
      </w:r>
      <w:r w:rsidR="00955384" w:rsidRPr="001E2A1D">
        <w:t>(Wang et al. 2006)</w:t>
      </w:r>
      <w:r w:rsidR="00955384" w:rsidRPr="001E2A1D">
        <w:fldChar w:fldCharType="end"/>
      </w:r>
      <w:r w:rsidR="007A3BB3" w:rsidRPr="001E2A1D">
        <w:t xml:space="preserve"> </w:t>
      </w:r>
      <w:r w:rsidR="003930D3" w:rsidRPr="001E2A1D">
        <w:t xml:space="preserve">according to the RESP procedure </w:t>
      </w:r>
      <w:r w:rsidR="00955384" w:rsidRPr="001E2A1D">
        <w:fldChar w:fldCharType="begin" w:fldLock="1"/>
      </w:r>
      <w:r w:rsidR="00955384" w:rsidRPr="001E2A1D">
        <w:instrText>ADDIN CSL_CITATION {"citationItems":[{"id":"ITEM-1","itemData":{"DOI":"10.1021/j100142a004","ISBN":"0022-3654","ISSN":"00223654","PMID":"22","abstract":"We present a new approach to generating electrostatic potential (ESP) derived charges for molecules. The major strength of electrostatic potential derived charges is that they optimally reproduce the intermolecular interaction properties of molecules with a simple two-body additive potential, provided, of course, that a suitably accurate level of quantum mechanical calculation is used to derive the ESP around the molecule. Previously, the major weaknesses of these charges have been that they were not easily transferable between common functional groups in related molecules, they have often been conformationally dependent, and the large charges that frequently occur can be problematic for simulating intramolecular interactions. Introducing restraints in the form of a penalty function into the fitting process considerably reduces the above problems, with only a minor decrease in the quality of the fit to the quantum mechanical ESP. Several other refinements in addition to the restrained electrostatic potential (RESP) fit yield a general and algorithmic charge fitting procedure for generating atom-centered point charges. This approach can thus be recommended for general use in molecular mechanics, molecular dynamics, and free energy calculations for any organic or bioorganic system.","author":[{"dropping-particle":"","family":"Bayly","given":"Christopher I","non-dropping-particle":"","parse-names":false,"suffix":""},{"dropping-particle":"","family":"Cieplak","given":"Piotr","non-dropping-particle":"","parse-names":false,"suffix":""},{"dropping-particle":"","family":"Cornell","given":"Wendy D","non-dropping-particle":"","parse-names":false,"suffix":""},{"dropping-particle":"","family":"Kollman","given":"Peter A","non-dropping-particle":"","parse-names":false,"suffix":""}],"container-title":"Journal of Physical Chemistry","id":"ITEM-1","issue":"40","issued":{"date-parts":[["1993"]]},"page":"10269-10280","title":"A well-behaved electrostatic potential based method using charge restraints for deriving atomic charges: The RESP model","type":"article-journal","volume":"97"},"uris":["http://www.mendeley.com/documents/?uuid=a1978376-a162-4717-9388-d2496b535ac6"]}],"mendeley":{"formattedCitation":"(Bayly et al. 1993)","plainTextFormattedCitation":"(Bayly et al. 1993)","previouslyFormattedCitation":"(Bayly et al. 1993)"},"properties":{"noteIndex":0},"schema":"https://github.com/citation-style-language/schema/raw/master/csl-citation.json"}</w:instrText>
      </w:r>
      <w:r w:rsidR="00955384" w:rsidRPr="001E2A1D">
        <w:fldChar w:fldCharType="separate"/>
      </w:r>
      <w:r w:rsidR="00955384" w:rsidRPr="001E2A1D">
        <w:t>(Bayly et al. 1993)</w:t>
      </w:r>
      <w:r w:rsidR="00955384" w:rsidRPr="001E2A1D">
        <w:fldChar w:fldCharType="end"/>
      </w:r>
      <w:r w:rsidR="003930D3" w:rsidRPr="001E2A1D">
        <w:t>.</w:t>
      </w:r>
      <w:r w:rsidR="007A3BB3" w:rsidRPr="001E2A1D">
        <w:t xml:space="preserve"> Bonded terms involving the metal center were calculated based on the Seminario’s approach</w:t>
      </w:r>
      <w:r w:rsidR="003930D3" w:rsidRPr="001E2A1D">
        <w:t xml:space="preserve"> </w:t>
      </w:r>
      <w:r w:rsidR="00955384" w:rsidRPr="001E2A1D">
        <w:fldChar w:fldCharType="begin" w:fldLock="1"/>
      </w:r>
      <w:r w:rsidR="00955384" w:rsidRPr="001E2A1D">
        <w:instrText>ADDIN CSL_CITATION {"citationItems":[{"id":"ITEM-1","itemData":{"DOI":"10.1002/(SICI)1097-461X(1996)60:7&lt;1271::AID-QUA8&gt;3.0.CO;2-W","ISBN":"0020-7608","ISSN":"00207608","abstract":"A practical procedure (FUERZA) to obtain internal force constants from Cartesian second derivatives (Hessians) is presented and discussed. It allows a systematic analysis of pair atomic interactions in a molecular system, and it is fully invariant to the choice of internal coordinates of the molecule. Force constants for bonds or for any pair of atoms in general are defined by means of the eigenanalysis of their pair interaction matrix. Force constants for the angles are obtained from their corresponding two-pair interaction matrices of the two bonds or distances forming the angle, and the dihedral force constants are similarly obtained using their corresponding three-pair interaction matrices. {\\copyright} 1996 John Wiley &amp; Sons, Inc.","author":[{"dropping-particle":"","family":"Seminario","given":"Jorge M","non-dropping-particle":"","parse-names":false,"suffix":""}],"container-title":"International Journal of Quantum Chemistry","id":"ITEM-1","issue":"7","issued":{"date-parts":[["1996"]]},"page":"1271-1277","title":"Calculation of intramolecular force fields from second-derivative tensors","type":"article-journal","volume":"60"},"uris":["http://www.mendeley.com/documents/?uuid=785b5791-27bd-4ba4-a6e9-03f7db500494"]}],"mendeley":{"formattedCitation":"(Seminario 1996)","plainTextFormattedCitation":"(Seminario 1996)","previouslyFormattedCitation":"(Seminario 1996)"},"properties":{"noteIndex":0},"schema":"https://github.com/citation-style-language/schema/raw/master/csl-citation.json"}</w:instrText>
      </w:r>
      <w:r w:rsidR="00955384" w:rsidRPr="001E2A1D">
        <w:fldChar w:fldCharType="separate"/>
      </w:r>
      <w:r w:rsidR="00955384" w:rsidRPr="001E2A1D">
        <w:t>(Seminario 1996)</w:t>
      </w:r>
      <w:r w:rsidR="00955384" w:rsidRPr="001E2A1D">
        <w:fldChar w:fldCharType="end"/>
      </w:r>
      <w:r w:rsidR="003930D3" w:rsidRPr="001E2A1D">
        <w:t>.</w:t>
      </w:r>
      <w:r w:rsidR="007A3BB3" w:rsidRPr="001E2A1D">
        <w:t xml:space="preserve"> The remaining atoms were parameterized according to GAFF </w:t>
      </w:r>
      <w:r w:rsidR="007A3BB3" w:rsidRPr="001E2A1D">
        <w:lastRenderedPageBreak/>
        <w:t>force field</w:t>
      </w:r>
      <w:r w:rsidR="003930D3" w:rsidRPr="001E2A1D">
        <w:t xml:space="preserve"> </w:t>
      </w:r>
      <w:r w:rsidR="00955384" w:rsidRPr="001E2A1D">
        <w:fldChar w:fldCharType="begin" w:fldLock="1"/>
      </w:r>
      <w:r w:rsidR="00955384" w:rsidRPr="001E2A1D">
        <w:instrText>ADDIN CSL_CITATION {"citationItems":[{"id":"ITEM-1","itemData":{"DOI":"10.1002/jcc.20035","ISBN":"0192-8651","ISSN":"01928651","PMID":"15116359","abstract":"We describe here a general Amber force field (GAFF) for organic molecules. GAFF is designed to be compatible with existing Amber force fields for proteins and nucleic acids, and has parameters for most organic and pharmaceutical molecules that are composed of H, C, N, O, S, P, and halogens. It uses a simple functional form and a limited number of atom types, but incorporates both empirical and heuristic models to estimate force constants and partial atomic charges. The performance of GAFF in test cases is encouraging. In test I, 74 crystallographic structures were compared to GAFF minimized structures, with a root-mean-square displacement of 0.26 A, which is comparable to that of the Tripos 5.2 force field (0.25 A) and better than those of MMFF 94 and CHARMm (0.47 and 0.44 A, respectively). In test II, gas phase minimizations were performed on 22 nucleic acid base pairs, and the minimized structures and intermolecular energies were compared to MP2/6-31G* results. The RMS of displacements and relative energies were 0.25 A and 1.2 kcal/mol, respectively. These data are comparable to results from Parm99/RESP (0.16 A and 1.18 kcal/mol, respectively), which were parameterized to these base pairs. Test III looked at the relative energies of 71 conformational pairs that were used in development of the Parm99 force field. The RMS error in relative energies (compared to experiment) is about 0.5 kcal/mol. GAFF can be applied to wide range of molecules in an automatic fashion, making it suitable for rational drug design and database searching.","author":[{"dropping-particle":"","family":"Wang","given":"Junmei","non-dropping-particle":"","parse-names":false,"suffix":""},{"dropping-particle":"","family":"Wolf","given":"Romain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Chemistry","id":"ITEM-1","issue":"9","issued":{"date-parts":[["2004"]]},"page":"1157-1174","title":"Development and testing of a general Amber force field","type":"article-journal","volume":"25"},"uris":["http://www.mendeley.com/documents/?uuid=526e2373-43f7-4a43-a095-e6c7c4cfea6b"]}],"mendeley":{"formattedCitation":"(Wang et al. 2004)","plainTextFormattedCitation":"(Wang et al. 2004)","previouslyFormattedCitation":"(Wang et al. 2004)"},"properties":{"noteIndex":0},"schema":"https://github.com/citation-style-language/schema/raw/master/csl-citation.json"}</w:instrText>
      </w:r>
      <w:r w:rsidR="00955384" w:rsidRPr="001E2A1D">
        <w:fldChar w:fldCharType="separate"/>
      </w:r>
      <w:r w:rsidR="00955384" w:rsidRPr="001E2A1D">
        <w:t>(Wang et al. 2004)</w:t>
      </w:r>
      <w:r w:rsidR="00955384" w:rsidRPr="001E2A1D">
        <w:fldChar w:fldCharType="end"/>
      </w:r>
      <w:r w:rsidR="003930D3" w:rsidRPr="001E2A1D">
        <w:t>.</w:t>
      </w:r>
      <w:r w:rsidR="00955384" w:rsidRPr="001E2A1D">
        <w:t xml:space="preserve"> </w:t>
      </w:r>
      <w:r w:rsidR="00F01A94" w:rsidRPr="001E2A1D">
        <w:t xml:space="preserve">Lacking terminal residues </w:t>
      </w:r>
      <w:r w:rsidRPr="001E2A1D">
        <w:t xml:space="preserve">were replaced by uncharged motifs </w:t>
      </w:r>
      <w:r w:rsidR="009618C1" w:rsidRPr="001E2A1D">
        <w:t>suggested in</w:t>
      </w:r>
      <w:r w:rsidRPr="001E2A1D">
        <w:t xml:space="preserve"> the </w:t>
      </w:r>
      <w:r w:rsidR="003930D3" w:rsidRPr="001E2A1D">
        <w:t xml:space="preserve">AMBER force field (ACE and NME) </w:t>
      </w:r>
      <w:r w:rsidR="00955384" w:rsidRPr="001E2A1D">
        <w:fldChar w:fldCharType="begin" w:fldLock="1"/>
      </w:r>
      <w:r w:rsidR="000D6D99" w:rsidRPr="001E2A1D">
        <w:instrText>ADDIN CSL_CITATION {"citationItems":[{"id":"ITEM-1","itemData":{"DOI":"10.1021/ja00124a002","ISBN":"0120261464","ISSN":"0002-7863","PMID":"14601413","abstract":"We present the derivation of a new molecular mechanical force field for simulating the structures, conformational energies, and interaction energies of proteins, nucleic acids, and many related organic molecules in condensed phases. This effective two-body force field is the successor to the Weiner et al. force field and was developed with some of the same philosophies, such as the use of a simple diagonal potential function and electrostatic potential fit atom centered charges. The need for a 10-12 function for representing hydrogen bonds is no longer necessary due to the improved performance of the new charge model and new van der Waals parameters. These new charges are determined using a 6-31G basis set and restrained electrostatic potential (RESP) fitting and have been shown to reproduce interaction energies, free energies of solvation, and conformational energies of simple small molecules to a good degree of accuracy. Furthermore, the new RESP charges exhibit less variability as a function of the molecular conformation used in the charge determination. The new van der Waals parameters have been derived from liquid simulations and include hydrogen parameters which take into account the effects of any geminal electronegative atoms. The bonded parameters developed by Weiner et al. were modified as necessary to reproduce experimental vibrational frequencies and structures. Most of the simple dihedral parameters have been retained from Weiner et al., but a complex set of 4 and yj parameters which do a good job of reproducing the energies of the low-energy conformations of glycyl and alanyl dipeptides has been developed for the peptide backbone.","author":[{"dropping-particle":"","family":"Cornell","given":"Wendy D","non-dropping-particle":"","parse-names":false,"suffix":""},{"dropping-particle":"","family":"Cieplak","given":"Piotr","non-dropping-particle":"","parse-names":false,"suffix":""},{"dropping-particle":"","family":"Bayly","given":"Christopher I","non-dropping-particle":"","parse-names":false,"suffix":""},{"dropping-particle":"","family":"Gould","given":"Ian R","non-dropping-particle":"","parse-names":false,"suffix":""},{"dropping-particle":"","family":"Merz","given":"Kenneth M","non-dropping-particle":"","parse-names":false,"suffix":""},{"dropping-particle":"","family":"Ferguson","given":"David M","non-dropping-particle":"","parse-names":false,"suffix":""},{"dropping-particle":"","family":"Spellmeyer","given":"David C","non-dropping-particle":"","parse-names":false,"suffix":""},{"dropping-particle":"","family":"Fox","given":"Thomas","non-dropping-particle":"","parse-names":false,"suffix":""},{"dropping-particle":"","family":"Caldwell","given":"James W","non-dropping-particle":"","parse-names":false,"suffix":""},{"dropping-particle":"","family":"Kollman","given":"Peter A","non-dropping-particle":"","parse-names":false,"suffix":""}],"container-title":"Journal of the American Chemical Society","id":"ITEM-1","issue":"19","issued":{"date-parts":[["1995"]]},"page":"5179-5197","title":"A second generation force field for the simulation of proteins, nucleic acids, and organic molecules","type":"article-journal","volume":"117"},"uris":["http://www.mendeley.com/documents/?uuid=b6685c5d-e2da-46bd-81f4-1077614e11eb"]}],"mendeley":{"formattedCitation":"(Cornell et al. 1995)","plainTextFormattedCitation":"(Cornell et al. 1995)","previouslyFormattedCitation":"(Cornell et al. 1995)"},"properties":{"noteIndex":0},"schema":"https://github.com/citation-style-language/schema/raw/master/csl-citation.json"}</w:instrText>
      </w:r>
      <w:r w:rsidR="00955384" w:rsidRPr="001E2A1D">
        <w:fldChar w:fldCharType="separate"/>
      </w:r>
      <w:r w:rsidR="00955384" w:rsidRPr="001E2A1D">
        <w:t>(Cornell et al. 1995)</w:t>
      </w:r>
      <w:r w:rsidR="00955384" w:rsidRPr="001E2A1D">
        <w:fldChar w:fldCharType="end"/>
      </w:r>
      <w:r w:rsidR="003930D3" w:rsidRPr="001E2A1D">
        <w:t>.</w:t>
      </w:r>
    </w:p>
    <w:p w14:paraId="0ACDDE2F" w14:textId="15739A19" w:rsidR="009C2CF5" w:rsidRPr="001E2A1D" w:rsidRDefault="009C2CF5" w:rsidP="00673E84">
      <w:pPr>
        <w:pStyle w:val="TAMainText"/>
        <w:spacing w:line="276" w:lineRule="auto"/>
      </w:pPr>
      <w:r w:rsidRPr="001E2A1D">
        <w:t>The MD wa</w:t>
      </w:r>
      <w:r w:rsidR="003930D3" w:rsidRPr="001E2A1D">
        <w:t xml:space="preserve">s set up with the xleap program </w:t>
      </w:r>
      <w:r w:rsidR="00955384" w:rsidRPr="001E2A1D">
        <w:fldChar w:fldCharType="begin" w:fldLock="1"/>
      </w:r>
      <w:r w:rsidR="000D6D99" w:rsidRPr="001E2A1D">
        <w:instrText>ADDIN CSL_CITATION {"citationItems":[{"id":"ITEM-1","itemData":{"DOI":"10.1021/ja00124a002","ISBN":"0120261464","ISSN":"0002-7863","PMID":"14601413","abstract":"We present the derivation of a new molecular mechanical force field for simulating the structures, conformational energies, and interaction energies of proteins, nucleic acids, and many related organic molecules in condensed phases. This effective two-body force field is the successor to the Weiner et al. force field and was developed with some of the same philosophies, such as the use of a simple diagonal potential function and electrostatic potential fit atom centered charges. The need for a 10-12 function for representing hydrogen bonds is no longer necessary due to the improved performance of the new charge model and new van der Waals parameters. These new charges are determined using a 6-31G basis set and restrained electrostatic potential (RESP) fitting and have been shown to reproduce interaction energies, free energies of solvation, and conformational energies of simple small molecules to a good degree of accuracy. Furthermore, the new RESP charges exhibit less variability as a function of the molecular conformation used in the charge determination. The new van der Waals parameters have been derived from liquid simulations and include hydrogen parameters which take into account the effects of any geminal electronegative atoms. The bonded parameters developed by Weiner et al. were modified as necessary to reproduce experimental vibrational frequencies and structures. Most of the simple dihedral parameters have been retained from Weiner et al., but a complex set of 4 and yj parameters which do a good job of reproducing the energies of the low-energy conformations of glycyl and alanyl dipeptides has been developed for the peptide backbone.","author":[{"dropping-particle":"","family":"Cornell","given":"Wendy D","non-dropping-particle":"","parse-names":false,"suffix":""},{"dropping-particle":"","family":"Cieplak","given":"Piotr","non-dropping-particle":"","parse-names":false,"suffix":""},{"dropping-particle":"","family":"Bayly","given":"Christopher I","non-dropping-particle":"","parse-names":false,"suffix":""},{"dropping-particle":"","family":"Gould","given":"Ian R","non-dropping-particle":"","parse-names":false,"suffix":""},{"dropping-particle":"","family":"Merz","given":"Kenneth M","non-dropping-particle":"","parse-names":false,"suffix":""},{"dropping-particle":"","family":"Ferguson","given":"David M","non-dropping-particle":"","parse-names":false,"suffix":""},{"dropping-particle":"","family":"Spellmeyer","given":"David C","non-dropping-particle":"","parse-names":false,"suffix":""},{"dropping-particle":"","family":"Fox","given":"Thomas","non-dropping-particle":"","parse-names":false,"suffix":""},{"dropping-particle":"","family":"Caldwell","given":"James W","non-dropping-particle":"","parse-names":false,"suffix":""},{"dropping-particle":"","family":"Kollman","given":"Peter A","non-dropping-particle":"","parse-names":false,"suffix":""}],"container-title":"Journal of the American Chemical Society","id":"ITEM-1","issue":"19","issued":{"date-parts":[["1995"]]},"page":"5179-5197","title":"A second generation force field for the simulation of proteins, nucleic acids, and organic molecules","type":"article-journal","volume":"117"},"uris":["http://www.mendeley.com/documents/?uuid=b6685c5d-e2da-46bd-81f4-1077614e11eb"]}],"mendeley":{"formattedCitation":"(Cornell et al. 1995)","plainTextFormattedCitation":"(Cornell et al. 1995)","previouslyFormattedCitation":"(Cornell et al. 1995)"},"properties":{"noteIndex":0},"schema":"https://github.com/citation-style-language/schema/raw/master/csl-citation.json"}</w:instrText>
      </w:r>
      <w:r w:rsidR="00955384" w:rsidRPr="001E2A1D">
        <w:fldChar w:fldCharType="separate"/>
      </w:r>
      <w:r w:rsidR="00955384" w:rsidRPr="001E2A1D">
        <w:t>(Cornell et al. 1995)</w:t>
      </w:r>
      <w:r w:rsidR="00955384" w:rsidRPr="001E2A1D">
        <w:fldChar w:fldCharType="end"/>
      </w:r>
      <w:r w:rsidR="003930D3" w:rsidRPr="001E2A1D">
        <w:t>.</w:t>
      </w:r>
      <w:r w:rsidRPr="001E2A1D">
        <w:t xml:space="preserve"> </w:t>
      </w:r>
      <w:r w:rsidR="007A3BB3" w:rsidRPr="001E2A1D">
        <w:t>The systems were</w:t>
      </w:r>
      <w:r w:rsidRPr="001E2A1D">
        <w:t xml:space="preserve"> immersed into a cubic box containi</w:t>
      </w:r>
      <w:r w:rsidR="007A3BB3" w:rsidRPr="001E2A1D">
        <w:t>ng about 37</w:t>
      </w:r>
      <w:r w:rsidR="003930D3" w:rsidRPr="001E2A1D">
        <w:t>,</w:t>
      </w:r>
      <w:r w:rsidR="007A3BB3" w:rsidRPr="001E2A1D">
        <w:t xml:space="preserve">000 water molecules, considering </w:t>
      </w:r>
      <w:r w:rsidRPr="001E2A1D">
        <w:t xml:space="preserve">10 </w:t>
      </w:r>
      <w:r w:rsidR="007A3BB3" w:rsidRPr="001E2A1D">
        <w:t>Å</w:t>
      </w:r>
      <w:r w:rsidRPr="001E2A1D">
        <w:t xml:space="preserve"> from the protein to the </w:t>
      </w:r>
      <w:r w:rsidR="00F01A94" w:rsidRPr="001E2A1D">
        <w:t>edge</w:t>
      </w:r>
      <w:r w:rsidR="007A3BB3" w:rsidRPr="001E2A1D">
        <w:t xml:space="preserve"> of the box,</w:t>
      </w:r>
      <w:r w:rsidRPr="001E2A1D">
        <w:t xml:space="preserve"> and 4 chloride counter</w:t>
      </w:r>
      <w:r w:rsidR="00F01A94" w:rsidRPr="001E2A1D">
        <w:t xml:space="preserve"> </w:t>
      </w:r>
      <w:r w:rsidRPr="001E2A1D">
        <w:t>ions to neutralize</w:t>
      </w:r>
      <w:r w:rsidR="00955384" w:rsidRPr="001E2A1D">
        <w:t xml:space="preserve"> the simulation cell. The TIP3P</w:t>
      </w:r>
      <w:r w:rsidR="003930D3" w:rsidRPr="001E2A1D">
        <w:t xml:space="preserve"> </w:t>
      </w:r>
      <w:r w:rsidR="00955384" w:rsidRPr="001E2A1D">
        <w:fldChar w:fldCharType="begin" w:fldLock="1"/>
      </w:r>
      <w:r w:rsidR="00955384" w:rsidRPr="001E2A1D">
        <w:instrText>ADDIN CSL_CITATION {"citationItems":[{"id":"ITEM-1","itemData":{"author":[{"dropping-particle":"","family":"Jorgensen","given":"William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physics","id":"ITEM-1","issue":"2","issued":{"date-parts":[["1983"]]},"page":"926-935","publisher":"AIP","title":"Comparison of simple potential functions for simulating liquid water","type":"article-journal","volume":"79"},"uris":["http://www.mendeley.com/documents/?uuid=c03a4368-864e-40d1-b274-6f16e084b898"]}],"mendeley":{"formattedCitation":"(Jorgensen et al. 1983)","plainTextFormattedCitation":"(Jorgensen et al. 1983)","previouslyFormattedCitation":"(Jorgensen et al. 1983)"},"properties":{"noteIndex":0},"schema":"https://github.com/citation-style-language/schema/raw/master/csl-citation.json"}</w:instrText>
      </w:r>
      <w:r w:rsidR="00955384" w:rsidRPr="001E2A1D">
        <w:fldChar w:fldCharType="separate"/>
      </w:r>
      <w:r w:rsidR="00955384" w:rsidRPr="001E2A1D">
        <w:t>(Jorgensen et al. 1983)</w:t>
      </w:r>
      <w:r w:rsidR="00955384" w:rsidRPr="001E2A1D">
        <w:fldChar w:fldCharType="end"/>
      </w:r>
      <w:r w:rsidR="00955384" w:rsidRPr="001E2A1D">
        <w:t xml:space="preserve"> </w:t>
      </w:r>
      <w:bookmarkStart w:id="0" w:name="_GoBack"/>
      <w:r w:rsidR="00955384" w:rsidRPr="00EC0A46">
        <w:t xml:space="preserve">and </w:t>
      </w:r>
      <w:r w:rsidR="00356F9D" w:rsidRPr="00EC0A46">
        <w:t>Amber ff99SB-ILDN</w:t>
      </w:r>
      <w:r w:rsidR="003930D3" w:rsidRPr="00EC0A46">
        <w:t xml:space="preserve"> </w:t>
      </w:r>
      <w:bookmarkEnd w:id="0"/>
      <w:r w:rsidR="00955384" w:rsidRPr="001E2A1D">
        <w:fldChar w:fldCharType="begin" w:fldLock="1"/>
      </w:r>
      <w:r w:rsidR="000D6D99" w:rsidRPr="001E2A1D">
        <w:instrText>ADDIN CSL_CITATION {"citationItems":[{"id":"ITEM-1","itemData":{"DOI":"10.1021/ja00124a002","ISBN":"0120261464","ISSN":"0002-7863","PMID":"14601413","abstract":"We present the derivation of a new molecular mechanical force field for simulating the structures, conformational energies, and interaction energies of proteins, nucleic acids, and many related organic molecules in condensed phases. This effective two-body force field is the successor to the Weiner et al. force field and was developed with some of the same philosophies, such as the use of a simple diagonal potential function and electrostatic potential fit atom centered charges. The need for a 10-12 function for representing hydrogen bonds is no longer necessary due to the improved performance of the new charge model and new van der Waals parameters. These new charges are determined using a 6-31G basis set and restrained electrostatic potential (RESP) fitting and have been shown to reproduce interaction energies, free energies of solvation, and conformational energies of simple small molecules to a good degree of accuracy. Furthermore, the new RESP charges exhibit less variability as a function of the molecular conformation used in the charge determination. The new van der Waals parameters have been derived from liquid simulations and include hydrogen parameters which take into account the effects of any geminal electronegative atoms. The bonded parameters developed by Weiner et al. were modified as necessary to reproduce experimental vibrational frequencies and structures. Most of the simple dihedral parameters have been retained from Weiner et al., but a complex set of 4 and yj parameters which do a good job of reproducing the energies of the low-energy conformations of glycyl and alanyl dipeptides has been developed for the peptide backbone.","author":[{"dropping-particle":"","family":"Cornell","given":"Wendy D","non-dropping-particle":"","parse-names":false,"suffix":""},{"dropping-particle":"","family":"Cieplak","given":"Piotr","non-dropping-particle":"","parse-names":false,"suffix":""},{"dropping-particle":"","family":"Bayly","given":"Christopher I","non-dropping-particle":"","parse-names":false,"suffix":""},{"dropping-particle":"","family":"Gould","given":"Ian R","non-dropping-particle":"","parse-names":false,"suffix":""},{"dropping-particle":"","family":"Merz","given":"Kenneth M","non-dropping-particle":"","parse-names":false,"suffix":""},{"dropping-particle":"","family":"Ferguson","given":"David M","non-dropping-particle":"","parse-names":false,"suffix":""},{"dropping-particle":"","family":"Spellmeyer","given":"David C","non-dropping-particle":"","parse-names":false,"suffix":""},{"dropping-particle":"","family":"Fox","given":"Thomas","non-dropping-particle":"","parse-names":false,"suffix":""},{"dropping-particle":"","family":"Caldwell","given":"James W","non-dropping-particle":"","parse-names":false,"suffix":""},{"dropping-particle":"","family":"Kollman","given":"Peter A","non-dropping-particle":"","parse-names":false,"suffix":""}],"container-title":"Journal of the American Chemical Society","id":"ITEM-1","issue":"19","issued":{"date-parts":[["1995"]]},"page":"5179-5197","title":"A second generation force field for the simulation of proteins, nucleic acids, and organic molecules","type":"article-journal","volume":"117"},"uris":["http://www.mendeley.com/documents/?uuid=b6685c5d-e2da-46bd-81f4-1077614e11eb"]}],"mendeley":{"formattedCitation":"(Cornell et al. 1995)","plainTextFormattedCitation":"(Cornell et al. 1995)","previouslyFormattedCitation":"(Cornell et al. 1995)"},"properties":{"noteIndex":0},"schema":"https://github.com/citation-style-language/schema/raw/master/csl-citation.json"}</w:instrText>
      </w:r>
      <w:r w:rsidR="00955384" w:rsidRPr="001E2A1D">
        <w:fldChar w:fldCharType="separate"/>
      </w:r>
      <w:r w:rsidR="00955384" w:rsidRPr="001E2A1D">
        <w:t>(Cornell et al. 1995)</w:t>
      </w:r>
      <w:r w:rsidR="00955384" w:rsidRPr="001E2A1D">
        <w:fldChar w:fldCharType="end"/>
      </w:r>
      <w:r w:rsidRPr="001E2A1D">
        <w:t xml:space="preserve"> force fields were used to describe water and the protein, respectively. Chloride ions were described based on the ions94.lib library</w:t>
      </w:r>
      <w:r w:rsidR="003930D3" w:rsidRPr="001E2A1D">
        <w:t xml:space="preserve"> </w:t>
      </w:r>
      <w:r w:rsidR="00955384" w:rsidRPr="001E2A1D">
        <w:fldChar w:fldCharType="begin" w:fldLock="1"/>
      </w:r>
      <w:r w:rsidR="000D6D99" w:rsidRPr="001E2A1D">
        <w:instrText>ADDIN CSL_CITATION {"citationItems":[{"id":"ITEM-1","itemData":{"DOI":"10.1021/ja00124a002","ISBN":"0120261464","ISSN":"0002-7863","PMID":"14601413","abstract":"We present the derivation of a new molecular mechanical force field for simulating the structures, conformational energies, and interaction energies of proteins, nucleic acids, and many related organic molecules in condensed phases. This effective two-body force field is the successor to the Weiner et al. force field and was developed with some of the same philosophies, such as the use of a simple diagonal potential function and electrostatic potential fit atom centered charges. The need for a 10-12 function for representing hydrogen bonds is no longer necessary due to the improved performance of the new charge model and new van der Waals parameters. These new charges are determined using a 6-31G basis set and restrained electrostatic potential (RESP) fitting and have been shown to reproduce interaction energies, free energies of solvation, and conformational energies of simple small molecules to a good degree of accuracy. Furthermore, the new RESP charges exhibit less variability as a function of the molecular conformation used in the charge determination. The new van der Waals parameters have been derived from liquid simulations and include hydrogen parameters which take into account the effects of any geminal electronegative atoms. The bonded parameters developed by Weiner et al. were modified as necessary to reproduce experimental vibrational frequencies and structures. Most of the simple dihedral parameters have been retained from Weiner et al., but a complex set of 4 and yj parameters which do a good job of reproducing the energies of the low-energy conformations of glycyl and alanyl dipeptides has been developed for the peptide backbone.","author":[{"dropping-particle":"","family":"Cornell","given":"Wendy D","non-dropping-particle":"","parse-names":false,"suffix":""},{"dropping-particle":"","family":"Cieplak","given":"Piotr","non-dropping-particle":"","parse-names":false,"suffix":""},{"dropping-particle":"","family":"Bayly","given":"Christopher I","non-dropping-particle":"","parse-names":false,"suffix":""},{"dropping-particle":"","family":"Gould","given":"Ian R","non-dropping-particle":"","parse-names":false,"suffix":""},{"dropping-particle":"","family":"Merz","given":"Kenneth M","non-dropping-particle":"","parse-names":false,"suffix":""},{"dropping-particle":"","family":"Ferguson","given":"David M","non-dropping-particle":"","parse-names":false,"suffix":""},{"dropping-particle":"","family":"Spellmeyer","given":"David C","non-dropping-particle":"","parse-names":false,"suffix":""},{"dropping-particle":"","family":"Fox","given":"Thomas","non-dropping-particle":"","parse-names":false,"suffix":""},{"dropping-particle":"","family":"Caldwell","given":"James W","non-dropping-particle":"","parse-names":false,"suffix":""},{"dropping-particle":"","family":"Kollman","given":"Peter A","non-dropping-particle":"","parse-names":false,"suffix":""}],"container-title":"Journal of the American Chemical Society","id":"ITEM-1","issue":"19","issued":{"date-parts":[["1995"]]},"page":"5179-5197","title":"A second generation force field for the simulation of proteins, nucleic acids, and organic molecules","type":"article-journal","volume":"117"},"uris":["http://www.mendeley.com/documents/?uuid=b6685c5d-e2da-46bd-81f4-1077614e11eb"]}],"mendeley":{"formattedCitation":"(Cornell et al. 1995)","plainTextFormattedCitation":"(Cornell et al. 1995)","previouslyFormattedCitation":"(Cornell et al. 1995)"},"properties":{"noteIndex":0},"schema":"https://github.com/citation-style-language/schema/raw/master/csl-citation.json"}</w:instrText>
      </w:r>
      <w:r w:rsidR="00955384" w:rsidRPr="001E2A1D">
        <w:fldChar w:fldCharType="separate"/>
      </w:r>
      <w:r w:rsidR="00955384" w:rsidRPr="001E2A1D">
        <w:t>(Cornell et al. 1995)</w:t>
      </w:r>
      <w:r w:rsidR="00955384" w:rsidRPr="001E2A1D">
        <w:fldChar w:fldCharType="end"/>
      </w:r>
      <w:r w:rsidR="003930D3" w:rsidRPr="001E2A1D">
        <w:t>.</w:t>
      </w:r>
    </w:p>
    <w:p w14:paraId="7A2AE578" w14:textId="6BDD90CC" w:rsidR="009C2CF5" w:rsidRPr="001E2A1D" w:rsidRDefault="009C2CF5" w:rsidP="00673E84">
      <w:pPr>
        <w:pStyle w:val="TAMainText"/>
        <w:spacing w:line="276" w:lineRule="auto"/>
      </w:pPr>
    </w:p>
    <w:p w14:paraId="7F50CC95" w14:textId="7B3EFF08" w:rsidR="009C2CF5" w:rsidRPr="001E2A1D" w:rsidRDefault="009C2CF5" w:rsidP="00673E84">
      <w:pPr>
        <w:pStyle w:val="TAMainText"/>
        <w:spacing w:line="276" w:lineRule="auto"/>
      </w:pPr>
      <w:r w:rsidRPr="001E2A1D">
        <w:t>The Particle Mesh</w:t>
      </w:r>
      <w:r w:rsidR="009618C1" w:rsidRPr="001E2A1D">
        <w:t xml:space="preserve"> Ewald</w:t>
      </w:r>
      <w:r w:rsidRPr="001E2A1D">
        <w:t xml:space="preserve"> method</w:t>
      </w:r>
      <w:r w:rsidR="003930D3" w:rsidRPr="001E2A1D">
        <w:t xml:space="preserve"> </w:t>
      </w:r>
      <w:r w:rsidR="00955384" w:rsidRPr="001E2A1D">
        <w:fldChar w:fldCharType="begin" w:fldLock="1"/>
      </w:r>
      <w:r w:rsidR="00D56EDE" w:rsidRPr="001E2A1D">
        <w:instrText>ADDIN CSL_CITATION {"citationItems":[{"id":"ITEM-1","itemData":{"DOI":"10.1063/1.464397","ISBN":"0021-9606","ISSN":"00219606","PMID":"14738565","abstract":"An N⋅log(N) method for evaluating electrostatic energies and forces of large periodic systems is presented. The method is based on interpolation of the reciprocal space Ewald sums and evaluation of the resulting convolutions using fast Fourier transforms. Timings and accuracies are presented for three large crystalline ionic systems.","author":[{"dropping-particle":"","family":"Darden","given":"Tom","non-dropping-particle":"","parse-names":false,"suffix":""},{"dropping-particle":"","family":"York","given":"Darrin","non-dropping-particle":"","parse-names":false,"suffix":""},{"dropping-particle":"","family":"Pedersen","given":"Lee","non-dropping-particle":"","parse-names":false,"suffix":""}],"container-title":"The Journal of Chemical Physics","id":"ITEM-1","issued":{"date-parts":[["1993"]]},"page":"10089","title":"Particle Mesh Ewald: an N·log(N) method for ewald sums in large systems","type":"article-journal","volume":"98"},"uris":["http://www.mendeley.com/documents/?uuid=b7c70402-bfd7-4368-8266-485eb99d3e67"]}],"mendeley":{"formattedCitation":"(Darden, York, and Pedersen 1993)","plainTextFormattedCitation":"(Darden, York, and Pedersen 1993)","previouslyFormattedCitation":"(Darden, York, and Pedersen 1993)"},"properties":{"noteIndex":0},"schema":"https://github.com/citation-style-language/schema/raw/master/csl-citation.json"}</w:instrText>
      </w:r>
      <w:r w:rsidR="00955384" w:rsidRPr="001E2A1D">
        <w:fldChar w:fldCharType="separate"/>
      </w:r>
      <w:r w:rsidR="008B4FEC" w:rsidRPr="001E2A1D">
        <w:t>(Darden, York, and Pedersen 1993)</w:t>
      </w:r>
      <w:r w:rsidR="00955384" w:rsidRPr="001E2A1D">
        <w:fldChar w:fldCharType="end"/>
      </w:r>
      <w:r w:rsidRPr="001E2A1D">
        <w:t xml:space="preserve"> was used for the calculation of long-range electrostatic interactions, and a cut off of 10 </w:t>
      </w:r>
      <w:r w:rsidR="007A3BB3" w:rsidRPr="001E2A1D">
        <w:t>Å</w:t>
      </w:r>
      <w:r w:rsidRPr="001E2A1D">
        <w:t xml:space="preserve"> was stablished for Van der Waals and short-range electrostatics interactions. The SHAKE algorithm</w:t>
      </w:r>
      <w:r w:rsidR="003930D3" w:rsidRPr="001E2A1D">
        <w:t xml:space="preserve"> </w:t>
      </w:r>
      <w:r w:rsidR="00955384" w:rsidRPr="001E2A1D">
        <w:fldChar w:fldCharType="begin" w:fldLock="1"/>
      </w:r>
      <w:r w:rsidR="00955384" w:rsidRPr="001E2A1D">
        <w:instrText>ADDIN CSL_CITATION {"citationItems":[{"id":"ITEM-1","itemData":{"author":[{"dropping-particle":"","family":"Ryckaert","given":"Jean-Paul","non-dropping-particle":"","parse-names":false,"suffix":""},{"dropping-particle":"","family":"Ciccotti","given":"Giovanni","non-dropping-particle":"","parse-names":false,"suffix":""},{"dropping-particle":"","family":"Berendsen","given":"Herman J C","non-dropping-particle":"","parse-names":false,"suffix":""}],"container-title":"Journal of Computational Physics","id":"ITEM-1","issue":"3","issued":{"date-parts":[["1977"]]},"page":"327-341","publisher":"Elsevier","title":"Numerical integration of the cartesian equations of motion of a system with constraints: molecular dynamics of n-alkanes","type":"article-journal","volume":"23"},"uris":["http://www.mendeley.com/documents/?uuid=b2ab4c55-3623-43f2-a6b9-8559e5e8f681"]}],"mendeley":{"formattedCitation":"(Ryckaert, Ciccotti, and Berendsen 1977)","plainTextFormattedCitation":"(Ryckaert, Ciccotti, and Berendsen 1977)","previouslyFormattedCitation":"(Ryckaert, Ciccotti, and Berendsen 1977)"},"properties":{"noteIndex":0},"schema":"https://github.com/citation-style-language/schema/raw/master/csl-citation.json"}</w:instrText>
      </w:r>
      <w:r w:rsidR="00955384" w:rsidRPr="001E2A1D">
        <w:fldChar w:fldCharType="separate"/>
      </w:r>
      <w:r w:rsidR="00955384" w:rsidRPr="001E2A1D">
        <w:t>(Ryckaert, Ciccotti, and Berendsen 1977)</w:t>
      </w:r>
      <w:r w:rsidR="00955384" w:rsidRPr="001E2A1D">
        <w:fldChar w:fldCharType="end"/>
      </w:r>
      <w:r w:rsidRPr="001E2A1D">
        <w:t xml:space="preserve"> was used for constraining bonds involving hydrogen atoms. The equation of motion was integrated with a Langevin integrator</w:t>
      </w:r>
      <w:r w:rsidR="003930D3" w:rsidRPr="001E2A1D">
        <w:t xml:space="preserve"> </w:t>
      </w:r>
      <w:r w:rsidR="00955384" w:rsidRPr="001E2A1D">
        <w:fldChar w:fldCharType="begin" w:fldLock="1"/>
      </w:r>
      <w:r w:rsidR="00955384" w:rsidRPr="001E2A1D">
        <w:instrText>ADDIN CSL_CITATION {"citationItems":[{"id":"ITEM-1","itemData":{"author":[{"dropping-particle":"","family":"Schneider","given":"T","non-dropping-particle":"","parse-names":false,"suffix":""},{"dropping-particle":"","family":"Stoll","given":"E","non-dropping-particle":"","parse-names":false,"suffix":""}],"container-title":"Physical Review B","id":"ITEM-1","issue":"3","issued":{"date-parts":[["1978"]]},"page":"1302","publisher":"APS","title":"Molecular-dynamics study of a three-dimensional one-component model for distortive phase transitions","type":"article-journal","volume":"17"},"uris":["http://www.mendeley.com/documents/?uuid=74a58f88-cb58-48ca-bf81-de9290b2b092"]},{"id":"ITEM-2","itemData":{"author":[{"dropping-particle":"","family":"Brünger","given":"Axel","non-dropping-particle":"","parse-names":false,"suffix":""},{"dropping-particle":"","family":"Brooks III","given":"Charles L","non-dropping-particle":"","parse-names":false,"suffix":""},{"dropping-particle":"","family":"Karplus","given":"Martin","non-dropping-particle":"","parse-names":false,"suffix":""}],"container-title":"Chemical physics letters","id":"ITEM-2","issue":"5","issued":{"date-parts":[["1984"]]},"page":"495-500","publisher":"Elsevier","title":"Stochastic boundary conditions for molecular dynamics simulations of ST2 water","type":"article-journal","volume":"105"},"uris":["http://www.mendeley.com/documents/?uuid=8c7fc491-5ee1-412f-8405-d3de94f0f041"]}],"mendeley":{"formattedCitation":"(Schneider and Stoll 1978; Brünger, Brooks III, and Karplus 1984)","plainTextFormattedCitation":"(Schneider and Stoll 1978; Brünger, Brooks III, and Karplus 1984)","previouslyFormattedCitation":"(Schneider and Stoll 1978; Brünger, Brooks III, and Karplus 1984)"},"properties":{"noteIndex":0},"schema":"https://github.com/citation-style-language/schema/raw/master/csl-citation.json"}</w:instrText>
      </w:r>
      <w:r w:rsidR="00955384" w:rsidRPr="001E2A1D">
        <w:fldChar w:fldCharType="separate"/>
      </w:r>
      <w:r w:rsidR="00955384" w:rsidRPr="001E2A1D">
        <w:t>(Schneider and Stoll 1978; Brünger, Brooks III, and Karplus 1984)</w:t>
      </w:r>
      <w:r w:rsidR="00955384" w:rsidRPr="001E2A1D">
        <w:fldChar w:fldCharType="end"/>
      </w:r>
      <w:r w:rsidRPr="001E2A1D">
        <w:t xml:space="preserve"> and a time step of 1 fs. A Monte Carlo barostat </w:t>
      </w:r>
      <w:r w:rsidR="00F90BFE" w:rsidRPr="001E2A1D">
        <w:t>set</w:t>
      </w:r>
      <w:r w:rsidRPr="001E2A1D">
        <w:t xml:space="preserve"> at 1.01325 bar</w:t>
      </w:r>
      <w:r w:rsidR="003930D3" w:rsidRPr="001E2A1D">
        <w:t xml:space="preserve"> </w:t>
      </w:r>
      <w:r w:rsidR="00955384" w:rsidRPr="001E2A1D">
        <w:fldChar w:fldCharType="begin" w:fldLock="1"/>
      </w:r>
      <w:r w:rsidR="00955384" w:rsidRPr="001E2A1D">
        <w:instrText>ADDIN CSL_CITATION {"citationItems":[{"id":"ITEM-1","itemData":{"author":[{"dropping-particle":"","family":"Duane","given":"Simon","non-dropping-particle":"","parse-names":false,"suffix":""},{"dropping-particle":"","family":"Kennedy","given":"Anthony D","non-dropping-particle":"","parse-names":false,"suffix":""},{"dropping-particle":"","family":"Pendleton","given":"Brian J","non-dropping-particle":"","parse-names":false,"suffix":""},{"dropping-particle":"","family":"Roweth","given":"Duncan","non-dropping-particle":"","parse-names":false,"suffix":""}],"container-title":"Physics letters B","id":"ITEM-1","issue":"2","issued":{"date-parts":[["1987"]]},"page":"216-222","publisher":"Elsevier","title":"Hybrid monte carlo","type":"article-journal","volume":"195"},"uris":["http://www.mendeley.com/documents/?uuid=9f2a14ff-74bd-420d-8acd-ad64b0e62060"]}],"mendeley":{"formattedCitation":"(Duane et al. 1987)","plainTextFormattedCitation":"(Duane et al. 1987)","previouslyFormattedCitation":"(Duane et al. 1987)"},"properties":{"noteIndex":0},"schema":"https://github.com/citation-style-language/schema/raw/master/csl-citation.json"}</w:instrText>
      </w:r>
      <w:r w:rsidR="00955384" w:rsidRPr="001E2A1D">
        <w:fldChar w:fldCharType="separate"/>
      </w:r>
      <w:r w:rsidR="00955384" w:rsidRPr="001E2A1D">
        <w:t>(Duane et al. 1987)</w:t>
      </w:r>
      <w:r w:rsidR="00955384" w:rsidRPr="001E2A1D">
        <w:fldChar w:fldCharType="end"/>
      </w:r>
      <w:r w:rsidRPr="001E2A1D">
        <w:t xml:space="preserve"> to achieve constant temperature and pressure. </w:t>
      </w:r>
    </w:p>
    <w:p w14:paraId="5E957D5C" w14:textId="3514CDCE" w:rsidR="009C2CF5" w:rsidRPr="001E2A1D" w:rsidRDefault="009C2CF5" w:rsidP="00673E84">
      <w:pPr>
        <w:pStyle w:val="TAMainText"/>
        <w:spacing w:line="276" w:lineRule="auto"/>
      </w:pPr>
      <w:r w:rsidRPr="001E2A1D">
        <w:t xml:space="preserve">The simulation </w:t>
      </w:r>
      <w:r w:rsidR="00F5045F" w:rsidRPr="001E2A1D">
        <w:t>was run with OpenMM 7.0 program</w:t>
      </w:r>
      <w:r w:rsidR="003930D3" w:rsidRPr="001E2A1D">
        <w:t xml:space="preserve"> </w:t>
      </w:r>
      <w:r w:rsidR="00955384" w:rsidRPr="001E2A1D">
        <w:fldChar w:fldCharType="begin" w:fldLock="1"/>
      </w:r>
      <w:r w:rsidR="00955384" w:rsidRPr="001E2A1D">
        <w:instrText>ADDIN CSL_CITATION {"citationItems":[{"id":"ITEM-1","itemData":{"author":[{"dropping-particle":"","family":"Eastman","given":"Peter","non-dropping-particle":"","parse-names":false,"suffix":""},{"dropping-particle":"","family":"Pande","given":"Vijay","non-dropping-particle":"","parse-names":false,"suffix":""}],"container-title":"Computing in science &amp; engineering","id":"ITEM-1","issue":"4","issued":{"date-parts":[["2010"]]},"page":"34-39","publisher":"IEEE","title":"OpenMM: a hardware-independent framework for molecular simulations","type":"article-journal","volume":"12"},"uris":["http://www.mendeley.com/documents/?uuid=9205100e-2cd0-447d-955e-916f6e25cabb"]}],"mendeley":{"formattedCitation":"(Eastman and Pande 2010)","plainTextFormattedCitation":"(Eastman and Pande 2010)","previouslyFormattedCitation":"(Eastman and Pande 2010)"},"properties":{"noteIndex":0},"schema":"https://github.com/citation-style-language/schema/raw/master/csl-citation.json"}</w:instrText>
      </w:r>
      <w:r w:rsidR="00955384" w:rsidRPr="001E2A1D">
        <w:fldChar w:fldCharType="separate"/>
      </w:r>
      <w:r w:rsidR="00955384" w:rsidRPr="001E2A1D">
        <w:t>(Eastman and Pande 2010)</w:t>
      </w:r>
      <w:r w:rsidR="00955384" w:rsidRPr="001E2A1D">
        <w:fldChar w:fldCharType="end"/>
      </w:r>
      <w:r w:rsidRPr="001E2A1D">
        <w:t xml:space="preserve"> </w:t>
      </w:r>
      <w:r w:rsidR="00F5045F" w:rsidRPr="001E2A1D">
        <w:t xml:space="preserve">following an standard procedure </w:t>
      </w:r>
      <w:r w:rsidR="000D6D99" w:rsidRPr="001E2A1D">
        <w:t>automatized</w:t>
      </w:r>
      <w:r w:rsidR="003930D3" w:rsidRPr="001E2A1D">
        <w:t xml:space="preserve"> with OMMprotocol </w:t>
      </w:r>
      <w:r w:rsidR="00955384" w:rsidRPr="001E2A1D">
        <w:fldChar w:fldCharType="begin" w:fldLock="1"/>
      </w:r>
      <w:r w:rsidR="000D6D99" w:rsidRPr="001E2A1D">
        <w:instrText>ADDIN CSL_CITATION {"citationItems":[{"id":"ITEM-1","itemData":{"author":[{"dropping-particle":"","family":"Pedregal","given":"Jaime Rodríguez-guerra","non-dropping-particle":"","parse-names":false,"suffix":""},{"dropping-particle":"","family":"Alonso-cotchico","given":"Lur","non-dropping-particle":"","parse-names":false,"suffix":""},{"dropping-particle":"","family":"Velasco-carneros","given":"Lorea","non-dropping-particle":"","parse-names":false,"suffix":""},{"dropping-particle":"","family":"Mare","given":"Jean-didier","non-dropping-particle":"","parse-names":false,"suffix":""}],"container-title":"ChemRxiv","id":"ITEM-1","issued":{"date-parts":[["2018"]]},"title":"OMMProtocol: a command line application to launch Molecular Dynamics simulations with OpenMM","type":"paper-conference"},"uris":["http://www.mendeley.com/documents/?uuid=f488a32c-878e-40e4-b55e-58cf52eaab03"]}],"mendeley":{"formattedCitation":"(Pedregal et al. 2018)","plainTextFormattedCitation":"(Pedregal et al. 2018)","previouslyFormattedCitation":"(Pedregal et al. 2018)"},"properties":{"noteIndex":0},"schema":"https://github.com/citation-style-language/schema/raw/master/csl-citation.json"}</w:instrText>
      </w:r>
      <w:r w:rsidR="00955384" w:rsidRPr="001E2A1D">
        <w:fldChar w:fldCharType="separate"/>
      </w:r>
      <w:r w:rsidR="00955384" w:rsidRPr="001E2A1D">
        <w:t>(Pedregal et al. 2018)</w:t>
      </w:r>
      <w:r w:rsidR="00955384" w:rsidRPr="001E2A1D">
        <w:fldChar w:fldCharType="end"/>
      </w:r>
      <w:r w:rsidR="003930D3" w:rsidRPr="001E2A1D">
        <w:t>.</w:t>
      </w:r>
      <w:r w:rsidR="00F5045F" w:rsidRPr="001E2A1D">
        <w:t xml:space="preserve"> </w:t>
      </w:r>
      <w:r w:rsidRPr="001E2A1D">
        <w:t xml:space="preserve">The system was first energy minimized during 3000 steps to allow progressively water molecules, side-chain and backbone to move. Then, the temperature was increased from 100 K up to 300 K for thermalization of water molecules and side chains. Last, </w:t>
      </w:r>
      <w:r w:rsidR="007A3BB3" w:rsidRPr="001E2A1D">
        <w:t>3</w:t>
      </w:r>
      <w:r w:rsidRPr="001E2A1D">
        <w:t xml:space="preserve">00 ns of production under NPT conditions </w:t>
      </w:r>
      <w:r w:rsidR="007A3BB3" w:rsidRPr="001E2A1D">
        <w:t>was</w:t>
      </w:r>
      <w:r w:rsidRPr="001E2A1D">
        <w:t xml:space="preserve"> carried out.</w:t>
      </w:r>
    </w:p>
    <w:p w14:paraId="1C9B35BA" w14:textId="5F4AB6CE" w:rsidR="004B213A" w:rsidRPr="001E2A1D" w:rsidRDefault="00F90BFE" w:rsidP="00673E84">
      <w:pPr>
        <w:pStyle w:val="TAMainText"/>
        <w:spacing w:line="276" w:lineRule="auto"/>
        <w:rPr>
          <w:b/>
        </w:rPr>
      </w:pPr>
      <w:r w:rsidRPr="001E2A1D">
        <w:t>Trajectory analysis was carried out with Pyth</w:t>
      </w:r>
      <w:r w:rsidR="00CD7351" w:rsidRPr="001E2A1D">
        <w:t>on 3.6.6 and</w:t>
      </w:r>
      <w:r w:rsidR="003930D3" w:rsidRPr="001E2A1D">
        <w:t xml:space="preserve"> a combination of MDTraj v1.9.1 </w:t>
      </w:r>
      <w:r w:rsidR="00D56EDE" w:rsidRPr="001E2A1D">
        <w:fldChar w:fldCharType="begin" w:fldLock="1"/>
      </w:r>
      <w:r w:rsidR="00AC35F6" w:rsidRPr="001E2A1D">
        <w:instrText>ADDIN CSL_CITATION {"citationItems":[{"id":"ITEM-1","itemData":{"DOI":"10.1016/j.bpj.2015.08.015","ISBN":"0006-3495","ISSN":"15420086","PMID":"26488642","abstract":"As molecular dynamics (MD) simulations continue to evolve into powerful computational tools for studying complex biomolecular systems, the necessity of flexible and easy-to-use software tools for the analysis of these simulations is growing. We have developed MDTraj, a modern, lightweight, and fast software package for analyzing MD simulations. MDTraj reads and writes trajectory data in a wide variety of commonly used formats. It provides a large number of trajectory analysis capabilities including minimal root-mean-square-deviation calculations, secondary structure assignment, and the extraction of common order parameters. The package has a strong focus on interoperability with the wider scientific Python ecosystem, bridging the gap between MD data and the rapidly growing collection of industry-standard statistical analysis and visualization tools in Python. MDTraj is a powerful and user-friendly software package that simplifies the analysis of MD data and connects these datasets with the modern interactive data science software ecosystem in Python.","author":[{"dropping-particle":"","family":"McGibbon","given":"Robert T.","non-dropping-particle":"","parse-names":false,"suffix":""},{"dropping-particle":"","family":"Beauchamp","given":"Kyle A.","non-dropping-particle":"","parse-names":false,"suffix":""},{"dropping-particle":"","family":"Harrigan","given":"Matthew P.","non-dropping-particle":"","parse-names":false,"suffix":""},{"dropping-particle":"","family":"Klein","given":"Christoph","non-dropping-particle":"","parse-names":false,"suffix":""},{"dropping-particle":"","family":"Swails","given":"Jason M.","non-dropping-particle":"","parse-names":false,"suffix":""},{"dropping-particle":"","family":"Hernández","given":"Carlos X.","non-dropping-particle":"","parse-names":false,"suffix":""},{"dropping-particle":"","family":"Schwantes","given":"Christian R.","non-dropping-particle":"","parse-names":false,"suffix":""},{"dropping-particle":"","family":"Wang","given":"Lee Ping","non-dropping-particle":"","parse-names":false,"suffix":""},{"dropping-particle":"","family":"Lane","given":"Thomas J.","non-dropping-particle":"","parse-names":false,"suffix":""},{"dropping-particle":"","family":"Pande","given":"Vijay S.","non-dropping-particle":"","parse-names":false,"suffix":""}],"container-title":"Biophysical Journal","id":"ITEM-1","issue":"8","issued":{"date-parts":[["2015"]]},"page":"1528-1532","title":"MDTraj: a modern open library for the analysis of molecular dynamics trajectories","type":"article-journal","volume":"109"},"uris":["http://www.mendeley.com/documents/?uuid=acccfcad-7f6f-4dba-bc5e-b24b7fc86413"]}],"mendeley":{"formattedCitation":"(McGibbon et al. 2015)","plainTextFormattedCitation":"(McGibbon et al. 2015)","previouslyFormattedCitation":"(McGibbon et al. 2015)"},"properties":{"noteIndex":0},"schema":"https://github.com/citation-style-language/schema/raw/master/csl-citation.json"}</w:instrText>
      </w:r>
      <w:r w:rsidR="00D56EDE" w:rsidRPr="001E2A1D">
        <w:fldChar w:fldCharType="separate"/>
      </w:r>
      <w:r w:rsidR="00D56EDE" w:rsidRPr="001E2A1D">
        <w:t>(McGibbon et al. 2015)</w:t>
      </w:r>
      <w:r w:rsidR="00D56EDE" w:rsidRPr="001E2A1D">
        <w:fldChar w:fldCharType="end"/>
      </w:r>
      <w:r w:rsidR="003930D3" w:rsidRPr="001E2A1D">
        <w:t>,</w:t>
      </w:r>
      <w:r w:rsidR="00CD7351" w:rsidRPr="001E2A1D">
        <w:t xml:space="preserve"> PyTraj (as included in AmberTools 18)</w:t>
      </w:r>
      <w:r w:rsidR="003930D3" w:rsidRPr="001E2A1D">
        <w:t xml:space="preserve"> </w:t>
      </w:r>
      <w:r w:rsidR="00AC35F6" w:rsidRPr="001E2A1D">
        <w:fldChar w:fldCharType="begin" w:fldLock="1"/>
      </w:r>
      <w:r w:rsidR="00AC35F6" w:rsidRPr="001E2A1D">
        <w:instrText>ADDIN CSL_CITATION {"citationItems":[{"id":"ITEM-1","itemData":{"DOI":"10.5281/ZENODO.439134","author":[{"dropping-particle":"","family":"Nguyen","given":"Hai","non-dropping-particle":"","parse-names":false,"suffix":""},{"dropping-particle":"","family":"Swails","given":"Jason","non-dropping-particle":"","parse-names":false,"suffix":""},{"dropping-particle":"","family":"Roe","given":"Daniel R.","non-dropping-particle":"","parse-names":false,"suffix":""},{"dropping-particle":"","family":"Cody","given":"","non-dropping-particle":"","parse-names":false,"suffix":""}],"id":"ITEM-1","issued":{"date-parts":[["2017","3","30"]]},"title":"Amber-MD/pytraj: v2.0.0","type":"article-journal"},"uris":["http://www.mendeley.com/documents/?uuid=b09a1541-0d50-300b-a4ec-9b9e63bcb4f4"]},{"id":"ITEM-2","itemData":{"DOI":"10.5281/ZENODO.44612","author":[{"dropping-particle":"","family":"Nguyen","given":"Hai","non-dropping-particle":"","parse-names":false,"suffix":""},{"dropping-particle":"","family":"Roe","given":"Daniel R.","non-dropping-particle":"","parse-names":false,"suffix":""},{"dropping-particle":"","family":"Swails","given":"Jason","non-dropping-particle":"","parse-names":false,"suffix":""},{"dropping-particle":"","family":"Case","given":"David A.","non-dropping-particle":"","parse-names":false,"suffix":""}],"id":"ITEM-2","issued":{"date-parts":[["2016","1","12"]]},"title":"PYTRAJ v1.0.0.dev1: Interactive data analysis for molecular dynamics simulations","type":"article-journal"},"uris":["http://www.mendeley.com/documents/?uuid=ae255800-c6a9-3fb9-b641-3e3d8536f762"]}],"mendeley":{"formattedCitation":"(Nguyen et al. 2017, 2016)","plainTextFormattedCitation":"(Nguyen et al. 2017, 2016)","previouslyFormattedCitation":"(Nguyen et al. 2017, 2016)"},"properties":{"noteIndex":0},"schema":"https://github.com/citation-style-language/schema/raw/master/csl-citation.json"}</w:instrText>
      </w:r>
      <w:r w:rsidR="00AC35F6" w:rsidRPr="001E2A1D">
        <w:fldChar w:fldCharType="separate"/>
      </w:r>
      <w:r w:rsidR="00AC35F6" w:rsidRPr="001E2A1D">
        <w:t>(Nguyen et al. 2017, 2016)</w:t>
      </w:r>
      <w:r w:rsidR="00AC35F6" w:rsidRPr="001E2A1D">
        <w:fldChar w:fldCharType="end"/>
      </w:r>
      <w:r w:rsidR="003930D3" w:rsidRPr="001E2A1D">
        <w:t xml:space="preserve">, </w:t>
      </w:r>
      <w:r w:rsidRPr="001E2A1D">
        <w:t>MSMBuilder v</w:t>
      </w:r>
      <w:r w:rsidR="00CD7351" w:rsidRPr="001E2A1D">
        <w:t>3.8</w:t>
      </w:r>
      <w:r w:rsidR="003930D3" w:rsidRPr="001E2A1D">
        <w:t xml:space="preserve"> </w:t>
      </w:r>
      <w:r w:rsidR="00AC35F6" w:rsidRPr="001E2A1D">
        <w:fldChar w:fldCharType="begin" w:fldLock="1"/>
      </w:r>
      <w:r w:rsidR="00AC35F6" w:rsidRPr="001E2A1D">
        <w:instrText>ADDIN CSL_CITATION {"citationItems":[{"id":"ITEM-1","itemData":{"DOI":"10.1016/j.bpj.2016.10.042","ISBN":"0006-3495","ISSN":"15420086","PMID":"28076801","abstract":"MSMBuilder is a software package for building statistical models of high-dimensional time-series data. It is designed with a particular focus on the analysis of atomistic simulations of biomolecular dynamics such as protein folding and conformational change. MSMBuilder is named for its ability to construct Markov state models (MSMs), a class of models that has gained favor among computational biophysicists. In addition to both well-established and newer MSM methods, the package includes complementary algorithms for understanding time-series data such as hidden Markov models and time-structure based independent component analysis. MSMBuilder boasts an easy to use command-line interface, as well as clear and consistent abstractions through its Python application programming interface. MSMBuilder was developed with careful consideration for compatibility with the broader machine learning community by following the design of scikit-learn. The package is used primarily by practitioners of molecular dynamics, but is just as applicable to other computational or experimental time-series measurements.","author":[{"dropping-particle":"","family":"Harrigan","given":"Matthew P.","non-dropping-particle":"","parse-names":false,"suffix":""},{"dropping-particle":"","family":"Sultan","given":"Mohammad M.","non-dropping-particle":"","parse-names":false,"suffix":""},{"dropping-particle":"","family":"Hernández","given":"Carlos X.","non-dropping-particle":"","parse-names":false,"suffix":""},{"dropping-particle":"","family":"Husic","given":"Brooke E.","non-dropping-particle":"","parse-names":false,"suffix":""},{"dropping-particle":"","family":"Eastman","given":"Peter","non-dropping-particle":"","parse-names":false,"suffix":""},{"dropping-particle":"","family":"Schwantes","given":"Christian R.","non-dropping-particle":"","parse-names":false,"suffix":""},{"dropping-particle":"","family":"Beauchamp","given":"Kyle A.","non-dropping-particle":"","parse-names":false,"suffix":""},{"dropping-particle":"","family":"McGibbon","given":"Robert T.","non-dropping-particle":"","parse-names":false,"suffix":""},{"dropping-particle":"","family":"Pande","given":"Vijay S.","non-dropping-particle":"","parse-names":false,"suffix":""}],"container-title":"Biophysical Journal","id":"ITEM-1","issue":"1","issued":{"date-parts":[["2017"]]},"page":"10-15","title":"MSMBuilder: statistical models for biomolecular dynamics","type":"article-journal","volume":"112"},"uris":["http://www.mendeley.com/documents/?uuid=161bf92f-2b80-467e-854f-f9dd01427fa9"]}],"mendeley":{"formattedCitation":"(Harrigan et al. 2017)","plainTextFormattedCitation":"(Harrigan et al. 2017)","previouslyFormattedCitation":"(Harrigan et al. 2017)"},"properties":{"noteIndex":0},"schema":"https://github.com/citation-style-language/schema/raw/master/csl-citation.json"}</w:instrText>
      </w:r>
      <w:r w:rsidR="00AC35F6" w:rsidRPr="001E2A1D">
        <w:fldChar w:fldCharType="separate"/>
      </w:r>
      <w:r w:rsidR="00AC35F6" w:rsidRPr="001E2A1D">
        <w:t>(Harrigan et al. 2017)</w:t>
      </w:r>
      <w:r w:rsidR="00AC35F6" w:rsidRPr="001E2A1D">
        <w:fldChar w:fldCharType="end"/>
      </w:r>
      <w:r w:rsidR="003930D3" w:rsidRPr="001E2A1D">
        <w:t>,</w:t>
      </w:r>
      <w:r w:rsidRPr="001E2A1D">
        <w:t xml:space="preserve"> scikit-learn v</w:t>
      </w:r>
      <w:r w:rsidR="00CD7351" w:rsidRPr="001E2A1D">
        <w:t>0.18.2</w:t>
      </w:r>
      <w:r w:rsidR="003930D3" w:rsidRPr="001E2A1D">
        <w:t xml:space="preserve"> </w:t>
      </w:r>
      <w:r w:rsidR="00AC35F6" w:rsidRPr="001E2A1D">
        <w:fldChar w:fldCharType="begin" w:fldLock="1"/>
      </w:r>
      <w:r w:rsidR="00AC35F6" w:rsidRPr="001E2A1D">
        <w:instrText>ADDIN CSL_CITATION {"citationItems":[{"id":"ITEM-1","itemData":{"DOI":"10.1016/j.molcel.2012.08.019","ISBN":"9781783281930","ISSN":"10972765","PMID":"22980457","abstract":"In this issue of Molecular Cell, an activator of the PIDDosome (a complex comprising of PIDD, RAIDD, and caspase-2) is described in experiments detailing endogenous PIDDosome assembly and caspase-2 function after DNA damage in the presence of Chk1 suppression (Ando et al., 2012).","author":[{"dropping-particle":"","family":"Pedregosa","given":"Fabian","non-dropping-particle":"","parse-names":false,"suffix":""},{"dropping-particle":"","family":"Varoquaux","given":"Gaël","non-dropping-particle":"","parse-names":false,"suffix":""},{"dropping-particle":"","family":"Gramfort","given":"Alexandre","non-dropping-particle":"","parse-names":false,"suffix":""},{"dropping-particle":"","family":"Michel","given":"Vincent","non-dropping-particle":"","parse-names":false,"suffix":""},{"dropping-particle":"","family":"Thirion","given":"Bertrand","non-dropping-particle":"","parse-names":false,"suffix":""},{"dropping-particle":"","family":"Grisel","given":"Olivier","non-dropping-particle":"","parse-names":false,"suffix":""},{"dropping-particle":"","family":"Blondel","given":"Mathieu","non-dropping-particle":"","parse-names":false,"suffix":""},{"dropping-particle":"","family":"Prettenhofer","given":"Peter","non-dropping-particle":"","parse-names":false,"suffix":""},{"dropping-particle":"","family":"Weiss","given":"Ron","non-drop</w:instrText>
      </w:r>
      <w:r w:rsidR="00AC35F6" w:rsidRPr="00EC0A46">
        <w:rPr>
          <w:lang w:val="es-ES"/>
        </w:rPr>
        <w:instrText>ping-particle":"","parse-names":false,"suffix":""},{"dropping-particle":"","family":"Dubourg","given":"Vincent","non-dropping-particle":"","parse-names":false,"suffix":""},{"dropping-particle":"","family":"Vanderplas","given":"Jake","non-dropping-particle":"","parse-names":false,"suffix":""},{"dropping-particle":"","family":"Passos","given":"Alexandre","non-dropping-particle":"","parse-names":false,"suffix":""},{"dropping-particle":"","family":"Cournapeau","given":"David","non-dropping-particle":"","parse-names":false,"suffix":""},{"dropping-particle":"","family":"Brucher","given":"Matthieu","non-dropping-particle":"","parse-names":false,"suffix":""},{"dropping-particle":"","family":"Perrot","given":"Matthieu","non-dropping-particle":"","parse-names":false,"suffix":""},{"dropping-particle":"","family":"Duchesnay","given":"Édouard","non-dropping-particle":"","parse-names":false,"suffix":""}],"container-title":"Journal of Machine Learning Research","id":"ITEM-1","issued":{"date-parts":[["2011"]]},"page":"2825-2830","title":"Scikit-learn: Machine Learning in Python","type":"article-journal","volume":"12"},"uris":["http://www.mendeley.com/documents/?uuid=6c99fc8d-632a-49b4-ba83-77a4e5874761"]}],"mendeley":{"formattedCitation":"(Pedregosa et al. 2011)","plainTextFormattedCitation":"(Pedregosa et al. 2011)","previouslyFormattedCitation":"(Pedregosa et al. 2011)"},"properties":{"noteIndex":0},"schema":"https://github.com/citation-style-language/schema/raw/master/csl-citation.json"}</w:instrText>
      </w:r>
      <w:r w:rsidR="00AC35F6" w:rsidRPr="001E2A1D">
        <w:fldChar w:fldCharType="separate"/>
      </w:r>
      <w:r w:rsidR="00AC35F6" w:rsidRPr="00EC0A46">
        <w:rPr>
          <w:lang w:val="es-ES"/>
        </w:rPr>
        <w:t>(Pedregosa et al. 2011)</w:t>
      </w:r>
      <w:r w:rsidR="00AC35F6" w:rsidRPr="001E2A1D">
        <w:fldChar w:fldCharType="end"/>
      </w:r>
      <w:r w:rsidR="003930D3" w:rsidRPr="00EC0A46">
        <w:rPr>
          <w:lang w:val="es-ES"/>
        </w:rPr>
        <w:t>,</w:t>
      </w:r>
      <w:r w:rsidRPr="00EC0A46">
        <w:rPr>
          <w:lang w:val="es-ES"/>
        </w:rPr>
        <w:t xml:space="preserve"> SciPy v</w:t>
      </w:r>
      <w:r w:rsidR="00CD7351" w:rsidRPr="00EC0A46">
        <w:rPr>
          <w:lang w:val="es-ES"/>
        </w:rPr>
        <w:t>1.1</w:t>
      </w:r>
      <w:r w:rsidR="003930D3" w:rsidRPr="00EC0A46">
        <w:rPr>
          <w:lang w:val="es-ES"/>
        </w:rPr>
        <w:t xml:space="preserve"> </w:t>
      </w:r>
      <w:r w:rsidR="00AC35F6" w:rsidRPr="001E2A1D">
        <w:fldChar w:fldCharType="begin" w:fldLock="1"/>
      </w:r>
      <w:r w:rsidR="0016071B" w:rsidRPr="00EC0A46">
        <w:rPr>
          <w:lang w:val="es-ES"/>
        </w:rPr>
        <w:instrText>ADDIN CSL_CITATION {"citationItems":[{"id":"ITEM-1","itemData":{"DOI":"10.1143/JJAP.31.4110","ISBN":"0960-7412","ISSN":"1521-9615","PMID":"8919912","abstract":"By itself, Python is an excellent \"steering\" language for scientific codes written in other languages. However, with additional basic tools, Python transforms into a high-level language suited for scientific and engineering code that's often fast enough to be immediately useful but also flexible enough to be sped up with additional extensions.","author":[{"dropping-particle":"","family":"Jones","given":"Eric","non-dropping-particle":"","parse-names":false,"suffix":""},{"dropping-particle":"","family":"Oliphant","given":"Travis","non-dropping-particle":"","parse-names":false,"suffix":""},{"dropping-particle":"","family":"Peterson","given":"Pearu","non-dropping-particle":"","parse-names":false,"suffix":""},{"dropping-particle":"","family":"others","given":"","non-dropping-particle":"","parse-names":false,"suffix":""}],"container-title":"Computing in Science and Engineering","id":"ITEM-1","issued":{"date-parts":[["2007"]]},"title":"SciPy: open source scientific tools for python","type":"article"},"uris":["http://www.mendeley.com/documents/?uuid=62e59f4c-5432-449d-ad5f-210f456c9000"]}],"mendeley":{"formattedCitation":"(Jones et al. 2007)","plainTextFormattedCitation":"(Jones et al. 2007)","previouslyFormattedCitation":"(Jones et al. 2007)"},"properties":{"noteIndex":0},"schema":"https://github.com/citation-style-language/schema/raw/master/csl-citation.json"}</w:instrText>
      </w:r>
      <w:r w:rsidR="00AC35F6" w:rsidRPr="001E2A1D">
        <w:fldChar w:fldCharType="separate"/>
      </w:r>
      <w:r w:rsidR="00AC35F6" w:rsidRPr="00EC0A46">
        <w:rPr>
          <w:lang w:val="es-ES"/>
        </w:rPr>
        <w:t>(Jones et al. 2007)</w:t>
      </w:r>
      <w:r w:rsidR="00AC35F6" w:rsidRPr="001E2A1D">
        <w:fldChar w:fldCharType="end"/>
      </w:r>
      <w:r w:rsidRPr="00EC0A46">
        <w:rPr>
          <w:lang w:val="es-ES"/>
        </w:rPr>
        <w:t xml:space="preserve"> and NumPy v</w:t>
      </w:r>
      <w:r w:rsidR="00CD7351" w:rsidRPr="00EC0A46">
        <w:rPr>
          <w:lang w:val="es-ES"/>
        </w:rPr>
        <w:t>1.12.1</w:t>
      </w:r>
      <w:r w:rsidR="003930D3" w:rsidRPr="00EC0A46">
        <w:rPr>
          <w:lang w:val="es-ES"/>
        </w:rPr>
        <w:t xml:space="preserve"> </w:t>
      </w:r>
      <w:r w:rsidR="0016071B" w:rsidRPr="001E2A1D">
        <w:fldChar w:fldCharType="begin" w:fldLock="1"/>
      </w:r>
      <w:r w:rsidR="0016071B" w:rsidRPr="00EC0A46">
        <w:rPr>
          <w:lang w:val="es-ES"/>
        </w:rPr>
        <w:instrText>ADDIN CSL_CITATION {"citationItems":[{"id":"ITEM-1","itemData":{"DOI":"10.1109/MCSE.2011.37","ISBN":"1521-9615 VO - 13","ISSN":"15219615","PMID":"1000224770","abstract":"In the Python world, NumPy arrays are the standard representation for nume</w:instrText>
      </w:r>
      <w:r w:rsidR="0016071B" w:rsidRPr="00EC0A46">
        <w:instrText>rical data. Here, we show how these arrays enable efficient implementation of numerical computations in a high-level language. Overall, three techniques are applied to improve performance: vectorizing calculations, avoiding copying data in memory, and minimizing operation counts. We first present the NumPy array structure, then show how to use it for efficient computation, and finally how to share array data with other libraries.","author":[{"dropping-particle":"","family":"Walt","given":"Stéfan","non-dropping-particle":"Van Der","parse-names":false,"suffix":""},{"dropping-particle":"","family":"Colbert","given":"S. Chris","non-dropping-particle":"","parse-names":false,"suffix":""},{"dropping-particle":"","family":"Varoquaux","given":"Gaël","non-dropping-particle":"","parse-names":false,"suffix":""}],"container-title":"Computing in Science and Engineering","id":"ITEM-1","issue":"2","issued":{"date-parts":[["2011"]]},"page":"22-30","title":"The NumPy array: a structure for efficient numerical computation","type":"article-journal","volume":"13"},"uris":["http://www.mendeley.com/documents/?uuid=55c0e2cf-3a15-4390-bb31-18bc8f56cb3c"]}],"mendeley":{"formattedCitation":"(Van Der Walt, Colbert, and Varoq</w:instrText>
      </w:r>
      <w:r w:rsidR="0016071B" w:rsidRPr="001E2A1D">
        <w:instrText>uaux 2011)","plainTextFormattedCitation":"(Van Der Walt, Colbert, and Varoquaux 2011)","previouslyFormattedCitation":"(Van Der Walt, Colbert, and Varoquaux 2011)"},"properties":{"noteIndex":0},"schema":"https://github.com/citation-style-language/schema/raw/master/csl-citation.json"}</w:instrText>
      </w:r>
      <w:r w:rsidR="0016071B" w:rsidRPr="001E2A1D">
        <w:fldChar w:fldCharType="separate"/>
      </w:r>
      <w:r w:rsidR="0016071B" w:rsidRPr="001E2A1D">
        <w:t>(Van Der Walt, Colbert, and Varoquaux 2011)</w:t>
      </w:r>
      <w:r w:rsidR="0016071B" w:rsidRPr="001E2A1D">
        <w:fldChar w:fldCharType="end"/>
      </w:r>
      <w:r w:rsidR="003930D3" w:rsidRPr="001E2A1D">
        <w:t>.</w:t>
      </w:r>
      <w:r w:rsidRPr="001E2A1D">
        <w:t xml:space="preserve"> Plots were drawn with </w:t>
      </w:r>
      <w:r w:rsidR="00C07BB7" w:rsidRPr="001E2A1D">
        <w:t>M</w:t>
      </w:r>
      <w:r w:rsidRPr="001E2A1D">
        <w:t>atplotlib v</w:t>
      </w:r>
      <w:r w:rsidR="00CD7351" w:rsidRPr="001E2A1D">
        <w:t>3.0.0</w:t>
      </w:r>
      <w:r w:rsidR="003930D3" w:rsidRPr="001E2A1D">
        <w:t xml:space="preserve"> </w:t>
      </w:r>
      <w:r w:rsidR="0016071B" w:rsidRPr="001E2A1D">
        <w:fldChar w:fldCharType="begin" w:fldLock="1"/>
      </w:r>
      <w:r w:rsidR="0016071B" w:rsidRPr="001E2A1D">
        <w:instrText>ADDIN CSL_CITATION {"citationItems":[{"id":"ITEM-1","itemData":{"DOI":"10.1109/MCSE.2007.55","ISBN":"1521-9615 VO - 9","ISSN":"15219615","PMID":"1000044628","abstract":"Matplotlib is a 2D graphics package used for Python for application development, interactive scripting, and publication-quality image generation across user interfaces and operating systems.","author":[{"dropping-particle":"","family":"Hunter","given":"John D.","non-dropping-particle":"","parse-names":false,"suffix":""}],"container-title":"Computing in Science and Engineering","id":"ITEM-1","issue":"3","issued":{"date-parts":[["2007"]]},"page":"90-95","title":"Matplotlib: A 2D graphics environment","type":"article-journal","volume":"9"},"uris":["http://www.mendeley.com/documents/?uuid=c5cb9d37-5aac-4f33-aab3-069bcbae7f83"]}],"mendeley":{"formattedCitation":"(Hunter 2007)","plainTextFormattedCitation":"(Hunter 2007)","previouslyFormattedCitation":"(Hunter 2007)"},"properties":{"noteIndex":0},"schema":"https://github.com/citation-style-language/schema/raw/master/csl-citation.json"}</w:instrText>
      </w:r>
      <w:r w:rsidR="0016071B" w:rsidRPr="001E2A1D">
        <w:fldChar w:fldCharType="separate"/>
      </w:r>
      <w:r w:rsidR="0016071B" w:rsidRPr="001E2A1D">
        <w:t>(Hunter 2007)</w:t>
      </w:r>
      <w:r w:rsidR="0016071B" w:rsidRPr="001E2A1D">
        <w:fldChar w:fldCharType="end"/>
      </w:r>
      <w:r w:rsidR="00CD7351" w:rsidRPr="001E2A1D">
        <w:t xml:space="preserve"> and MSMExplorer v1.1.0</w:t>
      </w:r>
      <w:r w:rsidR="003930D3" w:rsidRPr="001E2A1D">
        <w:t xml:space="preserve"> </w:t>
      </w:r>
      <w:r w:rsidR="0016071B" w:rsidRPr="001E2A1D">
        <w:fldChar w:fldCharType="begin" w:fldLock="1"/>
      </w:r>
      <w:r w:rsidR="004F013E" w:rsidRPr="001E2A1D">
        <w:instrText>ADDIN CSL_CITATION {"citationItems":[{"id":"ITEM-1","itemData":{"DOI":"10.1093/bioinformatics/btt051","ISBN":"1460-2059","ISSN":"13674803","PMID":"23365411","abstract":"Summary: Markov state models (MSMs) for the study of biomolecule folding simulations have emerged as a powerful tool for computational study of folding dynamics. MSMExplorer is a visualization application purpose-built to visualize these MSMs with an aim to ... \\n","author":[{"dropping-particle":"","family":"Cronkite-Ratcliff","given":"Bryce","non-dropping-particle":"","parse-names":false,"suffix":""},{"dropping-particle":"","family":"Pande","given":"Vijay","non-dropping-particle":"","parse-names":false,"suffix":""}],"container-title":"Bioinformatics","id":"ITEM-1","issue":"7","issued":{"date-parts":[["2013"]]},"page":"950-952","title":"MSMExplorer: visualizing Markov state models for biomolecule folding simulations","type":"article-journal","volume":"29"},"uris":["http://www.mendeley.com/documents/?uuid=b4a11a72-0956-4803-940b-d0b2cb9a28be"]}],"mendeley":{"formattedCitation":"(Cronkite-Ratcliff and Pande 2013)","plainTextFormattedCitation":"(Cronkite-Ratcliff and Pande 2013)","previouslyFormattedCitation":"(Cronkite-Ratcliff and Pande 2013)"},"properties":{"noteIndex":0},"schema":"https://github.com/citation-style-language/schema/raw/master/csl-citation.json"}</w:instrText>
      </w:r>
      <w:r w:rsidR="0016071B" w:rsidRPr="001E2A1D">
        <w:fldChar w:fldCharType="separate"/>
      </w:r>
      <w:r w:rsidR="0016071B" w:rsidRPr="001E2A1D">
        <w:t>(Cronkite-Ratcliff and Pande 2013)</w:t>
      </w:r>
      <w:r w:rsidR="0016071B" w:rsidRPr="001E2A1D">
        <w:fldChar w:fldCharType="end"/>
      </w:r>
      <w:r w:rsidR="003930D3" w:rsidRPr="001E2A1D">
        <w:t>.</w:t>
      </w:r>
      <w:r w:rsidRPr="001E2A1D">
        <w:t xml:space="preserve"> All code is provided in separate files meant to be executed in the Jupyter Notebook environment (v</w:t>
      </w:r>
      <w:r w:rsidR="00CD7351" w:rsidRPr="001E2A1D">
        <w:t>5.7</w:t>
      </w:r>
      <w:r w:rsidR="003930D3" w:rsidRPr="001E2A1D">
        <w:t xml:space="preserve">) </w:t>
      </w:r>
      <w:r w:rsidR="004F013E" w:rsidRPr="001E2A1D">
        <w:fldChar w:fldCharType="begin" w:fldLock="1"/>
      </w:r>
      <w:r w:rsidR="004F013E" w:rsidRPr="001E2A1D">
        <w:instrText>ADDIN CSL_CITATION {"citationItems":[{"id":"ITEM-1","itemData":{"author":[{"dropping-particle":"","family":"Ragan-Kelley","given":"M.","non-dropping-particle":"","parse-names":false,"suffix":""},{"dropping-particle":"","family":"Perez","given":"F.","non-dropping-particle":"","parse-names":false,"suffix":""},{"dropping-particle":"","family":"Granger","given":"B.","non-dropping-particle":"","parse-names":false,"suffix":""},{"dropping-particle":"","family":"Kluyver","given":"T.","non-dropping-particle":"","parse-names":false,"suffix":""},{"dropping-particle":"","family":"Ivanov","given":"P.","non-dropping-particle":"","parse-names":false,"suffix":""},{"dropping-particle":"","family":"Frederic","given":"J.","non-dropping-particle":"","parse-names":false,"suffix":""},{"dropping-particle":"","family":"Bussonnier","given":"M.","non-dropping-particle":"","parse-names":false,"suffix":""}],"container-title":"American Geophysical Union, Fall Meeting 2014, abstract id. H44D-07","id":"ITEM-1","issued":{"date-parts":[["2014"]]},"title":"The Jupyter/IPython architecture: a unified view of computational research, from interactive exploration to communication and publication.","type":"article-journal"},"uris":["http://www.mendeley.com/documents/?uuid=42ff906a-4c1a-31b1-984e-1c5f2609cb64"]}],"mendeley":{"formattedCitation":"(Ragan-Kelley et al. 2014)","plainTextFormattedCitation":"(Ragan-Kelley et al. 2014)","previouslyFormattedCitation":"(Ragan-Kelley et al. 2014)"},"properties":{"noteIndex":0},"schema":"https://github.com/citation-style-language/schema/raw/master/csl-citation.json"}</w:instrText>
      </w:r>
      <w:r w:rsidR="004F013E" w:rsidRPr="001E2A1D">
        <w:fldChar w:fldCharType="separate"/>
      </w:r>
      <w:r w:rsidR="004F013E" w:rsidRPr="001E2A1D">
        <w:t>(Ragan-Kelley et al. 2014)</w:t>
      </w:r>
      <w:r w:rsidR="004F013E" w:rsidRPr="001E2A1D">
        <w:fldChar w:fldCharType="end"/>
      </w:r>
      <w:r w:rsidR="003930D3" w:rsidRPr="001E2A1D">
        <w:t>.</w:t>
      </w:r>
      <w:r w:rsidR="00CD7351" w:rsidRPr="001E2A1D">
        <w:t xml:space="preserve"> </w:t>
      </w:r>
      <w:r w:rsidRPr="001E2A1D">
        <w:t>G</w:t>
      </w:r>
      <w:r w:rsidR="009C2CF5" w:rsidRPr="001E2A1D">
        <w:t xml:space="preserve">raphical illustrations were </w:t>
      </w:r>
      <w:r w:rsidRPr="001E2A1D">
        <w:t xml:space="preserve">created </w:t>
      </w:r>
      <w:r w:rsidR="007A3BB3" w:rsidRPr="001E2A1D">
        <w:t>with UCSF Chimera program</w:t>
      </w:r>
      <w:r w:rsidR="003930D3" w:rsidRPr="001E2A1D">
        <w:t xml:space="preserve"> </w:t>
      </w:r>
      <w:r w:rsidR="000D6D99" w:rsidRPr="001E2A1D">
        <w:fldChar w:fldCharType="begin" w:fldLock="1"/>
      </w:r>
      <w:r w:rsidR="000D6D99" w:rsidRPr="001E2A1D">
        <w:instrText>ADDIN CSL_CITATION {"citationItems":[{"id":"ITEM-1","itemData":{"DOI":"10.1002/jcc.20084","ISBN":"0192-8651 (Print)\\n0192-8651 (Linking)","ISSN":"01928651","PMID":"15264254","abstract":"The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 ©2004 Wiley Periodicals, Inc. J Comput Chem 25: 1605-1612, 2004","author":[{"dropping-particle":"","family":"Pettersen","given":"Eric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E","non-dropping-particle":"","parse-names":false,"suffix":""}],"container-title":"Journal of Computational Chemistry","id":"ITEM-1","issue":"13","issued":{"date-parts":[["2004"]]},"page":"1605-1612","title":"UCSF Chimera - A visualization system for exploratory research and analysis","type":"article-journal","volume":"25"},"uris":["http://www.mendeley.com/documents/?uuid=a324215f-e1a2-4f1a-bb43-7b78c3c63b49"]}],"mendeley":{"formattedCitation":"(Pettersen et al. 2004)","plainTextFormattedCitation":"(Pettersen et al. 2004)","previouslyFormattedCitation":"(Pettersen et al. 2004)"},"properties":{"noteIndex":0},"schema":"https://github.com/citation-style-language/schema/raw/master/csl-citation.json"}</w:instrText>
      </w:r>
      <w:r w:rsidR="000D6D99" w:rsidRPr="001E2A1D">
        <w:fldChar w:fldCharType="separate"/>
      </w:r>
      <w:r w:rsidR="000D6D99" w:rsidRPr="001E2A1D">
        <w:t>(Pettersen et al. 2004)</w:t>
      </w:r>
      <w:r w:rsidR="000D6D99" w:rsidRPr="001E2A1D">
        <w:fldChar w:fldCharType="end"/>
      </w:r>
      <w:r w:rsidRPr="001E2A1D">
        <w:t>.</w:t>
      </w:r>
    </w:p>
    <w:p w14:paraId="294A0D91" w14:textId="77777777" w:rsidR="000F02B8" w:rsidRPr="001E2A1D" w:rsidRDefault="000F02B8" w:rsidP="00673E84">
      <w:pPr>
        <w:spacing w:line="276" w:lineRule="auto"/>
        <w:jc w:val="both"/>
        <w:rPr>
          <w:rFonts w:asciiTheme="majorHAnsi" w:hAnsiTheme="majorHAnsi"/>
          <w:kern w:val="21"/>
        </w:rPr>
      </w:pPr>
    </w:p>
    <w:p w14:paraId="636A9295" w14:textId="77777777" w:rsidR="00BB28DD" w:rsidRPr="001E2A1D" w:rsidRDefault="00BB28DD" w:rsidP="00673E84">
      <w:pPr>
        <w:spacing w:line="276" w:lineRule="auto"/>
        <w:jc w:val="both"/>
        <w:rPr>
          <w:rFonts w:asciiTheme="majorHAnsi" w:hAnsiTheme="majorHAnsi"/>
          <w:kern w:val="21"/>
        </w:rPr>
        <w:sectPr w:rsidR="00BB28DD" w:rsidRPr="001E2A1D" w:rsidSect="009C2CF5">
          <w:footerReference w:type="default" r:id="rId8"/>
          <w:pgSz w:w="12240" w:h="15840"/>
          <w:pgMar w:top="1440" w:right="1440" w:bottom="1440" w:left="1440" w:header="720" w:footer="720" w:gutter="0"/>
          <w:cols w:space="720"/>
          <w:docGrid w:linePitch="360"/>
        </w:sectPr>
      </w:pPr>
    </w:p>
    <w:p w14:paraId="06BD57A5" w14:textId="796DAFFF" w:rsidR="00BB28DD" w:rsidRPr="001E2A1D" w:rsidRDefault="00BB28DD" w:rsidP="00673E84">
      <w:pPr>
        <w:pStyle w:val="TAMainText"/>
        <w:spacing w:line="276" w:lineRule="auto"/>
        <w:rPr>
          <w:b/>
        </w:rPr>
      </w:pPr>
      <w:r w:rsidRPr="001E2A1D">
        <w:rPr>
          <w:b/>
        </w:rPr>
        <w:lastRenderedPageBreak/>
        <w:t>Tables and figures</w:t>
      </w:r>
    </w:p>
    <w:p w14:paraId="4EAFA21B" w14:textId="77777777" w:rsidR="00E30C76" w:rsidRPr="001E2A1D" w:rsidRDefault="00E30C76" w:rsidP="00673E84">
      <w:pPr>
        <w:pStyle w:val="TAMainText"/>
        <w:spacing w:line="276" w:lineRule="auto"/>
        <w:rPr>
          <w:b/>
        </w:rPr>
      </w:pPr>
    </w:p>
    <w:p w14:paraId="42EAC86A" w14:textId="77777777" w:rsidR="00E30C76" w:rsidRPr="001E2A1D" w:rsidRDefault="00E30C76" w:rsidP="00673E84">
      <w:pPr>
        <w:pStyle w:val="TAMainText"/>
        <w:spacing w:line="276" w:lineRule="auto"/>
        <w:rPr>
          <w:b/>
        </w:rPr>
      </w:pPr>
    </w:p>
    <w:p w14:paraId="5F597A80" w14:textId="77777777" w:rsidR="00BB28DD" w:rsidRPr="001E2A1D" w:rsidRDefault="00BB28DD" w:rsidP="00673E84">
      <w:pPr>
        <w:spacing w:line="276" w:lineRule="auto"/>
        <w:jc w:val="both"/>
        <w:rPr>
          <w:rFonts w:asciiTheme="majorHAnsi" w:hAnsiTheme="majorHAnsi"/>
        </w:rPr>
      </w:pPr>
    </w:p>
    <w:p w14:paraId="5702B424" w14:textId="77777777" w:rsidR="00990C60" w:rsidRPr="001E2A1D" w:rsidRDefault="00990C60" w:rsidP="00BA6E19">
      <w:pPr>
        <w:spacing w:line="276" w:lineRule="auto"/>
        <w:ind w:left="-851" w:right="-932"/>
        <w:jc w:val="both"/>
        <w:rPr>
          <w:rFonts w:asciiTheme="majorHAnsi" w:hAnsiTheme="majorHAnsi"/>
          <w:sz w:val="22"/>
        </w:rPr>
      </w:pPr>
    </w:p>
    <w:p w14:paraId="29945280" w14:textId="77777777" w:rsidR="00853F00" w:rsidRPr="001E2A1D" w:rsidRDefault="00853F00" w:rsidP="00BA6E19">
      <w:pPr>
        <w:spacing w:line="276" w:lineRule="auto"/>
        <w:ind w:left="-851" w:right="-932"/>
        <w:jc w:val="both"/>
        <w:rPr>
          <w:rFonts w:asciiTheme="majorHAnsi" w:hAnsiTheme="majorHAnsi"/>
          <w:sz w:val="22"/>
        </w:rPr>
      </w:pPr>
    </w:p>
    <w:p w14:paraId="1DC5BA86" w14:textId="77777777" w:rsidR="00990C60" w:rsidRPr="001E2A1D" w:rsidRDefault="00990C60" w:rsidP="00BA6E19">
      <w:pPr>
        <w:spacing w:line="276" w:lineRule="auto"/>
        <w:ind w:left="-851" w:right="-932"/>
        <w:jc w:val="both"/>
        <w:rPr>
          <w:rFonts w:asciiTheme="majorHAnsi" w:hAnsiTheme="majorHAnsi"/>
          <w:sz w:val="22"/>
        </w:rPr>
      </w:pPr>
    </w:p>
    <w:p w14:paraId="45915A4E" w14:textId="77777777" w:rsidR="00990C60" w:rsidRPr="001E2A1D" w:rsidRDefault="00990C60" w:rsidP="00BA6E19">
      <w:pPr>
        <w:spacing w:line="276" w:lineRule="auto"/>
        <w:ind w:left="-851" w:right="-932"/>
        <w:jc w:val="both"/>
        <w:rPr>
          <w:rFonts w:asciiTheme="majorHAnsi" w:hAnsiTheme="majorHAnsi"/>
          <w:sz w:val="22"/>
        </w:rPr>
      </w:pPr>
    </w:p>
    <w:p w14:paraId="744241F1" w14:textId="77777777" w:rsidR="00990C60" w:rsidRPr="001E2A1D" w:rsidRDefault="00990C60" w:rsidP="00BA6E19">
      <w:pPr>
        <w:spacing w:line="276" w:lineRule="auto"/>
        <w:ind w:left="-851" w:right="-932"/>
        <w:jc w:val="both"/>
        <w:rPr>
          <w:rFonts w:asciiTheme="majorHAnsi" w:hAnsiTheme="majorHAnsi"/>
          <w:sz w:val="22"/>
        </w:rPr>
      </w:pPr>
    </w:p>
    <w:p w14:paraId="2CE8B210" w14:textId="77777777" w:rsidR="00990C60" w:rsidRPr="001E2A1D" w:rsidRDefault="00990C60" w:rsidP="00BA6E19">
      <w:pPr>
        <w:spacing w:line="276" w:lineRule="auto"/>
        <w:ind w:left="-851" w:right="-932"/>
        <w:jc w:val="both"/>
        <w:rPr>
          <w:rFonts w:asciiTheme="majorHAnsi" w:hAnsiTheme="majorHAnsi"/>
          <w:sz w:val="22"/>
        </w:rPr>
      </w:pPr>
    </w:p>
    <w:p w14:paraId="18F742F4" w14:textId="353DE73D" w:rsidR="000F02B8" w:rsidRPr="001E2A1D" w:rsidRDefault="000F02B8" w:rsidP="00BA6E19">
      <w:pPr>
        <w:spacing w:line="276" w:lineRule="auto"/>
        <w:ind w:left="-851" w:right="-932"/>
        <w:jc w:val="both"/>
        <w:rPr>
          <w:rFonts w:asciiTheme="majorHAnsi" w:hAnsiTheme="majorHAnsi"/>
          <w:sz w:val="22"/>
        </w:rPr>
      </w:pPr>
      <w:r w:rsidRPr="001E2A1D">
        <w:rPr>
          <w:rFonts w:asciiTheme="majorHAnsi" w:hAnsiTheme="majorHAnsi"/>
          <w:b/>
          <w:sz w:val="22"/>
        </w:rPr>
        <w:t xml:space="preserve">Table </w:t>
      </w:r>
      <w:r w:rsidR="00E14403" w:rsidRPr="001E2A1D">
        <w:rPr>
          <w:rFonts w:asciiTheme="majorHAnsi" w:hAnsiTheme="majorHAnsi"/>
          <w:b/>
          <w:sz w:val="22"/>
        </w:rPr>
        <w:t>S1</w:t>
      </w:r>
      <w:r w:rsidRPr="001E2A1D">
        <w:rPr>
          <w:rFonts w:asciiTheme="majorHAnsi" w:hAnsiTheme="majorHAnsi"/>
          <w:sz w:val="22"/>
        </w:rPr>
        <w:t xml:space="preserve">. Best poses from docking of complexes </w:t>
      </w:r>
      <w:r w:rsidR="00BA6E19" w:rsidRPr="001E2A1D">
        <w:rPr>
          <w:rFonts w:asciiTheme="majorHAnsi" w:hAnsiTheme="majorHAnsi"/>
          <w:sz w:val="22"/>
        </w:rPr>
        <w:t>A)</w:t>
      </w:r>
      <w:r w:rsidRPr="001E2A1D">
        <w:rPr>
          <w:rFonts w:asciiTheme="majorHAnsi" w:hAnsiTheme="majorHAnsi"/>
          <w:sz w:val="22"/>
        </w:rPr>
        <w:t xml:space="preserve"> Phen-Cu(II)-</w:t>
      </w:r>
      <w:r w:rsidR="00BA6E19" w:rsidRPr="001E2A1D">
        <w:rPr>
          <w:rFonts w:asciiTheme="majorHAnsi" w:hAnsiTheme="majorHAnsi"/>
          <w:sz w:val="22"/>
        </w:rPr>
        <w:t>(</w:t>
      </w:r>
      <w:r w:rsidRPr="001E2A1D">
        <w:rPr>
          <w:rFonts w:asciiTheme="majorHAnsi" w:hAnsiTheme="majorHAnsi"/>
          <w:sz w:val="22"/>
        </w:rPr>
        <w:t>H</w:t>
      </w:r>
      <w:r w:rsidRPr="001E2A1D">
        <w:rPr>
          <w:rFonts w:asciiTheme="majorHAnsi" w:hAnsiTheme="majorHAnsi"/>
          <w:sz w:val="22"/>
          <w:vertAlign w:val="subscript"/>
        </w:rPr>
        <w:t>2</w:t>
      </w:r>
      <w:r w:rsidRPr="001E2A1D">
        <w:rPr>
          <w:rFonts w:asciiTheme="majorHAnsi" w:hAnsiTheme="majorHAnsi"/>
          <w:sz w:val="22"/>
        </w:rPr>
        <w:t>O</w:t>
      </w:r>
      <w:r w:rsidR="00BA6E19" w:rsidRPr="001E2A1D">
        <w:rPr>
          <w:rFonts w:asciiTheme="majorHAnsi" w:hAnsiTheme="majorHAnsi"/>
          <w:sz w:val="22"/>
        </w:rPr>
        <w:t>)</w:t>
      </w:r>
      <w:r w:rsidR="00BA6E19" w:rsidRPr="001E2A1D">
        <w:rPr>
          <w:rFonts w:asciiTheme="majorHAnsi" w:hAnsiTheme="majorHAnsi"/>
          <w:sz w:val="22"/>
          <w:vertAlign w:val="subscript"/>
        </w:rPr>
        <w:t>2</w:t>
      </w:r>
      <w:r w:rsidR="00E14403" w:rsidRPr="001E2A1D">
        <w:rPr>
          <w:rFonts w:asciiTheme="majorHAnsi" w:hAnsiTheme="majorHAnsi"/>
          <w:sz w:val="22"/>
        </w:rPr>
        <w:t xml:space="preserve"> and B</w:t>
      </w:r>
      <w:r w:rsidR="00BA6E19" w:rsidRPr="001E2A1D">
        <w:rPr>
          <w:rFonts w:asciiTheme="majorHAnsi" w:hAnsiTheme="majorHAnsi"/>
          <w:sz w:val="22"/>
        </w:rPr>
        <w:t>) B</w:t>
      </w:r>
      <w:r w:rsidRPr="001E2A1D">
        <w:rPr>
          <w:rFonts w:asciiTheme="majorHAnsi" w:hAnsiTheme="majorHAnsi"/>
          <w:sz w:val="22"/>
        </w:rPr>
        <w:t>py</w:t>
      </w:r>
      <w:r w:rsidR="00BA6E19" w:rsidRPr="001E2A1D">
        <w:rPr>
          <w:rFonts w:asciiTheme="majorHAnsi" w:hAnsiTheme="majorHAnsi"/>
          <w:sz w:val="22"/>
        </w:rPr>
        <w:t>A-Cu(II)-(</w:t>
      </w:r>
      <w:r w:rsidRPr="001E2A1D">
        <w:rPr>
          <w:rFonts w:asciiTheme="majorHAnsi" w:hAnsiTheme="majorHAnsi"/>
          <w:sz w:val="22"/>
        </w:rPr>
        <w:t>H</w:t>
      </w:r>
      <w:r w:rsidRPr="001E2A1D">
        <w:rPr>
          <w:rFonts w:asciiTheme="majorHAnsi" w:hAnsiTheme="majorHAnsi"/>
          <w:sz w:val="22"/>
          <w:vertAlign w:val="subscript"/>
        </w:rPr>
        <w:t>2</w:t>
      </w:r>
      <w:r w:rsidRPr="001E2A1D">
        <w:rPr>
          <w:rFonts w:asciiTheme="majorHAnsi" w:hAnsiTheme="majorHAnsi"/>
          <w:sz w:val="22"/>
        </w:rPr>
        <w:t>O</w:t>
      </w:r>
      <w:r w:rsidR="00BA6E19" w:rsidRPr="001E2A1D">
        <w:rPr>
          <w:rFonts w:asciiTheme="majorHAnsi" w:hAnsiTheme="majorHAnsi"/>
          <w:sz w:val="22"/>
        </w:rPr>
        <w:t>)</w:t>
      </w:r>
      <w:r w:rsidR="00BA6E19" w:rsidRPr="001E2A1D">
        <w:rPr>
          <w:rFonts w:asciiTheme="majorHAnsi" w:hAnsiTheme="majorHAnsi"/>
          <w:sz w:val="22"/>
          <w:vertAlign w:val="subscript"/>
        </w:rPr>
        <w:t>2</w:t>
      </w:r>
      <w:r w:rsidRPr="001E2A1D">
        <w:rPr>
          <w:rFonts w:asciiTheme="majorHAnsi" w:hAnsiTheme="majorHAnsi"/>
          <w:sz w:val="22"/>
        </w:rPr>
        <w:t xml:space="preserve"> into the LmrR scaffold.</w:t>
      </w:r>
    </w:p>
    <w:tbl>
      <w:tblPr>
        <w:tblStyle w:val="TableGrid"/>
        <w:tblW w:w="14862" w:type="dxa"/>
        <w:jc w:val="center"/>
        <w:tblLook w:val="04A0" w:firstRow="1" w:lastRow="0" w:firstColumn="1" w:lastColumn="0" w:noHBand="0" w:noVBand="1"/>
      </w:tblPr>
      <w:tblGrid>
        <w:gridCol w:w="1362"/>
        <w:gridCol w:w="810"/>
        <w:gridCol w:w="850"/>
        <w:gridCol w:w="1415"/>
        <w:gridCol w:w="985"/>
        <w:gridCol w:w="1164"/>
        <w:gridCol w:w="1087"/>
        <w:gridCol w:w="944"/>
        <w:gridCol w:w="865"/>
        <w:gridCol w:w="1184"/>
        <w:gridCol w:w="945"/>
        <w:gridCol w:w="1145"/>
        <w:gridCol w:w="837"/>
        <w:gridCol w:w="1269"/>
      </w:tblGrid>
      <w:tr w:rsidR="00B125E0" w:rsidRPr="001E2A1D" w14:paraId="6606093A" w14:textId="77777777" w:rsidTr="00B125E0">
        <w:trPr>
          <w:jc w:val="center"/>
        </w:trPr>
        <w:tc>
          <w:tcPr>
            <w:tcW w:w="1362" w:type="dxa"/>
          </w:tcPr>
          <w:p w14:paraId="60D044DC" w14:textId="7280F212" w:rsidR="00544769" w:rsidRPr="001E2A1D" w:rsidRDefault="0092195F" w:rsidP="00673E84">
            <w:pPr>
              <w:spacing w:before="120" w:line="276" w:lineRule="auto"/>
              <w:jc w:val="center"/>
              <w:rPr>
                <w:rFonts w:asciiTheme="majorHAnsi" w:hAnsiTheme="majorHAnsi"/>
              </w:rPr>
            </w:pPr>
            <w:r w:rsidRPr="001E2A1D">
              <w:rPr>
                <w:rFonts w:asciiTheme="majorHAnsi" w:hAnsiTheme="majorHAnsi"/>
              </w:rPr>
              <w:t>Ligand</w:t>
            </w:r>
          </w:p>
        </w:tc>
        <w:tc>
          <w:tcPr>
            <w:tcW w:w="810" w:type="dxa"/>
          </w:tcPr>
          <w:p w14:paraId="30EE8AEF" w14:textId="77777777" w:rsidR="00544769" w:rsidRPr="001E2A1D" w:rsidRDefault="00212C61" w:rsidP="00673E84">
            <w:pPr>
              <w:spacing w:before="120" w:line="276" w:lineRule="auto"/>
              <w:jc w:val="center"/>
              <w:rPr>
                <w:rFonts w:asciiTheme="majorHAnsi" w:hAnsiTheme="majorHAnsi"/>
              </w:rPr>
            </w:pPr>
            <w:r w:rsidRPr="001E2A1D">
              <w:rPr>
                <w:rFonts w:asciiTheme="majorHAnsi" w:hAnsiTheme="majorHAnsi"/>
              </w:rPr>
              <w:t>m</w:t>
            </w:r>
            <w:r w:rsidR="00544769" w:rsidRPr="001E2A1D">
              <w:rPr>
                <w:rFonts w:asciiTheme="majorHAnsi" w:hAnsiTheme="majorHAnsi"/>
              </w:rPr>
              <w:t>on1</w:t>
            </w:r>
          </w:p>
        </w:tc>
        <w:tc>
          <w:tcPr>
            <w:tcW w:w="850" w:type="dxa"/>
          </w:tcPr>
          <w:p w14:paraId="4A54B297" w14:textId="77777777" w:rsidR="00544769" w:rsidRPr="001E2A1D" w:rsidRDefault="00212C61" w:rsidP="00673E84">
            <w:pPr>
              <w:spacing w:before="120" w:line="276" w:lineRule="auto"/>
              <w:jc w:val="center"/>
              <w:rPr>
                <w:rFonts w:asciiTheme="majorHAnsi" w:hAnsiTheme="majorHAnsi"/>
              </w:rPr>
            </w:pPr>
            <w:r w:rsidRPr="001E2A1D">
              <w:rPr>
                <w:rFonts w:asciiTheme="majorHAnsi" w:hAnsiTheme="majorHAnsi"/>
              </w:rPr>
              <w:t>m</w:t>
            </w:r>
            <w:r w:rsidR="00544769" w:rsidRPr="001E2A1D">
              <w:rPr>
                <w:rFonts w:asciiTheme="majorHAnsi" w:hAnsiTheme="majorHAnsi"/>
              </w:rPr>
              <w:t>on2</w:t>
            </w:r>
          </w:p>
        </w:tc>
        <w:tc>
          <w:tcPr>
            <w:tcW w:w="1415" w:type="dxa"/>
          </w:tcPr>
          <w:p w14:paraId="2E541470"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ChemScore</w:t>
            </w:r>
          </w:p>
        </w:tc>
        <w:tc>
          <w:tcPr>
            <w:tcW w:w="985" w:type="dxa"/>
          </w:tcPr>
          <w:p w14:paraId="6AA0CE66" w14:textId="1A1D58CF" w:rsidR="00544769" w:rsidRPr="001E2A1D" w:rsidRDefault="00BA6E19" w:rsidP="00673E84">
            <w:pPr>
              <w:spacing w:before="120" w:line="276" w:lineRule="auto"/>
              <w:jc w:val="center"/>
              <w:rPr>
                <w:rFonts w:asciiTheme="majorHAnsi" w:hAnsiTheme="majorHAnsi"/>
              </w:rPr>
            </w:pPr>
            <w:r w:rsidRPr="001E2A1D">
              <w:rPr>
                <w:rFonts w:ascii="Symbol" w:hAnsi="Symbol"/>
              </w:rPr>
              <w:t></w:t>
            </w:r>
            <w:r w:rsidR="000F275C" w:rsidRPr="001E2A1D">
              <w:rPr>
                <w:rFonts w:asciiTheme="majorHAnsi" w:hAnsiTheme="majorHAnsi"/>
              </w:rPr>
              <w:t>G</w:t>
            </w:r>
          </w:p>
        </w:tc>
        <w:tc>
          <w:tcPr>
            <w:tcW w:w="1164" w:type="dxa"/>
          </w:tcPr>
          <w:p w14:paraId="361B045C" w14:textId="55B8D242" w:rsidR="00544769" w:rsidRPr="001E2A1D" w:rsidRDefault="00BA6E19" w:rsidP="00673E84">
            <w:pPr>
              <w:spacing w:before="120" w:line="276" w:lineRule="auto"/>
              <w:jc w:val="center"/>
              <w:rPr>
                <w:rFonts w:asciiTheme="majorHAnsi" w:hAnsiTheme="majorHAnsi"/>
              </w:rPr>
            </w:pPr>
            <w:r w:rsidRPr="001E2A1D">
              <w:rPr>
                <w:rFonts w:asciiTheme="majorHAnsi" w:hAnsiTheme="majorHAnsi"/>
              </w:rPr>
              <w:t>S</w:t>
            </w:r>
            <w:r w:rsidRPr="001E2A1D">
              <w:rPr>
                <w:rFonts w:asciiTheme="majorHAnsi" w:hAnsiTheme="majorHAnsi"/>
                <w:vertAlign w:val="subscript"/>
              </w:rPr>
              <w:t>hbond</w:t>
            </w:r>
          </w:p>
        </w:tc>
        <w:tc>
          <w:tcPr>
            <w:tcW w:w="1087" w:type="dxa"/>
          </w:tcPr>
          <w:p w14:paraId="45830714" w14:textId="1F236243" w:rsidR="00544769" w:rsidRPr="001E2A1D" w:rsidRDefault="00BA6E19" w:rsidP="00673E84">
            <w:pPr>
              <w:spacing w:before="120" w:line="276" w:lineRule="auto"/>
              <w:jc w:val="center"/>
              <w:rPr>
                <w:rFonts w:asciiTheme="majorHAnsi" w:hAnsiTheme="majorHAnsi"/>
              </w:rPr>
            </w:pPr>
            <w:r w:rsidRPr="001E2A1D">
              <w:rPr>
                <w:rFonts w:asciiTheme="majorHAnsi" w:hAnsiTheme="majorHAnsi"/>
              </w:rPr>
              <w:t>S</w:t>
            </w:r>
            <w:r w:rsidRPr="001E2A1D">
              <w:rPr>
                <w:rFonts w:asciiTheme="majorHAnsi" w:hAnsiTheme="majorHAnsi"/>
                <w:vertAlign w:val="subscript"/>
              </w:rPr>
              <w:t>metal</w:t>
            </w:r>
          </w:p>
        </w:tc>
        <w:tc>
          <w:tcPr>
            <w:tcW w:w="944" w:type="dxa"/>
          </w:tcPr>
          <w:p w14:paraId="4EB352F2" w14:textId="1A9079B0" w:rsidR="00544769" w:rsidRPr="001E2A1D" w:rsidRDefault="00BA6E19" w:rsidP="00673E84">
            <w:pPr>
              <w:spacing w:before="120" w:line="276" w:lineRule="auto"/>
              <w:jc w:val="center"/>
              <w:rPr>
                <w:rFonts w:asciiTheme="majorHAnsi" w:hAnsiTheme="majorHAnsi"/>
              </w:rPr>
            </w:pPr>
            <w:r w:rsidRPr="001E2A1D">
              <w:rPr>
                <w:rFonts w:asciiTheme="majorHAnsi" w:hAnsiTheme="majorHAnsi"/>
              </w:rPr>
              <w:t>S</w:t>
            </w:r>
            <w:r w:rsidRPr="001E2A1D">
              <w:rPr>
                <w:rFonts w:asciiTheme="majorHAnsi" w:hAnsiTheme="majorHAnsi"/>
                <w:vertAlign w:val="subscript"/>
              </w:rPr>
              <w:t>lipo</w:t>
            </w:r>
          </w:p>
        </w:tc>
        <w:tc>
          <w:tcPr>
            <w:tcW w:w="865" w:type="dxa"/>
          </w:tcPr>
          <w:p w14:paraId="5081EF18" w14:textId="7B6F5267" w:rsidR="00544769" w:rsidRPr="001E2A1D" w:rsidRDefault="00BA6E19" w:rsidP="00673E84">
            <w:pPr>
              <w:spacing w:before="120" w:line="276" w:lineRule="auto"/>
              <w:jc w:val="center"/>
              <w:rPr>
                <w:rFonts w:asciiTheme="majorHAnsi" w:hAnsiTheme="majorHAnsi"/>
              </w:rPr>
            </w:pPr>
            <w:r w:rsidRPr="001E2A1D">
              <w:rPr>
                <w:rFonts w:asciiTheme="majorHAnsi" w:hAnsiTheme="majorHAnsi"/>
              </w:rPr>
              <w:t>H</w:t>
            </w:r>
            <w:r w:rsidRPr="001E2A1D">
              <w:rPr>
                <w:rFonts w:asciiTheme="majorHAnsi" w:hAnsiTheme="majorHAnsi"/>
                <w:vertAlign w:val="subscript"/>
              </w:rPr>
              <w:t>rot</w:t>
            </w:r>
          </w:p>
        </w:tc>
        <w:tc>
          <w:tcPr>
            <w:tcW w:w="1184" w:type="dxa"/>
          </w:tcPr>
          <w:p w14:paraId="23BE5C1D" w14:textId="4AEA680E" w:rsidR="00544769" w:rsidRPr="001E2A1D" w:rsidRDefault="00BA6E19" w:rsidP="00673E84">
            <w:pPr>
              <w:spacing w:before="120" w:line="276" w:lineRule="auto"/>
              <w:jc w:val="center"/>
              <w:rPr>
                <w:rFonts w:asciiTheme="majorHAnsi" w:hAnsiTheme="majorHAnsi"/>
              </w:rPr>
            </w:pPr>
            <w:r w:rsidRPr="001E2A1D">
              <w:rPr>
                <w:rFonts w:ascii="Symbol" w:hAnsi="Symbol"/>
              </w:rPr>
              <w:t></w:t>
            </w:r>
            <w:r w:rsidRPr="001E2A1D">
              <w:rPr>
                <w:rFonts w:asciiTheme="majorHAnsi" w:hAnsiTheme="majorHAnsi"/>
              </w:rPr>
              <w:t>E</w:t>
            </w:r>
            <w:r w:rsidRPr="001E2A1D">
              <w:rPr>
                <w:rFonts w:asciiTheme="majorHAnsi" w:hAnsiTheme="majorHAnsi"/>
                <w:vertAlign w:val="subscript"/>
              </w:rPr>
              <w:t>clash</w:t>
            </w:r>
          </w:p>
        </w:tc>
        <w:tc>
          <w:tcPr>
            <w:tcW w:w="945" w:type="dxa"/>
          </w:tcPr>
          <w:p w14:paraId="58E089B1" w14:textId="1E2A811F" w:rsidR="00544769" w:rsidRPr="001E2A1D" w:rsidRDefault="00BA6E19" w:rsidP="00673E84">
            <w:pPr>
              <w:spacing w:before="120" w:line="276" w:lineRule="auto"/>
              <w:jc w:val="center"/>
              <w:rPr>
                <w:rFonts w:asciiTheme="majorHAnsi" w:hAnsiTheme="majorHAnsi"/>
              </w:rPr>
            </w:pPr>
            <w:r w:rsidRPr="001E2A1D">
              <w:rPr>
                <w:rFonts w:ascii="Symbol" w:hAnsi="Symbol"/>
              </w:rPr>
              <w:t></w:t>
            </w:r>
            <w:r w:rsidRPr="001E2A1D">
              <w:rPr>
                <w:rFonts w:asciiTheme="majorHAnsi" w:hAnsiTheme="majorHAnsi"/>
              </w:rPr>
              <w:t>E</w:t>
            </w:r>
            <w:r w:rsidRPr="001E2A1D">
              <w:rPr>
                <w:rFonts w:asciiTheme="majorHAnsi" w:hAnsiTheme="majorHAnsi"/>
                <w:vertAlign w:val="subscript"/>
              </w:rPr>
              <w:t>int</w:t>
            </w:r>
          </w:p>
        </w:tc>
        <w:tc>
          <w:tcPr>
            <w:tcW w:w="1145" w:type="dxa"/>
          </w:tcPr>
          <w:p w14:paraId="390F3E3E" w14:textId="5361A27C" w:rsidR="00544769" w:rsidRPr="001E2A1D" w:rsidRDefault="00BA6E19" w:rsidP="00673E84">
            <w:pPr>
              <w:spacing w:before="120" w:line="276" w:lineRule="auto"/>
              <w:jc w:val="center"/>
              <w:rPr>
                <w:rFonts w:asciiTheme="majorHAnsi" w:hAnsiTheme="majorHAnsi"/>
              </w:rPr>
            </w:pPr>
            <w:r w:rsidRPr="001E2A1D">
              <w:rPr>
                <w:rFonts w:ascii="Symbol" w:hAnsi="Symbol"/>
              </w:rPr>
              <w:t></w:t>
            </w:r>
            <w:r w:rsidRPr="001E2A1D">
              <w:rPr>
                <w:rFonts w:asciiTheme="majorHAnsi" w:hAnsiTheme="majorHAnsi"/>
              </w:rPr>
              <w:t>E</w:t>
            </w:r>
            <w:r w:rsidRPr="001E2A1D">
              <w:rPr>
                <w:rFonts w:asciiTheme="majorHAnsi" w:hAnsiTheme="majorHAnsi"/>
                <w:vertAlign w:val="subscript"/>
              </w:rPr>
              <w:t>cov</w:t>
            </w:r>
          </w:p>
        </w:tc>
        <w:tc>
          <w:tcPr>
            <w:tcW w:w="837" w:type="dxa"/>
          </w:tcPr>
          <w:p w14:paraId="18D39C6E" w14:textId="77777777" w:rsidR="00544769" w:rsidRPr="001E2A1D" w:rsidRDefault="00434733" w:rsidP="00673E84">
            <w:pPr>
              <w:spacing w:before="120" w:line="276" w:lineRule="auto"/>
              <w:jc w:val="center"/>
              <w:rPr>
                <w:rFonts w:asciiTheme="majorHAnsi" w:hAnsiTheme="majorHAnsi"/>
              </w:rPr>
            </w:pPr>
            <w:r w:rsidRPr="001E2A1D">
              <w:rPr>
                <w:rFonts w:asciiTheme="majorHAnsi" w:hAnsiTheme="majorHAnsi"/>
              </w:rPr>
              <w:t>intcor</w:t>
            </w:r>
          </w:p>
        </w:tc>
        <w:tc>
          <w:tcPr>
            <w:tcW w:w="1269" w:type="dxa"/>
          </w:tcPr>
          <w:p w14:paraId="0924DB84" w14:textId="224C132D" w:rsidR="00544769" w:rsidRPr="001E2A1D" w:rsidRDefault="00BA6E19" w:rsidP="00673E84">
            <w:pPr>
              <w:spacing w:before="120" w:line="276" w:lineRule="auto"/>
              <w:jc w:val="center"/>
              <w:rPr>
                <w:rFonts w:asciiTheme="majorHAnsi" w:hAnsiTheme="majorHAnsi"/>
              </w:rPr>
            </w:pPr>
            <w:r w:rsidRPr="001E2A1D">
              <w:rPr>
                <w:rFonts w:asciiTheme="majorHAnsi" w:hAnsiTheme="majorHAnsi"/>
              </w:rPr>
              <w:t>S</w:t>
            </w:r>
            <w:r w:rsidRPr="001E2A1D">
              <w:rPr>
                <w:rFonts w:asciiTheme="majorHAnsi" w:hAnsiTheme="majorHAnsi"/>
                <w:vertAlign w:val="subscript"/>
              </w:rPr>
              <w:t>protein</w:t>
            </w:r>
          </w:p>
        </w:tc>
      </w:tr>
      <w:tr w:rsidR="00B125E0" w:rsidRPr="001E2A1D" w14:paraId="762DCFDD" w14:textId="77777777" w:rsidTr="00B125E0">
        <w:trPr>
          <w:jc w:val="center"/>
        </w:trPr>
        <w:tc>
          <w:tcPr>
            <w:tcW w:w="1362" w:type="dxa"/>
            <w:vMerge w:val="restart"/>
          </w:tcPr>
          <w:p w14:paraId="109CF1B5" w14:textId="77777777" w:rsidR="00544769" w:rsidRPr="001E2A1D" w:rsidRDefault="00544769" w:rsidP="00673E84">
            <w:pPr>
              <w:spacing w:before="120" w:line="276" w:lineRule="auto"/>
              <w:jc w:val="center"/>
              <w:rPr>
                <w:rFonts w:asciiTheme="majorHAnsi" w:hAnsiTheme="majorHAnsi"/>
              </w:rPr>
            </w:pPr>
            <w:r w:rsidRPr="001E2A1D">
              <w:rPr>
                <w:rFonts w:asciiTheme="majorHAnsi" w:hAnsiTheme="majorHAnsi"/>
              </w:rPr>
              <w:t>Phen-Cu(II)</w:t>
            </w:r>
          </w:p>
        </w:tc>
        <w:tc>
          <w:tcPr>
            <w:tcW w:w="810" w:type="dxa"/>
          </w:tcPr>
          <w:p w14:paraId="6FF154FD" w14:textId="28138603" w:rsidR="00544769" w:rsidRPr="001E2A1D" w:rsidRDefault="001D4BD4" w:rsidP="00673E84">
            <w:pPr>
              <w:spacing w:before="120" w:line="276" w:lineRule="auto"/>
              <w:jc w:val="center"/>
              <w:rPr>
                <w:rFonts w:asciiTheme="majorHAnsi" w:hAnsiTheme="majorHAnsi"/>
              </w:rPr>
            </w:pPr>
            <w:r w:rsidRPr="001E2A1D">
              <w:rPr>
                <w:rFonts w:asciiTheme="majorHAnsi" w:hAnsiTheme="majorHAnsi"/>
              </w:rPr>
              <w:t>A</w:t>
            </w:r>
          </w:p>
        </w:tc>
        <w:tc>
          <w:tcPr>
            <w:tcW w:w="850" w:type="dxa"/>
          </w:tcPr>
          <w:p w14:paraId="18565C82" w14:textId="77777777" w:rsidR="00544769" w:rsidRPr="001E2A1D" w:rsidRDefault="00544769" w:rsidP="00673E84">
            <w:pPr>
              <w:spacing w:before="120" w:line="276" w:lineRule="auto"/>
              <w:jc w:val="center"/>
              <w:rPr>
                <w:rFonts w:asciiTheme="majorHAnsi" w:hAnsiTheme="majorHAnsi"/>
              </w:rPr>
            </w:pPr>
            <w:r w:rsidRPr="001E2A1D">
              <w:rPr>
                <w:rFonts w:asciiTheme="majorHAnsi" w:hAnsiTheme="majorHAnsi"/>
              </w:rPr>
              <w:t>-</w:t>
            </w:r>
          </w:p>
        </w:tc>
        <w:tc>
          <w:tcPr>
            <w:tcW w:w="1415" w:type="dxa"/>
          </w:tcPr>
          <w:p w14:paraId="44279E99"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38.89</w:t>
            </w:r>
          </w:p>
        </w:tc>
        <w:tc>
          <w:tcPr>
            <w:tcW w:w="985" w:type="dxa"/>
          </w:tcPr>
          <w:p w14:paraId="3EFC3657"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-26.67</w:t>
            </w:r>
          </w:p>
        </w:tc>
        <w:tc>
          <w:tcPr>
            <w:tcW w:w="1164" w:type="dxa"/>
          </w:tcPr>
          <w:p w14:paraId="6CBD6A84"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087" w:type="dxa"/>
          </w:tcPr>
          <w:p w14:paraId="39AC2BA9"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944" w:type="dxa"/>
          </w:tcPr>
          <w:p w14:paraId="1D13C6D7"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207.23</w:t>
            </w:r>
          </w:p>
        </w:tc>
        <w:tc>
          <w:tcPr>
            <w:tcW w:w="865" w:type="dxa"/>
          </w:tcPr>
          <w:p w14:paraId="1ABFF4C8"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1.19</w:t>
            </w:r>
          </w:p>
        </w:tc>
        <w:tc>
          <w:tcPr>
            <w:tcW w:w="1184" w:type="dxa"/>
          </w:tcPr>
          <w:p w14:paraId="511E6BDB"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-13.21</w:t>
            </w:r>
          </w:p>
        </w:tc>
        <w:tc>
          <w:tcPr>
            <w:tcW w:w="945" w:type="dxa"/>
          </w:tcPr>
          <w:p w14:paraId="171C8A2D"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0.58</w:t>
            </w:r>
          </w:p>
        </w:tc>
        <w:tc>
          <w:tcPr>
            <w:tcW w:w="1145" w:type="dxa"/>
          </w:tcPr>
          <w:p w14:paraId="3CED9D1D"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0.41</w:t>
            </w:r>
          </w:p>
        </w:tc>
        <w:tc>
          <w:tcPr>
            <w:tcW w:w="837" w:type="dxa"/>
          </w:tcPr>
          <w:p w14:paraId="02B1474B"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1.21</w:t>
            </w:r>
          </w:p>
        </w:tc>
        <w:tc>
          <w:tcPr>
            <w:tcW w:w="1269" w:type="dxa"/>
          </w:tcPr>
          <w:p w14:paraId="6608AEFB"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r>
      <w:tr w:rsidR="00B125E0" w:rsidRPr="001E2A1D" w14:paraId="482C6AE6" w14:textId="77777777" w:rsidTr="00B125E0">
        <w:trPr>
          <w:jc w:val="center"/>
        </w:trPr>
        <w:tc>
          <w:tcPr>
            <w:tcW w:w="1362" w:type="dxa"/>
            <w:vMerge/>
          </w:tcPr>
          <w:p w14:paraId="568C4BB8" w14:textId="77777777" w:rsidR="00544769" w:rsidRPr="001E2A1D" w:rsidRDefault="00544769" w:rsidP="00673E84">
            <w:pPr>
              <w:spacing w:before="120" w:line="276" w:lineRule="auto"/>
              <w:jc w:val="center"/>
              <w:rPr>
                <w:rFonts w:asciiTheme="majorHAnsi" w:hAnsiTheme="majorHAnsi"/>
              </w:rPr>
            </w:pPr>
          </w:p>
        </w:tc>
        <w:tc>
          <w:tcPr>
            <w:tcW w:w="810" w:type="dxa"/>
          </w:tcPr>
          <w:p w14:paraId="5F41A430" w14:textId="42759ACF" w:rsidR="00544769" w:rsidRPr="001E2A1D" w:rsidRDefault="001D4BD4" w:rsidP="00673E84">
            <w:pPr>
              <w:spacing w:before="120" w:line="276" w:lineRule="auto"/>
              <w:jc w:val="center"/>
              <w:rPr>
                <w:rFonts w:asciiTheme="majorHAnsi" w:hAnsiTheme="majorHAnsi"/>
              </w:rPr>
            </w:pPr>
            <w:r w:rsidRPr="001E2A1D">
              <w:rPr>
                <w:rFonts w:asciiTheme="majorHAnsi" w:hAnsiTheme="majorHAnsi"/>
              </w:rPr>
              <w:t>A</w:t>
            </w:r>
          </w:p>
        </w:tc>
        <w:tc>
          <w:tcPr>
            <w:tcW w:w="850" w:type="dxa"/>
          </w:tcPr>
          <w:p w14:paraId="7444B72D" w14:textId="61575E60" w:rsidR="00544769" w:rsidRPr="001E2A1D" w:rsidRDefault="001D4BD4" w:rsidP="00673E84">
            <w:pPr>
              <w:spacing w:before="120" w:line="276" w:lineRule="auto"/>
              <w:jc w:val="center"/>
              <w:rPr>
                <w:rFonts w:asciiTheme="majorHAnsi" w:hAnsiTheme="majorHAnsi"/>
              </w:rPr>
            </w:pPr>
            <w:r w:rsidRPr="001E2A1D">
              <w:rPr>
                <w:rFonts w:asciiTheme="majorHAnsi" w:hAnsiTheme="majorHAnsi"/>
              </w:rPr>
              <w:t>A</w:t>
            </w:r>
          </w:p>
        </w:tc>
        <w:tc>
          <w:tcPr>
            <w:tcW w:w="1415" w:type="dxa"/>
          </w:tcPr>
          <w:p w14:paraId="0B342F37"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38.96</w:t>
            </w:r>
          </w:p>
        </w:tc>
        <w:tc>
          <w:tcPr>
            <w:tcW w:w="985" w:type="dxa"/>
          </w:tcPr>
          <w:p w14:paraId="6C03F9D0"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-26.63</w:t>
            </w:r>
          </w:p>
        </w:tc>
        <w:tc>
          <w:tcPr>
            <w:tcW w:w="1164" w:type="dxa"/>
          </w:tcPr>
          <w:p w14:paraId="6F93A08A"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087" w:type="dxa"/>
          </w:tcPr>
          <w:p w14:paraId="0D82B144"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944" w:type="dxa"/>
          </w:tcPr>
          <w:p w14:paraId="69D73D2A"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206.88</w:t>
            </w:r>
          </w:p>
        </w:tc>
        <w:tc>
          <w:tcPr>
            <w:tcW w:w="865" w:type="dxa"/>
          </w:tcPr>
          <w:p w14:paraId="01526EB2"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1.19</w:t>
            </w:r>
          </w:p>
        </w:tc>
        <w:tc>
          <w:tcPr>
            <w:tcW w:w="1184" w:type="dxa"/>
          </w:tcPr>
          <w:p w14:paraId="526D4E7F"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-12.96</w:t>
            </w:r>
          </w:p>
        </w:tc>
        <w:tc>
          <w:tcPr>
            <w:tcW w:w="945" w:type="dxa"/>
          </w:tcPr>
          <w:p w14:paraId="466941F1"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0.36</w:t>
            </w:r>
          </w:p>
        </w:tc>
        <w:tc>
          <w:tcPr>
            <w:tcW w:w="1145" w:type="dxa"/>
          </w:tcPr>
          <w:p w14:paraId="4F139DC1"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0.27</w:t>
            </w:r>
          </w:p>
        </w:tc>
        <w:tc>
          <w:tcPr>
            <w:tcW w:w="837" w:type="dxa"/>
          </w:tcPr>
          <w:p w14:paraId="3E97E1D6"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1.21</w:t>
            </w:r>
          </w:p>
        </w:tc>
        <w:tc>
          <w:tcPr>
            <w:tcW w:w="1269" w:type="dxa"/>
          </w:tcPr>
          <w:p w14:paraId="63BF97B8"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r>
      <w:tr w:rsidR="00B125E0" w:rsidRPr="001E2A1D" w14:paraId="5DE2AE1E" w14:textId="77777777" w:rsidTr="00B125E0">
        <w:trPr>
          <w:jc w:val="center"/>
        </w:trPr>
        <w:tc>
          <w:tcPr>
            <w:tcW w:w="1362" w:type="dxa"/>
            <w:vMerge w:val="restart"/>
          </w:tcPr>
          <w:p w14:paraId="179C9EF8" w14:textId="711BC70A" w:rsidR="00544769" w:rsidRPr="001E2A1D" w:rsidRDefault="001D4BD4" w:rsidP="00673E84">
            <w:pPr>
              <w:spacing w:before="120" w:line="276" w:lineRule="auto"/>
              <w:jc w:val="center"/>
              <w:rPr>
                <w:rFonts w:asciiTheme="majorHAnsi" w:hAnsiTheme="majorHAnsi"/>
              </w:rPr>
            </w:pPr>
            <w:r w:rsidRPr="001E2A1D">
              <w:rPr>
                <w:rFonts w:asciiTheme="majorHAnsi" w:hAnsiTheme="majorHAnsi"/>
              </w:rPr>
              <w:t>B</w:t>
            </w:r>
            <w:r w:rsidR="00544769" w:rsidRPr="001E2A1D">
              <w:rPr>
                <w:rFonts w:asciiTheme="majorHAnsi" w:hAnsiTheme="majorHAnsi"/>
              </w:rPr>
              <w:t>py</w:t>
            </w:r>
            <w:r w:rsidRPr="001E2A1D">
              <w:rPr>
                <w:rFonts w:asciiTheme="majorHAnsi" w:hAnsiTheme="majorHAnsi"/>
              </w:rPr>
              <w:t>A</w:t>
            </w:r>
            <w:r w:rsidR="00544769" w:rsidRPr="001E2A1D">
              <w:rPr>
                <w:rFonts w:asciiTheme="majorHAnsi" w:hAnsiTheme="majorHAnsi"/>
              </w:rPr>
              <w:t>-Cu(II)</w:t>
            </w:r>
          </w:p>
        </w:tc>
        <w:tc>
          <w:tcPr>
            <w:tcW w:w="810" w:type="dxa"/>
          </w:tcPr>
          <w:p w14:paraId="6E8B5A6C" w14:textId="10F48A64" w:rsidR="00544769" w:rsidRPr="001E2A1D" w:rsidRDefault="00E14403" w:rsidP="00673E84">
            <w:pPr>
              <w:spacing w:before="120" w:line="276" w:lineRule="auto"/>
              <w:jc w:val="center"/>
              <w:rPr>
                <w:rFonts w:asciiTheme="majorHAnsi" w:hAnsiTheme="majorHAnsi"/>
              </w:rPr>
            </w:pPr>
            <w:r w:rsidRPr="001E2A1D">
              <w:rPr>
                <w:rFonts w:asciiTheme="majorHAnsi" w:hAnsiTheme="majorHAnsi"/>
              </w:rPr>
              <w:t>B</w:t>
            </w:r>
          </w:p>
        </w:tc>
        <w:tc>
          <w:tcPr>
            <w:tcW w:w="850" w:type="dxa"/>
          </w:tcPr>
          <w:p w14:paraId="7318C244" w14:textId="77777777" w:rsidR="00544769" w:rsidRPr="001E2A1D" w:rsidRDefault="00544769" w:rsidP="00673E84">
            <w:pPr>
              <w:spacing w:before="120" w:line="276" w:lineRule="auto"/>
              <w:jc w:val="center"/>
              <w:rPr>
                <w:rFonts w:asciiTheme="majorHAnsi" w:hAnsiTheme="majorHAnsi"/>
              </w:rPr>
            </w:pPr>
            <w:r w:rsidRPr="001E2A1D">
              <w:rPr>
                <w:rFonts w:asciiTheme="majorHAnsi" w:hAnsiTheme="majorHAnsi"/>
              </w:rPr>
              <w:t>-</w:t>
            </w:r>
          </w:p>
        </w:tc>
        <w:tc>
          <w:tcPr>
            <w:tcW w:w="1415" w:type="dxa"/>
          </w:tcPr>
          <w:p w14:paraId="17E18D3D"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34.85</w:t>
            </w:r>
          </w:p>
        </w:tc>
        <w:tc>
          <w:tcPr>
            <w:tcW w:w="985" w:type="dxa"/>
          </w:tcPr>
          <w:p w14:paraId="42F40B3E"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-15.96</w:t>
            </w:r>
          </w:p>
        </w:tc>
        <w:tc>
          <w:tcPr>
            <w:tcW w:w="1164" w:type="dxa"/>
          </w:tcPr>
          <w:p w14:paraId="27601833"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087" w:type="dxa"/>
          </w:tcPr>
          <w:p w14:paraId="2C8D2BBA"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944" w:type="dxa"/>
          </w:tcPr>
          <w:p w14:paraId="3ED3582F"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89.54</w:t>
            </w:r>
          </w:p>
        </w:tc>
        <w:tc>
          <w:tcPr>
            <w:tcW w:w="865" w:type="dxa"/>
          </w:tcPr>
          <w:p w14:paraId="4CEAE634"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184" w:type="dxa"/>
          </w:tcPr>
          <w:p w14:paraId="6A8E3EA4"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-19.07</w:t>
            </w:r>
          </w:p>
        </w:tc>
        <w:tc>
          <w:tcPr>
            <w:tcW w:w="945" w:type="dxa"/>
          </w:tcPr>
          <w:p w14:paraId="6E060D0A"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145" w:type="dxa"/>
          </w:tcPr>
          <w:p w14:paraId="792F354F"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0.17</w:t>
            </w:r>
          </w:p>
        </w:tc>
        <w:tc>
          <w:tcPr>
            <w:tcW w:w="837" w:type="dxa"/>
          </w:tcPr>
          <w:p w14:paraId="231D217F"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269" w:type="dxa"/>
          </w:tcPr>
          <w:p w14:paraId="2F9ABA1D"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r>
      <w:tr w:rsidR="00B125E0" w:rsidRPr="001E2A1D" w14:paraId="571220CD" w14:textId="77777777" w:rsidTr="00B125E0">
        <w:trPr>
          <w:jc w:val="center"/>
        </w:trPr>
        <w:tc>
          <w:tcPr>
            <w:tcW w:w="1362" w:type="dxa"/>
            <w:vMerge/>
          </w:tcPr>
          <w:p w14:paraId="5C3EAEF5" w14:textId="77777777" w:rsidR="00544769" w:rsidRPr="001E2A1D" w:rsidRDefault="00544769" w:rsidP="00673E84">
            <w:pPr>
              <w:spacing w:before="120" w:line="276" w:lineRule="auto"/>
              <w:jc w:val="center"/>
              <w:rPr>
                <w:rFonts w:asciiTheme="majorHAnsi" w:hAnsiTheme="majorHAnsi"/>
              </w:rPr>
            </w:pPr>
          </w:p>
        </w:tc>
        <w:tc>
          <w:tcPr>
            <w:tcW w:w="810" w:type="dxa"/>
          </w:tcPr>
          <w:p w14:paraId="6BCAC2B8" w14:textId="5ED78BDD" w:rsidR="00544769" w:rsidRPr="001E2A1D" w:rsidRDefault="00E14403" w:rsidP="00673E84">
            <w:pPr>
              <w:spacing w:before="120" w:line="276" w:lineRule="auto"/>
              <w:jc w:val="center"/>
              <w:rPr>
                <w:rFonts w:asciiTheme="majorHAnsi" w:hAnsiTheme="majorHAnsi"/>
              </w:rPr>
            </w:pPr>
            <w:r w:rsidRPr="001E2A1D">
              <w:rPr>
                <w:rFonts w:asciiTheme="majorHAnsi" w:hAnsiTheme="majorHAnsi"/>
              </w:rPr>
              <w:t>B</w:t>
            </w:r>
          </w:p>
        </w:tc>
        <w:tc>
          <w:tcPr>
            <w:tcW w:w="850" w:type="dxa"/>
          </w:tcPr>
          <w:p w14:paraId="5C9D0541" w14:textId="1AEE7E1E" w:rsidR="00544769" w:rsidRPr="001E2A1D" w:rsidRDefault="00E14403" w:rsidP="00673E84">
            <w:pPr>
              <w:spacing w:before="120" w:line="276" w:lineRule="auto"/>
              <w:jc w:val="center"/>
              <w:rPr>
                <w:rFonts w:asciiTheme="majorHAnsi" w:hAnsiTheme="majorHAnsi"/>
              </w:rPr>
            </w:pPr>
            <w:r w:rsidRPr="001E2A1D">
              <w:rPr>
                <w:rFonts w:asciiTheme="majorHAnsi" w:hAnsiTheme="majorHAnsi"/>
              </w:rPr>
              <w:t>B</w:t>
            </w:r>
          </w:p>
        </w:tc>
        <w:tc>
          <w:tcPr>
            <w:tcW w:w="1415" w:type="dxa"/>
          </w:tcPr>
          <w:p w14:paraId="0EDF648F"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34.34</w:t>
            </w:r>
          </w:p>
        </w:tc>
        <w:tc>
          <w:tcPr>
            <w:tcW w:w="985" w:type="dxa"/>
          </w:tcPr>
          <w:p w14:paraId="2B21828A"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-16.24</w:t>
            </w:r>
          </w:p>
        </w:tc>
        <w:tc>
          <w:tcPr>
            <w:tcW w:w="1164" w:type="dxa"/>
          </w:tcPr>
          <w:p w14:paraId="3F99B1A3"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087" w:type="dxa"/>
          </w:tcPr>
          <w:p w14:paraId="06409B53"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944" w:type="dxa"/>
          </w:tcPr>
          <w:p w14:paraId="77938236"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91.93</w:t>
            </w:r>
          </w:p>
        </w:tc>
        <w:tc>
          <w:tcPr>
            <w:tcW w:w="865" w:type="dxa"/>
          </w:tcPr>
          <w:p w14:paraId="70F74142"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184" w:type="dxa"/>
          </w:tcPr>
          <w:p w14:paraId="588F73B1"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-18.37</w:t>
            </w:r>
          </w:p>
        </w:tc>
        <w:tc>
          <w:tcPr>
            <w:tcW w:w="945" w:type="dxa"/>
          </w:tcPr>
          <w:p w14:paraId="12562ABD"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145" w:type="dxa"/>
          </w:tcPr>
          <w:p w14:paraId="0EB25B8C"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0.26</w:t>
            </w:r>
          </w:p>
        </w:tc>
        <w:tc>
          <w:tcPr>
            <w:tcW w:w="837" w:type="dxa"/>
          </w:tcPr>
          <w:p w14:paraId="6B6EB6E4"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c>
          <w:tcPr>
            <w:tcW w:w="1269" w:type="dxa"/>
          </w:tcPr>
          <w:p w14:paraId="116B290A" w14:textId="77777777" w:rsidR="00544769" w:rsidRPr="001E2A1D" w:rsidRDefault="000F275C" w:rsidP="00673E84">
            <w:pPr>
              <w:spacing w:before="120" w:line="276" w:lineRule="auto"/>
              <w:jc w:val="center"/>
              <w:rPr>
                <w:rFonts w:asciiTheme="majorHAnsi" w:hAnsiTheme="majorHAnsi"/>
              </w:rPr>
            </w:pPr>
            <w:r w:rsidRPr="001E2A1D">
              <w:rPr>
                <w:rFonts w:asciiTheme="majorHAnsi" w:hAnsiTheme="majorHAnsi"/>
              </w:rPr>
              <w:t>0.00</w:t>
            </w:r>
          </w:p>
        </w:tc>
      </w:tr>
    </w:tbl>
    <w:p w14:paraId="1BC7E25E" w14:textId="77777777" w:rsidR="00ED74A7" w:rsidRPr="001E2A1D" w:rsidRDefault="00ED74A7" w:rsidP="00673E84">
      <w:pPr>
        <w:spacing w:after="200" w:line="276" w:lineRule="auto"/>
        <w:jc w:val="both"/>
        <w:rPr>
          <w:rFonts w:asciiTheme="majorHAnsi" w:hAnsiTheme="majorHAnsi"/>
        </w:rPr>
        <w:sectPr w:rsidR="00ED74A7" w:rsidRPr="001E2A1D" w:rsidSect="00E14403">
          <w:pgSz w:w="15840" w:h="12240" w:orient="landscape"/>
          <w:pgMar w:top="1440" w:right="1440" w:bottom="1440" w:left="1440" w:header="720" w:footer="720" w:gutter="0"/>
          <w:cols w:space="720"/>
          <w:docGrid w:linePitch="360"/>
        </w:sectPr>
      </w:pPr>
    </w:p>
    <w:p w14:paraId="1EDAB5C9" w14:textId="77777777" w:rsidR="003B6CD3" w:rsidRPr="001E2A1D" w:rsidRDefault="003B6CD3" w:rsidP="00E30C76">
      <w:pPr>
        <w:spacing w:line="276" w:lineRule="auto"/>
        <w:ind w:hanging="567"/>
        <w:jc w:val="both"/>
        <w:rPr>
          <w:rFonts w:asciiTheme="majorHAnsi" w:hAnsiTheme="majorHAnsi"/>
        </w:rPr>
      </w:pPr>
    </w:p>
    <w:p w14:paraId="14553CBB" w14:textId="77777777" w:rsidR="003B6CD3" w:rsidRPr="001E2A1D" w:rsidRDefault="003B6CD3" w:rsidP="00E30C76">
      <w:pPr>
        <w:spacing w:line="276" w:lineRule="auto"/>
        <w:ind w:hanging="567"/>
        <w:jc w:val="both"/>
        <w:rPr>
          <w:rFonts w:asciiTheme="majorHAnsi" w:hAnsiTheme="majorHAnsi"/>
        </w:rPr>
      </w:pPr>
    </w:p>
    <w:p w14:paraId="25078616" w14:textId="77777777" w:rsidR="003B6CD3" w:rsidRPr="001E2A1D" w:rsidRDefault="003B6CD3" w:rsidP="00E30C76">
      <w:pPr>
        <w:spacing w:line="276" w:lineRule="auto"/>
        <w:ind w:hanging="567"/>
        <w:jc w:val="both"/>
        <w:rPr>
          <w:rFonts w:asciiTheme="majorHAnsi" w:hAnsiTheme="majorHAnsi"/>
        </w:rPr>
      </w:pPr>
    </w:p>
    <w:p w14:paraId="2CAFBDA7" w14:textId="77777777" w:rsidR="003B6CD3" w:rsidRPr="001E2A1D" w:rsidRDefault="003B6CD3" w:rsidP="00E30C76">
      <w:pPr>
        <w:spacing w:line="276" w:lineRule="auto"/>
        <w:ind w:hanging="567"/>
        <w:jc w:val="both"/>
        <w:rPr>
          <w:rFonts w:asciiTheme="majorHAnsi" w:hAnsiTheme="majorHAnsi"/>
        </w:rPr>
      </w:pPr>
    </w:p>
    <w:p w14:paraId="7F802806" w14:textId="77777777" w:rsidR="00E30C76" w:rsidRPr="001E2A1D" w:rsidRDefault="00E30C76" w:rsidP="00E30C76">
      <w:pPr>
        <w:spacing w:line="276" w:lineRule="auto"/>
        <w:ind w:hanging="567"/>
        <w:jc w:val="both"/>
        <w:rPr>
          <w:rFonts w:asciiTheme="majorHAnsi" w:hAnsiTheme="majorHAnsi"/>
        </w:rPr>
      </w:pPr>
      <w:r w:rsidRPr="001E2A1D">
        <w:rPr>
          <w:rFonts w:asciiTheme="majorHAnsi" w:hAnsiTheme="majorHAnsi"/>
          <w:noProof/>
          <w:lang w:val="de-DE" w:eastAsia="de-DE"/>
        </w:rPr>
        <w:drawing>
          <wp:inline distT="0" distB="0" distL="0" distR="0" wp14:anchorId="0E9EEC5B" wp14:editId="01DE25B8">
            <wp:extent cx="6625590" cy="528286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ka_clusters_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7172" cy="5284123"/>
                    </a:xfrm>
                    <a:prstGeom prst="rect">
                      <a:avLst/>
                    </a:prstGeom>
                  </pic:spPr>
                </pic:pic>
              </a:graphicData>
            </a:graphic>
          </wp:inline>
        </w:drawing>
      </w:r>
    </w:p>
    <w:p w14:paraId="728C622A" w14:textId="6AC8E4CC" w:rsidR="00E30C76" w:rsidRPr="001E2A1D" w:rsidRDefault="00E30C76" w:rsidP="00E30C76">
      <w:pPr>
        <w:spacing w:line="276" w:lineRule="auto"/>
        <w:jc w:val="both"/>
        <w:rPr>
          <w:rFonts w:asciiTheme="majorHAnsi" w:hAnsiTheme="majorHAnsi"/>
        </w:rPr>
      </w:pPr>
      <w:r w:rsidRPr="001E2A1D">
        <w:rPr>
          <w:rFonts w:asciiTheme="majorHAnsi" w:hAnsiTheme="majorHAnsi"/>
          <w:b/>
        </w:rPr>
        <w:t>Figure S1</w:t>
      </w:r>
      <w:r w:rsidRPr="001E2A1D">
        <w:rPr>
          <w:rFonts w:asciiTheme="majorHAnsi" w:hAnsiTheme="majorHAnsi"/>
        </w:rPr>
        <w:t xml:space="preserve">. </w:t>
      </w:r>
      <w:r w:rsidR="00270579" w:rsidRPr="001E2A1D">
        <w:rPr>
          <w:rFonts w:asciiTheme="majorHAnsi" w:hAnsiTheme="majorHAnsi"/>
        </w:rPr>
        <w:t>Front and rear views of the r</w:t>
      </w:r>
      <w:r w:rsidRPr="001E2A1D">
        <w:rPr>
          <w:rFonts w:asciiTheme="majorHAnsi" w:hAnsiTheme="majorHAnsi"/>
        </w:rPr>
        <w:t xml:space="preserve">epresentative structures extracted from </w:t>
      </w:r>
      <w:r w:rsidR="00270579" w:rsidRPr="001E2A1D">
        <w:rPr>
          <w:rFonts w:asciiTheme="majorHAnsi" w:hAnsiTheme="majorHAnsi"/>
        </w:rPr>
        <w:t>k-means</w:t>
      </w:r>
      <w:r w:rsidRPr="001E2A1D">
        <w:rPr>
          <w:rFonts w:asciiTheme="majorHAnsi" w:hAnsiTheme="majorHAnsi"/>
        </w:rPr>
        <w:t xml:space="preserve"> clusters </w:t>
      </w:r>
      <w:r w:rsidR="00270579" w:rsidRPr="001E2A1D">
        <w:rPr>
          <w:rFonts w:asciiTheme="majorHAnsi" w:hAnsiTheme="majorHAnsi"/>
        </w:rPr>
        <w:t xml:space="preserve">in the tICA space </w:t>
      </w:r>
      <w:r w:rsidRPr="001E2A1D">
        <w:rPr>
          <w:rFonts w:asciiTheme="majorHAnsi" w:hAnsiTheme="majorHAnsi"/>
        </w:rPr>
        <w:t>found along 300 ns of MD simulation for the different LmrR</w:t>
      </w:r>
      <w:r w:rsidR="00474ECC" w:rsidRPr="001E2A1D">
        <w:rPr>
          <w:rFonts w:asciiTheme="majorHAnsi" w:hAnsiTheme="majorHAnsi"/>
        </w:rPr>
        <w:t>-</w:t>
      </w:r>
      <w:r w:rsidRPr="001E2A1D">
        <w:rPr>
          <w:rFonts w:asciiTheme="majorHAnsi" w:hAnsiTheme="majorHAnsi"/>
        </w:rPr>
        <w:t>based systems under study: the apo form (</w:t>
      </w:r>
      <w:r w:rsidRPr="001E2A1D">
        <w:rPr>
          <w:rFonts w:asciiTheme="majorHAnsi" w:hAnsiTheme="majorHAnsi"/>
          <w:b/>
        </w:rPr>
        <w:t>1</w:t>
      </w:r>
      <w:r w:rsidRPr="001E2A1D">
        <w:rPr>
          <w:rFonts w:asciiTheme="majorHAnsi" w:hAnsiTheme="majorHAnsi"/>
        </w:rPr>
        <w:t>), the drug-bound form (</w:t>
      </w:r>
      <w:r w:rsidRPr="001E2A1D">
        <w:rPr>
          <w:rFonts w:asciiTheme="majorHAnsi" w:hAnsiTheme="majorHAnsi"/>
          <w:b/>
        </w:rPr>
        <w:t>2</w:t>
      </w:r>
      <w:r w:rsidRPr="001E2A1D">
        <w:rPr>
          <w:rFonts w:asciiTheme="majorHAnsi" w:hAnsiTheme="majorHAnsi"/>
        </w:rPr>
        <w:t>), the heme</w:t>
      </w:r>
      <w:r w:rsidR="00270579" w:rsidRPr="001E2A1D">
        <w:rPr>
          <w:rFonts w:asciiTheme="majorHAnsi" w:hAnsiTheme="majorHAnsi"/>
        </w:rPr>
        <w:t>-</w:t>
      </w:r>
      <w:r w:rsidRPr="001E2A1D">
        <w:rPr>
          <w:rFonts w:asciiTheme="majorHAnsi" w:hAnsiTheme="majorHAnsi"/>
        </w:rPr>
        <w:t>based Arm (</w:t>
      </w:r>
      <w:r w:rsidRPr="001E2A1D">
        <w:rPr>
          <w:rFonts w:asciiTheme="majorHAnsi" w:hAnsiTheme="majorHAnsi"/>
          <w:b/>
        </w:rPr>
        <w:t>3</w:t>
      </w:r>
      <w:r w:rsidRPr="001E2A1D">
        <w:rPr>
          <w:rFonts w:asciiTheme="majorHAnsi" w:hAnsiTheme="majorHAnsi"/>
        </w:rPr>
        <w:t>) and the copper cofactors Phen-Cu(II) (</w:t>
      </w:r>
      <w:r w:rsidRPr="001E2A1D">
        <w:rPr>
          <w:rFonts w:asciiTheme="majorHAnsi" w:hAnsiTheme="majorHAnsi"/>
          <w:b/>
        </w:rPr>
        <w:t>4</w:t>
      </w:r>
      <w:r w:rsidRPr="001E2A1D">
        <w:rPr>
          <w:rFonts w:asciiTheme="majorHAnsi" w:hAnsiTheme="majorHAnsi"/>
        </w:rPr>
        <w:t>) and BpyA-Cu(II) (</w:t>
      </w:r>
      <w:r w:rsidRPr="001E2A1D">
        <w:rPr>
          <w:rFonts w:asciiTheme="majorHAnsi" w:hAnsiTheme="majorHAnsi"/>
          <w:b/>
        </w:rPr>
        <w:t>5</w:t>
      </w:r>
      <w:r w:rsidRPr="001E2A1D">
        <w:rPr>
          <w:rFonts w:asciiTheme="majorHAnsi" w:hAnsiTheme="majorHAnsi"/>
        </w:rPr>
        <w:t>) based ArMs.</w:t>
      </w:r>
    </w:p>
    <w:p w14:paraId="0A307188" w14:textId="77777777" w:rsidR="00E30C76" w:rsidRPr="001E2A1D" w:rsidRDefault="00E30C76" w:rsidP="002547A1">
      <w:pPr>
        <w:spacing w:line="276" w:lineRule="auto"/>
        <w:jc w:val="both"/>
        <w:rPr>
          <w:rFonts w:asciiTheme="majorHAnsi" w:hAnsiTheme="majorHAnsi"/>
          <w:color w:val="FF0000"/>
        </w:rPr>
      </w:pPr>
    </w:p>
    <w:p w14:paraId="39398547" w14:textId="77777777" w:rsidR="003B6CD3" w:rsidRPr="001E2A1D" w:rsidRDefault="003B6CD3" w:rsidP="002547A1">
      <w:pPr>
        <w:spacing w:line="276" w:lineRule="auto"/>
        <w:jc w:val="both"/>
        <w:rPr>
          <w:rFonts w:asciiTheme="majorHAnsi" w:hAnsiTheme="majorHAnsi"/>
          <w:color w:val="FF0000"/>
        </w:rPr>
      </w:pPr>
    </w:p>
    <w:p w14:paraId="6EBAC2A4" w14:textId="77777777" w:rsidR="003B6CD3" w:rsidRPr="001E2A1D" w:rsidRDefault="003B6CD3" w:rsidP="002547A1">
      <w:pPr>
        <w:spacing w:line="276" w:lineRule="auto"/>
        <w:jc w:val="both"/>
        <w:rPr>
          <w:rFonts w:asciiTheme="majorHAnsi" w:hAnsiTheme="majorHAnsi"/>
          <w:color w:val="FF0000"/>
        </w:rPr>
      </w:pPr>
    </w:p>
    <w:p w14:paraId="0DCA0338" w14:textId="77777777" w:rsidR="003B6CD3" w:rsidRPr="001E2A1D" w:rsidRDefault="003B6CD3" w:rsidP="002547A1">
      <w:pPr>
        <w:spacing w:line="276" w:lineRule="auto"/>
        <w:jc w:val="both"/>
        <w:rPr>
          <w:rFonts w:asciiTheme="majorHAnsi" w:hAnsiTheme="majorHAnsi"/>
          <w:color w:val="FF0000"/>
        </w:rPr>
      </w:pPr>
    </w:p>
    <w:p w14:paraId="19EA35B7" w14:textId="77777777" w:rsidR="003B6CD3" w:rsidRPr="001E2A1D" w:rsidRDefault="003B6CD3" w:rsidP="002547A1">
      <w:pPr>
        <w:spacing w:line="276" w:lineRule="auto"/>
        <w:jc w:val="both"/>
        <w:rPr>
          <w:rFonts w:asciiTheme="majorHAnsi" w:hAnsiTheme="majorHAnsi"/>
          <w:color w:val="FF0000"/>
        </w:rPr>
      </w:pPr>
    </w:p>
    <w:p w14:paraId="3D4067B3" w14:textId="77777777" w:rsidR="003B6CD3" w:rsidRPr="001E2A1D" w:rsidRDefault="003B6CD3" w:rsidP="002547A1">
      <w:pPr>
        <w:spacing w:line="276" w:lineRule="auto"/>
        <w:jc w:val="both"/>
        <w:rPr>
          <w:rFonts w:asciiTheme="majorHAnsi" w:hAnsiTheme="majorHAnsi"/>
          <w:color w:val="FF0000"/>
        </w:rPr>
      </w:pPr>
    </w:p>
    <w:p w14:paraId="14E769F4" w14:textId="77777777" w:rsidR="00BE7E4B" w:rsidRPr="001E2A1D" w:rsidRDefault="00BE7E4B" w:rsidP="003B434E">
      <w:pPr>
        <w:spacing w:line="276" w:lineRule="auto"/>
        <w:ind w:hanging="709"/>
        <w:jc w:val="both"/>
        <w:rPr>
          <w:rFonts w:asciiTheme="majorHAnsi" w:hAnsiTheme="majorHAnsi"/>
          <w:color w:val="FF0000"/>
          <w:lang w:eastAsia="es-ES"/>
        </w:rPr>
      </w:pPr>
    </w:p>
    <w:p w14:paraId="0920AC7E" w14:textId="77777777" w:rsidR="002135E0" w:rsidRPr="001E2A1D" w:rsidRDefault="002135E0" w:rsidP="003B434E">
      <w:pPr>
        <w:spacing w:line="276" w:lineRule="auto"/>
        <w:ind w:hanging="709"/>
        <w:jc w:val="both"/>
        <w:rPr>
          <w:rFonts w:asciiTheme="majorHAnsi" w:hAnsiTheme="majorHAnsi"/>
          <w:color w:val="FF0000"/>
          <w:lang w:eastAsia="es-ES"/>
        </w:rPr>
      </w:pPr>
    </w:p>
    <w:p w14:paraId="388DBD80" w14:textId="77777777" w:rsidR="00BE7E4B" w:rsidRPr="001E2A1D" w:rsidRDefault="00BE7E4B" w:rsidP="003B434E">
      <w:pPr>
        <w:spacing w:line="276" w:lineRule="auto"/>
        <w:ind w:hanging="709"/>
        <w:jc w:val="both"/>
        <w:rPr>
          <w:rFonts w:asciiTheme="majorHAnsi" w:hAnsiTheme="majorHAnsi"/>
          <w:color w:val="FF0000"/>
          <w:lang w:eastAsia="es-ES"/>
        </w:rPr>
      </w:pPr>
    </w:p>
    <w:p w14:paraId="30ABA4FA" w14:textId="77777777" w:rsidR="00BE7E4B" w:rsidRPr="001E2A1D" w:rsidRDefault="00BE7E4B" w:rsidP="003B434E">
      <w:pPr>
        <w:spacing w:line="276" w:lineRule="auto"/>
        <w:ind w:hanging="709"/>
        <w:jc w:val="both"/>
        <w:rPr>
          <w:rFonts w:asciiTheme="majorHAnsi" w:hAnsiTheme="majorHAnsi"/>
          <w:color w:val="FF0000"/>
          <w:lang w:eastAsia="es-ES"/>
        </w:rPr>
      </w:pPr>
    </w:p>
    <w:p w14:paraId="79BE45E3" w14:textId="77777777" w:rsidR="00BE7E4B" w:rsidRPr="001E2A1D" w:rsidRDefault="00BE7E4B" w:rsidP="003B434E">
      <w:pPr>
        <w:spacing w:line="276" w:lineRule="auto"/>
        <w:ind w:hanging="709"/>
        <w:jc w:val="both"/>
        <w:rPr>
          <w:rFonts w:asciiTheme="majorHAnsi" w:hAnsiTheme="majorHAnsi"/>
          <w:color w:val="FF0000"/>
          <w:lang w:eastAsia="es-ES"/>
        </w:rPr>
      </w:pPr>
    </w:p>
    <w:p w14:paraId="00F429C4" w14:textId="77777777" w:rsidR="00BE7E4B" w:rsidRPr="001E2A1D" w:rsidRDefault="00BE7E4B" w:rsidP="00BE7E4B">
      <w:pPr>
        <w:spacing w:line="276" w:lineRule="auto"/>
        <w:ind w:hanging="851"/>
        <w:jc w:val="both"/>
        <w:rPr>
          <w:rFonts w:asciiTheme="majorHAnsi" w:hAnsiTheme="majorHAnsi"/>
          <w:b/>
        </w:rPr>
      </w:pPr>
      <w:r w:rsidRPr="001E2A1D">
        <w:rPr>
          <w:rFonts w:asciiTheme="majorHAnsi" w:hAnsiTheme="majorHAnsi"/>
          <w:b/>
          <w:noProof/>
          <w:lang w:val="de-DE" w:eastAsia="de-DE"/>
        </w:rPr>
        <w:drawing>
          <wp:inline distT="0" distB="0" distL="0" distR="0" wp14:anchorId="627E3368" wp14:editId="3CB721CD">
            <wp:extent cx="6981318" cy="3939743"/>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alysis_helic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81318" cy="3939743"/>
                    </a:xfrm>
                    <a:prstGeom prst="rect">
                      <a:avLst/>
                    </a:prstGeom>
                  </pic:spPr>
                </pic:pic>
              </a:graphicData>
            </a:graphic>
          </wp:inline>
        </w:drawing>
      </w:r>
    </w:p>
    <w:p w14:paraId="31F2ED1D" w14:textId="77777777" w:rsidR="00BE7E4B" w:rsidRPr="001E2A1D" w:rsidRDefault="00BE7E4B" w:rsidP="00BE7E4B">
      <w:pPr>
        <w:spacing w:line="276" w:lineRule="auto"/>
        <w:jc w:val="both"/>
        <w:rPr>
          <w:rFonts w:asciiTheme="majorHAnsi" w:hAnsiTheme="majorHAnsi"/>
          <w:b/>
        </w:rPr>
      </w:pPr>
    </w:p>
    <w:p w14:paraId="4F7F521E" w14:textId="5D0E5F6B" w:rsidR="00BE7E4B" w:rsidRPr="001E2A1D" w:rsidRDefault="00BE7E4B" w:rsidP="00BE7E4B">
      <w:pPr>
        <w:spacing w:line="276" w:lineRule="auto"/>
        <w:jc w:val="both"/>
        <w:rPr>
          <w:rFonts w:asciiTheme="majorHAnsi" w:hAnsiTheme="majorHAnsi"/>
          <w:b/>
          <w:color w:val="0000CC"/>
        </w:rPr>
      </w:pPr>
      <w:r w:rsidRPr="001E2A1D">
        <w:rPr>
          <w:rFonts w:asciiTheme="majorHAnsi" w:hAnsiTheme="majorHAnsi"/>
          <w:b/>
        </w:rPr>
        <w:t>Figure S</w:t>
      </w:r>
      <w:r w:rsidR="00F440C2" w:rsidRPr="001E2A1D">
        <w:rPr>
          <w:rFonts w:asciiTheme="majorHAnsi" w:hAnsiTheme="majorHAnsi"/>
          <w:b/>
        </w:rPr>
        <w:t>2</w:t>
      </w:r>
      <w:r w:rsidRPr="001E2A1D">
        <w:rPr>
          <w:rFonts w:asciiTheme="majorHAnsi" w:hAnsiTheme="majorHAnsi"/>
          <w:b/>
        </w:rPr>
        <w:t xml:space="preserve">. </w:t>
      </w:r>
      <w:r w:rsidR="002A03D5" w:rsidRPr="001E2A1D">
        <w:rPr>
          <w:rFonts w:asciiTheme="majorHAnsi" w:hAnsiTheme="majorHAnsi"/>
        </w:rPr>
        <w:t>Distance</w:t>
      </w:r>
      <w:r w:rsidRPr="001E2A1D">
        <w:rPr>
          <w:rFonts w:asciiTheme="majorHAnsi" w:hAnsiTheme="majorHAnsi"/>
        </w:rPr>
        <w:t xml:space="preserve"> </w:t>
      </w:r>
      <w:r w:rsidR="00E22636" w:rsidRPr="001E2A1D">
        <w:rPr>
          <w:rFonts w:asciiTheme="majorHAnsi" w:hAnsiTheme="majorHAnsi"/>
        </w:rPr>
        <w:t xml:space="preserve">between helices </w:t>
      </w:r>
      <w:r w:rsidR="00E22636" w:rsidRPr="001E2A1D">
        <w:rPr>
          <w:rFonts w:ascii="Symbol" w:hAnsi="Symbol"/>
        </w:rPr>
        <w:t></w:t>
      </w:r>
      <w:r w:rsidR="00E22636" w:rsidRPr="001E2A1D">
        <w:rPr>
          <w:rFonts w:asciiTheme="majorHAnsi" w:hAnsiTheme="majorHAnsi"/>
        </w:rPr>
        <w:t>4/</w:t>
      </w:r>
      <w:r w:rsidR="00E22636" w:rsidRPr="001E2A1D">
        <w:rPr>
          <w:rFonts w:ascii="Symbol" w:hAnsi="Symbol"/>
        </w:rPr>
        <w:t></w:t>
      </w:r>
      <w:r w:rsidR="00E22636" w:rsidRPr="001E2A1D">
        <w:rPr>
          <w:rFonts w:asciiTheme="majorHAnsi" w:hAnsiTheme="majorHAnsi"/>
        </w:rPr>
        <w:t xml:space="preserve">4’ </w:t>
      </w:r>
      <w:r w:rsidRPr="001E2A1D">
        <w:rPr>
          <w:rFonts w:asciiTheme="majorHAnsi" w:hAnsiTheme="majorHAnsi"/>
        </w:rPr>
        <w:t>measured along the 300 ns of MD simulation</w:t>
      </w:r>
      <w:r w:rsidR="002A03D5" w:rsidRPr="001E2A1D">
        <w:rPr>
          <w:rFonts w:asciiTheme="majorHAnsi" w:hAnsiTheme="majorHAnsi"/>
        </w:rPr>
        <w:t>, as represented by the α carbon atoms of tryptophan residues at positions 96 and 96’.</w:t>
      </w:r>
    </w:p>
    <w:p w14:paraId="138C1AFD" w14:textId="77777777" w:rsidR="00BE7E4B" w:rsidRPr="001E2A1D" w:rsidRDefault="00BE7E4B" w:rsidP="003B434E">
      <w:pPr>
        <w:spacing w:line="276" w:lineRule="auto"/>
        <w:ind w:hanging="709"/>
        <w:jc w:val="both"/>
        <w:rPr>
          <w:rFonts w:asciiTheme="majorHAnsi" w:hAnsiTheme="majorHAnsi"/>
          <w:color w:val="FF0000"/>
          <w:lang w:eastAsia="es-ES"/>
        </w:rPr>
      </w:pPr>
    </w:p>
    <w:p w14:paraId="193DFFA9" w14:textId="77777777" w:rsidR="00BE7E4B" w:rsidRPr="001E2A1D" w:rsidRDefault="00BE7E4B" w:rsidP="003B434E">
      <w:pPr>
        <w:spacing w:line="276" w:lineRule="auto"/>
        <w:ind w:hanging="709"/>
        <w:jc w:val="both"/>
        <w:rPr>
          <w:rFonts w:asciiTheme="majorHAnsi" w:hAnsiTheme="majorHAnsi"/>
          <w:color w:val="FF0000"/>
          <w:lang w:eastAsia="es-ES"/>
        </w:rPr>
      </w:pPr>
    </w:p>
    <w:p w14:paraId="43E4DD9E" w14:textId="77777777" w:rsidR="00BE7E4B" w:rsidRPr="001E2A1D" w:rsidRDefault="00BE7E4B" w:rsidP="003B434E">
      <w:pPr>
        <w:spacing w:line="276" w:lineRule="auto"/>
        <w:ind w:hanging="709"/>
        <w:jc w:val="both"/>
        <w:rPr>
          <w:rFonts w:asciiTheme="majorHAnsi" w:hAnsiTheme="majorHAnsi"/>
          <w:color w:val="FF0000"/>
          <w:lang w:eastAsia="es-ES"/>
        </w:rPr>
      </w:pPr>
    </w:p>
    <w:p w14:paraId="3E16C539" w14:textId="77777777" w:rsidR="00BE7E4B" w:rsidRPr="001E2A1D" w:rsidRDefault="00BE7E4B" w:rsidP="003B434E">
      <w:pPr>
        <w:spacing w:line="276" w:lineRule="auto"/>
        <w:ind w:hanging="709"/>
        <w:jc w:val="both"/>
        <w:rPr>
          <w:rFonts w:asciiTheme="majorHAnsi" w:hAnsiTheme="majorHAnsi"/>
          <w:color w:val="FF0000"/>
          <w:lang w:eastAsia="es-ES"/>
        </w:rPr>
      </w:pPr>
    </w:p>
    <w:p w14:paraId="0A98F8D9" w14:textId="77777777" w:rsidR="00BE7E4B" w:rsidRPr="001E2A1D" w:rsidRDefault="00BE7E4B" w:rsidP="003B434E">
      <w:pPr>
        <w:spacing w:line="276" w:lineRule="auto"/>
        <w:ind w:hanging="709"/>
        <w:jc w:val="both"/>
        <w:rPr>
          <w:rFonts w:asciiTheme="majorHAnsi" w:hAnsiTheme="majorHAnsi"/>
          <w:color w:val="FF0000"/>
          <w:lang w:eastAsia="es-ES"/>
        </w:rPr>
      </w:pPr>
    </w:p>
    <w:p w14:paraId="298F47D8" w14:textId="77777777" w:rsidR="00BE7E4B" w:rsidRPr="001E2A1D" w:rsidRDefault="00BE7E4B" w:rsidP="003B434E">
      <w:pPr>
        <w:spacing w:line="276" w:lineRule="auto"/>
        <w:ind w:hanging="709"/>
        <w:jc w:val="both"/>
        <w:rPr>
          <w:rFonts w:asciiTheme="majorHAnsi" w:hAnsiTheme="majorHAnsi"/>
          <w:color w:val="FF0000"/>
          <w:lang w:eastAsia="es-ES"/>
        </w:rPr>
      </w:pPr>
    </w:p>
    <w:p w14:paraId="68D53D36" w14:textId="77777777" w:rsidR="002135E0" w:rsidRPr="001E2A1D" w:rsidRDefault="002135E0" w:rsidP="003B434E">
      <w:pPr>
        <w:spacing w:line="276" w:lineRule="auto"/>
        <w:ind w:hanging="709"/>
        <w:jc w:val="both"/>
        <w:rPr>
          <w:rFonts w:asciiTheme="majorHAnsi" w:hAnsiTheme="majorHAnsi"/>
          <w:color w:val="FF0000"/>
          <w:lang w:eastAsia="es-ES"/>
        </w:rPr>
      </w:pPr>
    </w:p>
    <w:p w14:paraId="6C50DDDB" w14:textId="77777777" w:rsidR="002135E0" w:rsidRPr="001E2A1D" w:rsidRDefault="002135E0" w:rsidP="002135E0">
      <w:pPr>
        <w:spacing w:line="276" w:lineRule="auto"/>
        <w:ind w:hanging="709"/>
        <w:jc w:val="both"/>
        <w:rPr>
          <w:rFonts w:asciiTheme="majorHAnsi" w:hAnsiTheme="majorHAnsi"/>
          <w:color w:val="FF0000"/>
          <w:lang w:eastAsia="es-ES"/>
        </w:rPr>
      </w:pPr>
    </w:p>
    <w:p w14:paraId="755C1DE8" w14:textId="77777777" w:rsidR="002135E0" w:rsidRPr="001E2A1D" w:rsidRDefault="002135E0" w:rsidP="002135E0">
      <w:pPr>
        <w:spacing w:line="276" w:lineRule="auto"/>
        <w:ind w:hanging="709"/>
        <w:jc w:val="both"/>
        <w:rPr>
          <w:rFonts w:asciiTheme="majorHAnsi" w:hAnsiTheme="majorHAnsi"/>
          <w:color w:val="FF0000"/>
          <w:lang w:eastAsia="es-ES"/>
        </w:rPr>
      </w:pPr>
    </w:p>
    <w:p w14:paraId="69F43727" w14:textId="77777777" w:rsidR="002135E0" w:rsidRPr="001E2A1D" w:rsidRDefault="002135E0" w:rsidP="002135E0">
      <w:pPr>
        <w:spacing w:line="276" w:lineRule="auto"/>
        <w:ind w:hanging="709"/>
        <w:jc w:val="both"/>
        <w:rPr>
          <w:rFonts w:asciiTheme="majorHAnsi" w:hAnsiTheme="majorHAnsi"/>
          <w:color w:val="FF0000"/>
          <w:lang w:eastAsia="es-ES"/>
        </w:rPr>
      </w:pPr>
    </w:p>
    <w:p w14:paraId="58F4C655" w14:textId="77777777" w:rsidR="002135E0" w:rsidRPr="001E2A1D" w:rsidRDefault="002135E0" w:rsidP="002135E0">
      <w:pPr>
        <w:spacing w:line="276" w:lineRule="auto"/>
        <w:ind w:hanging="709"/>
        <w:jc w:val="both"/>
        <w:rPr>
          <w:rFonts w:asciiTheme="majorHAnsi" w:hAnsiTheme="majorHAnsi"/>
          <w:color w:val="FF0000"/>
          <w:lang w:eastAsia="es-ES"/>
        </w:rPr>
      </w:pPr>
    </w:p>
    <w:p w14:paraId="41698BB0" w14:textId="77777777" w:rsidR="002135E0" w:rsidRPr="001E2A1D" w:rsidRDefault="002135E0" w:rsidP="002135E0">
      <w:pPr>
        <w:spacing w:line="276" w:lineRule="auto"/>
        <w:ind w:hanging="709"/>
        <w:jc w:val="both"/>
        <w:rPr>
          <w:rFonts w:asciiTheme="majorHAnsi" w:hAnsiTheme="majorHAnsi"/>
          <w:color w:val="FF0000"/>
          <w:lang w:eastAsia="es-ES"/>
        </w:rPr>
      </w:pPr>
    </w:p>
    <w:p w14:paraId="53CC88ED" w14:textId="77777777" w:rsidR="002135E0" w:rsidRPr="001E2A1D" w:rsidRDefault="002135E0" w:rsidP="002135E0">
      <w:pPr>
        <w:spacing w:line="276" w:lineRule="auto"/>
        <w:ind w:hanging="709"/>
        <w:jc w:val="both"/>
        <w:rPr>
          <w:rFonts w:asciiTheme="majorHAnsi" w:hAnsiTheme="majorHAnsi"/>
          <w:color w:val="FF0000"/>
        </w:rPr>
      </w:pPr>
      <w:r w:rsidRPr="001E2A1D">
        <w:rPr>
          <w:rFonts w:asciiTheme="majorHAnsi" w:hAnsiTheme="majorHAnsi"/>
          <w:noProof/>
          <w:color w:val="FF0000"/>
          <w:lang w:val="de-DE" w:eastAsia="de-DE"/>
        </w:rPr>
        <w:lastRenderedPageBreak/>
        <w:drawing>
          <wp:inline distT="0" distB="0" distL="0" distR="0" wp14:anchorId="1D9E7319" wp14:editId="6E93CF2F">
            <wp:extent cx="6884430" cy="3888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sis_clus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4430" cy="3888619"/>
                    </a:xfrm>
                    <a:prstGeom prst="rect">
                      <a:avLst/>
                    </a:prstGeom>
                  </pic:spPr>
                </pic:pic>
              </a:graphicData>
            </a:graphic>
          </wp:inline>
        </w:drawing>
      </w:r>
    </w:p>
    <w:p w14:paraId="68ADCAE1" w14:textId="77777777" w:rsidR="002135E0" w:rsidRPr="001E2A1D" w:rsidRDefault="002135E0" w:rsidP="002135E0">
      <w:pPr>
        <w:spacing w:line="276" w:lineRule="auto"/>
        <w:ind w:hanging="709"/>
        <w:jc w:val="both"/>
        <w:rPr>
          <w:rFonts w:asciiTheme="majorHAnsi" w:hAnsiTheme="majorHAnsi"/>
          <w:color w:val="FF0000"/>
        </w:rPr>
      </w:pPr>
    </w:p>
    <w:p w14:paraId="6E4D1152" w14:textId="097B63C9" w:rsidR="002135E0" w:rsidRPr="001E2A1D" w:rsidRDefault="002135E0" w:rsidP="002135E0">
      <w:pPr>
        <w:spacing w:line="276" w:lineRule="auto"/>
        <w:jc w:val="both"/>
        <w:rPr>
          <w:rFonts w:asciiTheme="majorHAnsi" w:hAnsiTheme="majorHAnsi"/>
        </w:rPr>
      </w:pPr>
      <w:r w:rsidRPr="001E2A1D">
        <w:rPr>
          <w:rFonts w:asciiTheme="majorHAnsi" w:hAnsiTheme="majorHAnsi"/>
          <w:b/>
        </w:rPr>
        <w:t>Figure S3</w:t>
      </w:r>
      <w:r w:rsidRPr="001E2A1D">
        <w:rPr>
          <w:rFonts w:asciiTheme="majorHAnsi" w:hAnsiTheme="majorHAnsi"/>
        </w:rPr>
        <w:t>. Cluster counting analysis from 300 ns of MD simulation for the LmrR</w:t>
      </w:r>
      <w:r w:rsidR="00474ECC" w:rsidRPr="001E2A1D">
        <w:rPr>
          <w:rFonts w:asciiTheme="majorHAnsi" w:hAnsiTheme="majorHAnsi"/>
        </w:rPr>
        <w:t>-</w:t>
      </w:r>
      <w:r w:rsidRPr="001E2A1D">
        <w:rPr>
          <w:rFonts w:asciiTheme="majorHAnsi" w:hAnsiTheme="majorHAnsi"/>
        </w:rPr>
        <w:t>based systems under study</w:t>
      </w:r>
      <w:r w:rsidR="00445CEB" w:rsidRPr="001E2A1D">
        <w:rPr>
          <w:rFonts w:asciiTheme="majorHAnsi" w:hAnsiTheme="majorHAnsi"/>
        </w:rPr>
        <w:t xml:space="preserve"> (left to right, top to bottom)</w:t>
      </w:r>
      <w:r w:rsidRPr="001E2A1D">
        <w:rPr>
          <w:rFonts w:asciiTheme="majorHAnsi" w:hAnsiTheme="majorHAnsi"/>
        </w:rPr>
        <w:t>: the apo form (</w:t>
      </w:r>
      <w:r w:rsidRPr="001E2A1D">
        <w:rPr>
          <w:rFonts w:asciiTheme="majorHAnsi" w:hAnsiTheme="majorHAnsi"/>
          <w:b/>
        </w:rPr>
        <w:t>1</w:t>
      </w:r>
      <w:r w:rsidRPr="001E2A1D">
        <w:rPr>
          <w:rFonts w:asciiTheme="majorHAnsi" w:hAnsiTheme="majorHAnsi"/>
        </w:rPr>
        <w:t>), the drug-bound form (</w:t>
      </w:r>
      <w:r w:rsidRPr="001E2A1D">
        <w:rPr>
          <w:rFonts w:asciiTheme="majorHAnsi" w:hAnsiTheme="majorHAnsi"/>
          <w:b/>
        </w:rPr>
        <w:t>2</w:t>
      </w:r>
      <w:r w:rsidRPr="001E2A1D">
        <w:rPr>
          <w:rFonts w:asciiTheme="majorHAnsi" w:hAnsiTheme="majorHAnsi"/>
        </w:rPr>
        <w:t>), the heme</w:t>
      </w:r>
      <w:r w:rsidR="00474ECC" w:rsidRPr="001E2A1D">
        <w:rPr>
          <w:rFonts w:asciiTheme="majorHAnsi" w:hAnsiTheme="majorHAnsi"/>
        </w:rPr>
        <w:t>-</w:t>
      </w:r>
      <w:r w:rsidRPr="001E2A1D">
        <w:rPr>
          <w:rFonts w:asciiTheme="majorHAnsi" w:hAnsiTheme="majorHAnsi"/>
        </w:rPr>
        <w:t>based Arm (</w:t>
      </w:r>
      <w:r w:rsidRPr="001E2A1D">
        <w:rPr>
          <w:rFonts w:asciiTheme="majorHAnsi" w:hAnsiTheme="majorHAnsi"/>
          <w:b/>
        </w:rPr>
        <w:t>3</w:t>
      </w:r>
      <w:r w:rsidRPr="001E2A1D">
        <w:rPr>
          <w:rFonts w:asciiTheme="majorHAnsi" w:hAnsiTheme="majorHAnsi"/>
        </w:rPr>
        <w:t>) and the copper cofactors Phen-Cu(II) (</w:t>
      </w:r>
      <w:r w:rsidRPr="001E2A1D">
        <w:rPr>
          <w:rFonts w:asciiTheme="majorHAnsi" w:hAnsiTheme="majorHAnsi"/>
          <w:b/>
        </w:rPr>
        <w:t>4</w:t>
      </w:r>
      <w:r w:rsidRPr="001E2A1D">
        <w:rPr>
          <w:rFonts w:asciiTheme="majorHAnsi" w:hAnsiTheme="majorHAnsi"/>
        </w:rPr>
        <w:t>) and BpyA-Cu(II) (</w:t>
      </w:r>
      <w:r w:rsidRPr="001E2A1D">
        <w:rPr>
          <w:rFonts w:asciiTheme="majorHAnsi" w:hAnsiTheme="majorHAnsi"/>
          <w:b/>
        </w:rPr>
        <w:t>5</w:t>
      </w:r>
      <w:r w:rsidRPr="001E2A1D">
        <w:rPr>
          <w:rFonts w:asciiTheme="majorHAnsi" w:hAnsiTheme="majorHAnsi"/>
        </w:rPr>
        <w:t>) based ArMs. Clustering approach is based on grouping similar structures. As new regions of the conformational space are visited along the simulation time-scale, new clusters are obtained. A stable number of clusters (lack of new sub-states) is indicative of a converged trajectory, since the system should have visited all the conformational wells. In contrast, if the cluster counting plot keeps growing, the simulation can be considered no converged.</w:t>
      </w:r>
    </w:p>
    <w:p w14:paraId="579A416B" w14:textId="77777777" w:rsidR="002135E0" w:rsidRPr="001E2A1D" w:rsidRDefault="002135E0" w:rsidP="003B434E">
      <w:pPr>
        <w:spacing w:line="276" w:lineRule="auto"/>
        <w:ind w:hanging="709"/>
        <w:jc w:val="both"/>
        <w:rPr>
          <w:rFonts w:asciiTheme="majorHAnsi" w:hAnsiTheme="majorHAnsi"/>
          <w:color w:val="FF0000"/>
          <w:lang w:eastAsia="es-ES"/>
        </w:rPr>
      </w:pPr>
    </w:p>
    <w:p w14:paraId="78C3E6FB" w14:textId="77777777" w:rsidR="00BE7E4B" w:rsidRPr="001E2A1D" w:rsidRDefault="00BE7E4B" w:rsidP="003B434E">
      <w:pPr>
        <w:spacing w:line="276" w:lineRule="auto"/>
        <w:ind w:hanging="709"/>
        <w:jc w:val="both"/>
        <w:rPr>
          <w:rFonts w:asciiTheme="majorHAnsi" w:hAnsiTheme="majorHAnsi"/>
          <w:color w:val="FF0000"/>
          <w:lang w:eastAsia="es-ES"/>
        </w:rPr>
      </w:pPr>
    </w:p>
    <w:p w14:paraId="0E813042" w14:textId="77777777" w:rsidR="00BE7E4B" w:rsidRPr="001E2A1D" w:rsidRDefault="00BE7E4B" w:rsidP="003B434E">
      <w:pPr>
        <w:spacing w:line="276" w:lineRule="auto"/>
        <w:ind w:hanging="709"/>
        <w:jc w:val="both"/>
        <w:rPr>
          <w:rFonts w:asciiTheme="majorHAnsi" w:hAnsiTheme="majorHAnsi"/>
          <w:color w:val="FF0000"/>
          <w:lang w:eastAsia="es-ES"/>
        </w:rPr>
      </w:pPr>
    </w:p>
    <w:p w14:paraId="6405977F" w14:textId="77777777" w:rsidR="00BE7E4B" w:rsidRPr="001E2A1D" w:rsidRDefault="00BE7E4B" w:rsidP="003B434E">
      <w:pPr>
        <w:spacing w:line="276" w:lineRule="auto"/>
        <w:ind w:hanging="709"/>
        <w:jc w:val="both"/>
        <w:rPr>
          <w:rFonts w:asciiTheme="majorHAnsi" w:hAnsiTheme="majorHAnsi"/>
          <w:color w:val="FF0000"/>
          <w:lang w:eastAsia="es-ES"/>
        </w:rPr>
      </w:pPr>
    </w:p>
    <w:p w14:paraId="476340C1" w14:textId="45B80C79" w:rsidR="003B434E" w:rsidRPr="001E2A1D" w:rsidRDefault="005735EC" w:rsidP="00445CEB">
      <w:pPr>
        <w:spacing w:line="276" w:lineRule="auto"/>
        <w:ind w:hanging="709"/>
        <w:jc w:val="center"/>
        <w:rPr>
          <w:rFonts w:asciiTheme="majorHAnsi" w:hAnsiTheme="majorHAnsi"/>
          <w:color w:val="FF0000"/>
        </w:rPr>
      </w:pPr>
      <w:r w:rsidRPr="001E2A1D">
        <w:rPr>
          <w:rFonts w:asciiTheme="majorHAnsi" w:hAnsiTheme="majorHAnsi"/>
          <w:noProof/>
          <w:color w:val="FF0000"/>
          <w:lang w:val="de-DE" w:eastAsia="de-DE"/>
        </w:rPr>
        <w:lastRenderedPageBreak/>
        <w:drawing>
          <wp:inline distT="0" distB="0" distL="0" distR="0" wp14:anchorId="1F09267F" wp14:editId="3735E082">
            <wp:extent cx="5722515" cy="49054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alysis_allto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2515" cy="4905414"/>
                    </a:xfrm>
                    <a:prstGeom prst="rect">
                      <a:avLst/>
                    </a:prstGeom>
                  </pic:spPr>
                </pic:pic>
              </a:graphicData>
            </a:graphic>
          </wp:inline>
        </w:drawing>
      </w:r>
    </w:p>
    <w:p w14:paraId="56686C17" w14:textId="77777777" w:rsidR="003B6CD3" w:rsidRPr="001E2A1D" w:rsidRDefault="003B6CD3" w:rsidP="002547A1">
      <w:pPr>
        <w:spacing w:line="276" w:lineRule="auto"/>
        <w:jc w:val="both"/>
        <w:rPr>
          <w:rFonts w:asciiTheme="majorHAnsi" w:hAnsiTheme="majorHAnsi"/>
          <w:color w:val="FF0000"/>
        </w:rPr>
      </w:pPr>
    </w:p>
    <w:p w14:paraId="7F0790E2" w14:textId="39F50C6B" w:rsidR="003B6CD3" w:rsidRPr="001E2A1D" w:rsidRDefault="00BE7E4B" w:rsidP="002547A1">
      <w:pPr>
        <w:spacing w:line="276" w:lineRule="auto"/>
        <w:jc w:val="both"/>
        <w:rPr>
          <w:rFonts w:asciiTheme="majorHAnsi" w:hAnsiTheme="majorHAnsi"/>
          <w:b/>
        </w:rPr>
      </w:pPr>
      <w:r w:rsidRPr="001E2A1D">
        <w:rPr>
          <w:rFonts w:asciiTheme="majorHAnsi" w:hAnsiTheme="majorHAnsi"/>
          <w:b/>
        </w:rPr>
        <w:t>Figure S4</w:t>
      </w:r>
      <w:r w:rsidR="005735EC" w:rsidRPr="001E2A1D">
        <w:rPr>
          <w:rFonts w:asciiTheme="majorHAnsi" w:hAnsiTheme="majorHAnsi"/>
          <w:b/>
        </w:rPr>
        <w:t xml:space="preserve">. </w:t>
      </w:r>
      <w:r w:rsidR="005735EC" w:rsidRPr="001E2A1D">
        <w:rPr>
          <w:rFonts w:asciiTheme="majorHAnsi" w:hAnsiTheme="majorHAnsi"/>
        </w:rPr>
        <w:t xml:space="preserve">All-to-all RMSD analysis </w:t>
      </w:r>
      <w:r w:rsidR="00362A35" w:rsidRPr="001E2A1D">
        <w:rPr>
          <w:rFonts w:asciiTheme="majorHAnsi" w:hAnsiTheme="majorHAnsi"/>
        </w:rPr>
        <w:t xml:space="preserve">extracted from </w:t>
      </w:r>
      <w:r w:rsidR="005735EC" w:rsidRPr="001E2A1D">
        <w:rPr>
          <w:rFonts w:asciiTheme="majorHAnsi" w:hAnsiTheme="majorHAnsi"/>
        </w:rPr>
        <w:t xml:space="preserve">300 ns </w:t>
      </w:r>
      <w:r w:rsidR="00362A35" w:rsidRPr="001E2A1D">
        <w:rPr>
          <w:rFonts w:asciiTheme="majorHAnsi" w:hAnsiTheme="majorHAnsi"/>
        </w:rPr>
        <w:t xml:space="preserve">of </w:t>
      </w:r>
      <w:r w:rsidR="005735EC" w:rsidRPr="001E2A1D">
        <w:rPr>
          <w:rFonts w:asciiTheme="majorHAnsi" w:hAnsiTheme="majorHAnsi"/>
        </w:rPr>
        <w:t>MD simulation</w:t>
      </w:r>
      <w:r w:rsidR="00362A35" w:rsidRPr="001E2A1D">
        <w:rPr>
          <w:rFonts w:asciiTheme="majorHAnsi" w:hAnsiTheme="majorHAnsi"/>
        </w:rPr>
        <w:t xml:space="preserve"> for the LmrR</w:t>
      </w:r>
      <w:r w:rsidR="00474ECC" w:rsidRPr="001E2A1D">
        <w:rPr>
          <w:rFonts w:asciiTheme="majorHAnsi" w:hAnsiTheme="majorHAnsi"/>
        </w:rPr>
        <w:t>-</w:t>
      </w:r>
      <w:r w:rsidR="00362A35" w:rsidRPr="001E2A1D">
        <w:rPr>
          <w:rFonts w:asciiTheme="majorHAnsi" w:hAnsiTheme="majorHAnsi"/>
        </w:rPr>
        <w:t>based systems under study</w:t>
      </w:r>
      <w:r w:rsidR="00445CEB" w:rsidRPr="001E2A1D">
        <w:rPr>
          <w:rFonts w:asciiTheme="majorHAnsi" w:hAnsiTheme="majorHAnsi"/>
        </w:rPr>
        <w:t xml:space="preserve"> (left to right, top to bottom)</w:t>
      </w:r>
      <w:r w:rsidR="00362A35" w:rsidRPr="001E2A1D">
        <w:rPr>
          <w:rFonts w:asciiTheme="majorHAnsi" w:hAnsiTheme="majorHAnsi"/>
        </w:rPr>
        <w:t>: the apo form (</w:t>
      </w:r>
      <w:r w:rsidR="00362A35" w:rsidRPr="001E2A1D">
        <w:rPr>
          <w:rFonts w:asciiTheme="majorHAnsi" w:hAnsiTheme="majorHAnsi"/>
          <w:b/>
        </w:rPr>
        <w:t>1</w:t>
      </w:r>
      <w:r w:rsidR="00362A35" w:rsidRPr="001E2A1D">
        <w:rPr>
          <w:rFonts w:asciiTheme="majorHAnsi" w:hAnsiTheme="majorHAnsi"/>
        </w:rPr>
        <w:t>), the drug-bound form (</w:t>
      </w:r>
      <w:r w:rsidR="00362A35" w:rsidRPr="001E2A1D">
        <w:rPr>
          <w:rFonts w:asciiTheme="majorHAnsi" w:hAnsiTheme="majorHAnsi"/>
          <w:b/>
        </w:rPr>
        <w:t>2</w:t>
      </w:r>
      <w:r w:rsidR="00362A35" w:rsidRPr="001E2A1D">
        <w:rPr>
          <w:rFonts w:asciiTheme="majorHAnsi" w:hAnsiTheme="majorHAnsi"/>
        </w:rPr>
        <w:t>), the heme</w:t>
      </w:r>
      <w:r w:rsidR="00474ECC" w:rsidRPr="001E2A1D">
        <w:rPr>
          <w:rFonts w:asciiTheme="majorHAnsi" w:hAnsiTheme="majorHAnsi"/>
        </w:rPr>
        <w:t>-</w:t>
      </w:r>
      <w:r w:rsidR="00362A35" w:rsidRPr="001E2A1D">
        <w:rPr>
          <w:rFonts w:asciiTheme="majorHAnsi" w:hAnsiTheme="majorHAnsi"/>
        </w:rPr>
        <w:t>based Arm (</w:t>
      </w:r>
      <w:r w:rsidR="00362A35" w:rsidRPr="001E2A1D">
        <w:rPr>
          <w:rFonts w:asciiTheme="majorHAnsi" w:hAnsiTheme="majorHAnsi"/>
          <w:b/>
        </w:rPr>
        <w:t>3</w:t>
      </w:r>
      <w:r w:rsidR="00362A35" w:rsidRPr="001E2A1D">
        <w:rPr>
          <w:rFonts w:asciiTheme="majorHAnsi" w:hAnsiTheme="majorHAnsi"/>
        </w:rPr>
        <w:t>) and the copper cofactors Phen-Cu(II) (</w:t>
      </w:r>
      <w:r w:rsidR="00362A35" w:rsidRPr="001E2A1D">
        <w:rPr>
          <w:rFonts w:asciiTheme="majorHAnsi" w:hAnsiTheme="majorHAnsi"/>
          <w:b/>
        </w:rPr>
        <w:t>4</w:t>
      </w:r>
      <w:r w:rsidR="00362A35" w:rsidRPr="001E2A1D">
        <w:rPr>
          <w:rFonts w:asciiTheme="majorHAnsi" w:hAnsiTheme="majorHAnsi"/>
        </w:rPr>
        <w:t>) and BpyA-Cu(II) (</w:t>
      </w:r>
      <w:r w:rsidR="00362A35" w:rsidRPr="001E2A1D">
        <w:rPr>
          <w:rFonts w:asciiTheme="majorHAnsi" w:hAnsiTheme="majorHAnsi"/>
          <w:b/>
        </w:rPr>
        <w:t>5</w:t>
      </w:r>
      <w:r w:rsidR="00362A35" w:rsidRPr="001E2A1D">
        <w:rPr>
          <w:rFonts w:asciiTheme="majorHAnsi" w:hAnsiTheme="majorHAnsi"/>
        </w:rPr>
        <w:t>) based ArMs. The color of the</w:t>
      </w:r>
      <w:r w:rsidR="005735EC" w:rsidRPr="001E2A1D">
        <w:rPr>
          <w:rFonts w:asciiTheme="majorHAnsi" w:hAnsiTheme="majorHAnsi"/>
        </w:rPr>
        <w:t xml:space="preserve"> values </w:t>
      </w:r>
      <w:r w:rsidR="00362A35" w:rsidRPr="001E2A1D">
        <w:rPr>
          <w:rFonts w:asciiTheme="majorHAnsi" w:hAnsiTheme="majorHAnsi"/>
        </w:rPr>
        <w:t xml:space="preserve">plotted in the illustrated </w:t>
      </w:r>
      <w:r w:rsidR="005735EC" w:rsidRPr="001E2A1D">
        <w:rPr>
          <w:rFonts w:asciiTheme="majorHAnsi" w:hAnsiTheme="majorHAnsi"/>
        </w:rPr>
        <w:t>2D figure</w:t>
      </w:r>
      <w:r w:rsidR="00362A35" w:rsidRPr="001E2A1D">
        <w:rPr>
          <w:rFonts w:asciiTheme="majorHAnsi" w:hAnsiTheme="majorHAnsi"/>
        </w:rPr>
        <w:t>s</w:t>
      </w:r>
      <w:r w:rsidR="005735EC" w:rsidRPr="001E2A1D">
        <w:rPr>
          <w:rFonts w:asciiTheme="majorHAnsi" w:hAnsiTheme="majorHAnsi"/>
        </w:rPr>
        <w:t xml:space="preserve"> </w:t>
      </w:r>
      <w:r w:rsidR="00362A35" w:rsidRPr="001E2A1D">
        <w:rPr>
          <w:rFonts w:asciiTheme="majorHAnsi" w:hAnsiTheme="majorHAnsi"/>
        </w:rPr>
        <w:t>indicates the RMSD values but</w:t>
      </w:r>
      <w:r w:rsidR="005735EC" w:rsidRPr="001E2A1D">
        <w:rPr>
          <w:rFonts w:asciiTheme="majorHAnsi" w:hAnsiTheme="majorHAnsi"/>
        </w:rPr>
        <w:t xml:space="preserve"> resulting in a visually appealing and intuitive image. If only one main conformation is </w:t>
      </w:r>
      <w:r w:rsidR="00362A35" w:rsidRPr="001E2A1D">
        <w:rPr>
          <w:rFonts w:asciiTheme="majorHAnsi" w:hAnsiTheme="majorHAnsi"/>
        </w:rPr>
        <w:t>identified</w:t>
      </w:r>
      <w:r w:rsidR="005735EC" w:rsidRPr="001E2A1D">
        <w:rPr>
          <w:rFonts w:asciiTheme="majorHAnsi" w:hAnsiTheme="majorHAnsi"/>
        </w:rPr>
        <w:t>, this figure show</w:t>
      </w:r>
      <w:r w:rsidR="00362A35" w:rsidRPr="001E2A1D">
        <w:rPr>
          <w:rFonts w:asciiTheme="majorHAnsi" w:hAnsiTheme="majorHAnsi"/>
        </w:rPr>
        <w:t>s</w:t>
      </w:r>
      <w:r w:rsidR="005735EC" w:rsidRPr="001E2A1D">
        <w:rPr>
          <w:rFonts w:asciiTheme="majorHAnsi" w:hAnsiTheme="majorHAnsi"/>
        </w:rPr>
        <w:t xml:space="preserve"> a relatively homogeneous </w:t>
      </w:r>
      <w:r w:rsidR="001E2A1D" w:rsidRPr="001E2A1D">
        <w:rPr>
          <w:rFonts w:asciiTheme="majorHAnsi" w:hAnsiTheme="majorHAnsi"/>
        </w:rPr>
        <w:t>color</w:t>
      </w:r>
      <w:r w:rsidR="005735EC" w:rsidRPr="001E2A1D">
        <w:rPr>
          <w:rFonts w:asciiTheme="majorHAnsi" w:hAnsiTheme="majorHAnsi"/>
        </w:rPr>
        <w:t xml:space="preserve"> whose maximum value is within the established threshold</w:t>
      </w:r>
      <w:r w:rsidR="00182D52" w:rsidRPr="001E2A1D">
        <w:rPr>
          <w:rFonts w:asciiTheme="majorHAnsi" w:hAnsiTheme="majorHAnsi"/>
        </w:rPr>
        <w:t xml:space="preserve"> (as for system </w:t>
      </w:r>
      <w:r w:rsidR="00182D52" w:rsidRPr="001E2A1D">
        <w:rPr>
          <w:rFonts w:asciiTheme="majorHAnsi" w:hAnsiTheme="majorHAnsi"/>
          <w:b/>
        </w:rPr>
        <w:t>4</w:t>
      </w:r>
      <w:r w:rsidR="00182D52" w:rsidRPr="001E2A1D">
        <w:rPr>
          <w:rFonts w:asciiTheme="majorHAnsi" w:hAnsiTheme="majorHAnsi"/>
        </w:rPr>
        <w:t>)</w:t>
      </w:r>
      <w:r w:rsidR="005735EC" w:rsidRPr="001E2A1D">
        <w:rPr>
          <w:rFonts w:asciiTheme="majorHAnsi" w:hAnsiTheme="majorHAnsi"/>
        </w:rPr>
        <w:t xml:space="preserve">. </w:t>
      </w:r>
      <w:r w:rsidR="00182D52" w:rsidRPr="001E2A1D">
        <w:rPr>
          <w:rFonts w:asciiTheme="majorHAnsi" w:hAnsiTheme="majorHAnsi"/>
        </w:rPr>
        <w:t>When more</w:t>
      </w:r>
      <w:r w:rsidR="005735EC" w:rsidRPr="001E2A1D">
        <w:rPr>
          <w:rFonts w:asciiTheme="majorHAnsi" w:hAnsiTheme="majorHAnsi"/>
        </w:rPr>
        <w:t xml:space="preserve"> sub</w:t>
      </w:r>
      <w:r w:rsidR="00182D52" w:rsidRPr="001E2A1D">
        <w:rPr>
          <w:rFonts w:asciiTheme="majorHAnsi" w:hAnsiTheme="majorHAnsi"/>
        </w:rPr>
        <w:t>-</w:t>
      </w:r>
      <w:r w:rsidR="005735EC" w:rsidRPr="001E2A1D">
        <w:rPr>
          <w:rFonts w:asciiTheme="majorHAnsi" w:hAnsiTheme="majorHAnsi"/>
        </w:rPr>
        <w:t>state</w:t>
      </w:r>
      <w:r w:rsidR="00182D52" w:rsidRPr="001E2A1D">
        <w:rPr>
          <w:rFonts w:asciiTheme="majorHAnsi" w:hAnsiTheme="majorHAnsi"/>
        </w:rPr>
        <w:t>s</w:t>
      </w:r>
      <w:r w:rsidR="005735EC" w:rsidRPr="001E2A1D">
        <w:rPr>
          <w:rFonts w:asciiTheme="majorHAnsi" w:hAnsiTheme="majorHAnsi"/>
        </w:rPr>
        <w:t xml:space="preserve"> </w:t>
      </w:r>
      <w:r w:rsidR="00182D52" w:rsidRPr="001E2A1D">
        <w:rPr>
          <w:rFonts w:asciiTheme="majorHAnsi" w:hAnsiTheme="majorHAnsi"/>
        </w:rPr>
        <w:t>are identified</w:t>
      </w:r>
      <w:r w:rsidR="005735EC" w:rsidRPr="001E2A1D">
        <w:rPr>
          <w:rFonts w:asciiTheme="majorHAnsi" w:hAnsiTheme="majorHAnsi"/>
        </w:rPr>
        <w:t xml:space="preserve">, the transitions </w:t>
      </w:r>
      <w:r w:rsidR="00182D52" w:rsidRPr="001E2A1D">
        <w:rPr>
          <w:rFonts w:asciiTheme="majorHAnsi" w:hAnsiTheme="majorHAnsi"/>
        </w:rPr>
        <w:t>are</w:t>
      </w:r>
      <w:r w:rsidR="005735EC" w:rsidRPr="001E2A1D">
        <w:rPr>
          <w:rFonts w:asciiTheme="majorHAnsi" w:hAnsiTheme="majorHAnsi"/>
        </w:rPr>
        <w:t xml:space="preserve"> identified by cle</w:t>
      </w:r>
      <w:r w:rsidR="00182D52" w:rsidRPr="001E2A1D">
        <w:rPr>
          <w:rFonts w:asciiTheme="majorHAnsi" w:hAnsiTheme="majorHAnsi"/>
        </w:rPr>
        <w:t xml:space="preserve">arly separate, </w:t>
      </w:r>
      <w:r w:rsidR="001E2A1D" w:rsidRPr="001E2A1D">
        <w:rPr>
          <w:rFonts w:asciiTheme="majorHAnsi" w:hAnsiTheme="majorHAnsi"/>
        </w:rPr>
        <w:t>colored</w:t>
      </w:r>
      <w:r w:rsidR="00182D52" w:rsidRPr="001E2A1D">
        <w:rPr>
          <w:rFonts w:asciiTheme="majorHAnsi" w:hAnsiTheme="majorHAnsi"/>
        </w:rPr>
        <w:t xml:space="preserve"> patches according to the RMSD threshold.</w:t>
      </w:r>
      <w:r w:rsidR="005735EC" w:rsidRPr="001E2A1D">
        <w:rPr>
          <w:rFonts w:asciiTheme="majorHAnsi" w:hAnsiTheme="majorHAnsi"/>
        </w:rPr>
        <w:t xml:space="preserve"> However, if a mix of small patches is observed along the diagonal, with no clear separation, then it will mean that the simulation is still visiting new regions of the conformational landscape.</w:t>
      </w:r>
    </w:p>
    <w:p w14:paraId="604E28D5" w14:textId="77777777" w:rsidR="003B6CD3" w:rsidRPr="001E2A1D" w:rsidRDefault="003B6CD3" w:rsidP="002547A1">
      <w:pPr>
        <w:spacing w:line="276" w:lineRule="auto"/>
        <w:jc w:val="both"/>
        <w:rPr>
          <w:rFonts w:asciiTheme="majorHAnsi" w:hAnsiTheme="majorHAnsi"/>
        </w:rPr>
      </w:pPr>
    </w:p>
    <w:p w14:paraId="3181619A" w14:textId="77777777" w:rsidR="003B6CD3" w:rsidRPr="001E2A1D" w:rsidRDefault="003B6CD3" w:rsidP="002547A1">
      <w:pPr>
        <w:spacing w:line="276" w:lineRule="auto"/>
        <w:jc w:val="both"/>
        <w:rPr>
          <w:rFonts w:asciiTheme="majorHAnsi" w:hAnsiTheme="majorHAnsi"/>
          <w:color w:val="FF0000"/>
        </w:rPr>
      </w:pPr>
    </w:p>
    <w:p w14:paraId="5423062C" w14:textId="77777777" w:rsidR="005735EC" w:rsidRPr="001E2A1D" w:rsidRDefault="005735EC" w:rsidP="005735EC">
      <w:pPr>
        <w:spacing w:line="276" w:lineRule="auto"/>
        <w:jc w:val="both"/>
        <w:rPr>
          <w:rFonts w:asciiTheme="majorHAnsi" w:hAnsiTheme="majorHAnsi"/>
        </w:rPr>
      </w:pPr>
    </w:p>
    <w:p w14:paraId="5EB0B8B3" w14:textId="77777777" w:rsidR="005735EC" w:rsidRPr="001E2A1D" w:rsidRDefault="005735EC" w:rsidP="005735EC">
      <w:pPr>
        <w:spacing w:line="276" w:lineRule="auto"/>
        <w:jc w:val="both"/>
        <w:rPr>
          <w:rFonts w:asciiTheme="majorHAnsi" w:hAnsiTheme="majorHAnsi"/>
        </w:rPr>
      </w:pPr>
    </w:p>
    <w:p w14:paraId="3CAA8863" w14:textId="77777777" w:rsidR="005735EC" w:rsidRPr="001E2A1D" w:rsidRDefault="005735EC" w:rsidP="005735EC">
      <w:pPr>
        <w:spacing w:line="276" w:lineRule="auto"/>
        <w:jc w:val="both"/>
        <w:rPr>
          <w:rFonts w:asciiTheme="majorHAnsi" w:hAnsiTheme="majorHAnsi"/>
        </w:rPr>
      </w:pPr>
    </w:p>
    <w:p w14:paraId="434BFD77" w14:textId="77777777" w:rsidR="005735EC" w:rsidRPr="001E2A1D" w:rsidRDefault="005735EC" w:rsidP="005735EC">
      <w:pPr>
        <w:spacing w:line="276" w:lineRule="auto"/>
        <w:jc w:val="both"/>
        <w:rPr>
          <w:rFonts w:asciiTheme="majorHAnsi" w:hAnsiTheme="majorHAnsi"/>
        </w:rPr>
      </w:pPr>
    </w:p>
    <w:p w14:paraId="46BAD618" w14:textId="0563FC5B" w:rsidR="005735EC" w:rsidRPr="001E2A1D" w:rsidRDefault="005735EC" w:rsidP="005735EC">
      <w:pPr>
        <w:spacing w:line="276" w:lineRule="auto"/>
        <w:ind w:hanging="567"/>
        <w:jc w:val="both"/>
        <w:rPr>
          <w:rFonts w:asciiTheme="majorHAnsi" w:hAnsiTheme="majorHAnsi"/>
          <w:color w:val="FF0000"/>
        </w:rPr>
      </w:pPr>
      <w:r w:rsidRPr="001E2A1D">
        <w:rPr>
          <w:rFonts w:asciiTheme="majorHAnsi" w:hAnsiTheme="majorHAnsi"/>
          <w:noProof/>
          <w:color w:val="FF0000"/>
          <w:lang w:val="de-DE" w:eastAsia="de-DE"/>
        </w:rPr>
        <w:drawing>
          <wp:inline distT="0" distB="0" distL="0" distR="0" wp14:anchorId="67D4E1DC" wp14:editId="32F03656">
            <wp:extent cx="6793232" cy="4152749"/>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alysis_p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93232" cy="4152749"/>
                    </a:xfrm>
                    <a:prstGeom prst="rect">
                      <a:avLst/>
                    </a:prstGeom>
                  </pic:spPr>
                </pic:pic>
              </a:graphicData>
            </a:graphic>
          </wp:inline>
        </w:drawing>
      </w:r>
    </w:p>
    <w:p w14:paraId="3E3ECD3A" w14:textId="77777777" w:rsidR="005735EC" w:rsidRPr="001E2A1D" w:rsidRDefault="005735EC" w:rsidP="005735EC">
      <w:pPr>
        <w:spacing w:line="276" w:lineRule="auto"/>
        <w:jc w:val="both"/>
        <w:rPr>
          <w:rFonts w:asciiTheme="majorHAnsi" w:hAnsiTheme="majorHAnsi"/>
          <w:color w:val="FF0000"/>
        </w:rPr>
      </w:pPr>
    </w:p>
    <w:p w14:paraId="576DC067" w14:textId="08EA44A2" w:rsidR="005735EC" w:rsidRPr="001E2A1D" w:rsidRDefault="005735EC" w:rsidP="005735EC">
      <w:pPr>
        <w:spacing w:line="276" w:lineRule="auto"/>
        <w:jc w:val="both"/>
        <w:rPr>
          <w:rFonts w:asciiTheme="majorHAnsi" w:hAnsiTheme="majorHAnsi"/>
          <w:b/>
        </w:rPr>
      </w:pPr>
      <w:r w:rsidRPr="001E2A1D">
        <w:rPr>
          <w:rFonts w:asciiTheme="majorHAnsi" w:hAnsiTheme="majorHAnsi"/>
          <w:b/>
        </w:rPr>
        <w:t>Figure S</w:t>
      </w:r>
      <w:r w:rsidR="00BE7E4B" w:rsidRPr="001E2A1D">
        <w:rPr>
          <w:rFonts w:asciiTheme="majorHAnsi" w:hAnsiTheme="majorHAnsi"/>
          <w:b/>
        </w:rPr>
        <w:t>5</w:t>
      </w:r>
      <w:r w:rsidRPr="001E2A1D">
        <w:rPr>
          <w:rFonts w:asciiTheme="majorHAnsi" w:hAnsiTheme="majorHAnsi"/>
          <w:b/>
        </w:rPr>
        <w:t xml:space="preserve">. </w:t>
      </w:r>
      <w:r w:rsidR="00A3157A" w:rsidRPr="001E2A1D">
        <w:rPr>
          <w:rFonts w:asciiTheme="majorHAnsi" w:hAnsiTheme="majorHAnsi"/>
        </w:rPr>
        <w:t xml:space="preserve">PCA analysis </w:t>
      </w:r>
      <w:r w:rsidR="00B7194E" w:rsidRPr="001E2A1D">
        <w:rPr>
          <w:rFonts w:asciiTheme="majorHAnsi" w:hAnsiTheme="majorHAnsi"/>
        </w:rPr>
        <w:t>retrieved from</w:t>
      </w:r>
      <w:r w:rsidR="00A3157A" w:rsidRPr="001E2A1D">
        <w:rPr>
          <w:rFonts w:asciiTheme="majorHAnsi" w:hAnsiTheme="majorHAnsi"/>
        </w:rPr>
        <w:t xml:space="preserve"> 300 ns of MD simulation</w:t>
      </w:r>
      <w:r w:rsidR="00B7194E" w:rsidRPr="001E2A1D">
        <w:rPr>
          <w:rFonts w:asciiTheme="majorHAnsi" w:hAnsiTheme="majorHAnsi"/>
        </w:rPr>
        <w:t xml:space="preserve"> </w:t>
      </w:r>
      <w:r w:rsidR="00A3157A" w:rsidRPr="001E2A1D">
        <w:rPr>
          <w:rFonts w:asciiTheme="majorHAnsi" w:hAnsiTheme="majorHAnsi"/>
        </w:rPr>
        <w:t>for the LmrR</w:t>
      </w:r>
      <w:r w:rsidR="00474ECC" w:rsidRPr="001E2A1D">
        <w:rPr>
          <w:rFonts w:asciiTheme="majorHAnsi" w:hAnsiTheme="majorHAnsi"/>
        </w:rPr>
        <w:t>-</w:t>
      </w:r>
      <w:r w:rsidR="00A3157A" w:rsidRPr="001E2A1D">
        <w:rPr>
          <w:rFonts w:asciiTheme="majorHAnsi" w:hAnsiTheme="majorHAnsi"/>
        </w:rPr>
        <w:t>based systems under study</w:t>
      </w:r>
      <w:r w:rsidR="00445CEB" w:rsidRPr="001E2A1D">
        <w:rPr>
          <w:rFonts w:asciiTheme="majorHAnsi" w:hAnsiTheme="majorHAnsi"/>
        </w:rPr>
        <w:t xml:space="preserve"> (left to right, top to bottom)</w:t>
      </w:r>
      <w:r w:rsidR="00A3157A" w:rsidRPr="001E2A1D">
        <w:rPr>
          <w:rFonts w:asciiTheme="majorHAnsi" w:hAnsiTheme="majorHAnsi"/>
        </w:rPr>
        <w:t>: the apo form (</w:t>
      </w:r>
      <w:r w:rsidR="00A3157A" w:rsidRPr="001E2A1D">
        <w:rPr>
          <w:rFonts w:asciiTheme="majorHAnsi" w:hAnsiTheme="majorHAnsi"/>
          <w:b/>
        </w:rPr>
        <w:t>1</w:t>
      </w:r>
      <w:r w:rsidR="00A3157A" w:rsidRPr="001E2A1D">
        <w:rPr>
          <w:rFonts w:asciiTheme="majorHAnsi" w:hAnsiTheme="majorHAnsi"/>
        </w:rPr>
        <w:t>), the drug-bound form (</w:t>
      </w:r>
      <w:r w:rsidR="00A3157A" w:rsidRPr="001E2A1D">
        <w:rPr>
          <w:rFonts w:asciiTheme="majorHAnsi" w:hAnsiTheme="majorHAnsi"/>
          <w:b/>
        </w:rPr>
        <w:t>2</w:t>
      </w:r>
      <w:r w:rsidR="00A3157A" w:rsidRPr="001E2A1D">
        <w:rPr>
          <w:rFonts w:asciiTheme="majorHAnsi" w:hAnsiTheme="majorHAnsi"/>
        </w:rPr>
        <w:t>), the heme</w:t>
      </w:r>
      <w:r w:rsidR="00474ECC" w:rsidRPr="001E2A1D">
        <w:rPr>
          <w:rFonts w:asciiTheme="majorHAnsi" w:hAnsiTheme="majorHAnsi"/>
        </w:rPr>
        <w:t>-</w:t>
      </w:r>
      <w:r w:rsidR="00A3157A" w:rsidRPr="001E2A1D">
        <w:rPr>
          <w:rFonts w:asciiTheme="majorHAnsi" w:hAnsiTheme="majorHAnsi"/>
        </w:rPr>
        <w:t>based Arm (</w:t>
      </w:r>
      <w:r w:rsidR="00A3157A" w:rsidRPr="001E2A1D">
        <w:rPr>
          <w:rFonts w:asciiTheme="majorHAnsi" w:hAnsiTheme="majorHAnsi"/>
          <w:b/>
        </w:rPr>
        <w:t>3</w:t>
      </w:r>
      <w:r w:rsidR="00A3157A" w:rsidRPr="001E2A1D">
        <w:rPr>
          <w:rFonts w:asciiTheme="majorHAnsi" w:hAnsiTheme="majorHAnsi"/>
        </w:rPr>
        <w:t>) and the copper cofactors Phen-Cu(II) (</w:t>
      </w:r>
      <w:r w:rsidR="00A3157A" w:rsidRPr="001E2A1D">
        <w:rPr>
          <w:rFonts w:asciiTheme="majorHAnsi" w:hAnsiTheme="majorHAnsi"/>
          <w:b/>
        </w:rPr>
        <w:t>4</w:t>
      </w:r>
      <w:r w:rsidR="00A3157A" w:rsidRPr="001E2A1D">
        <w:rPr>
          <w:rFonts w:asciiTheme="majorHAnsi" w:hAnsiTheme="majorHAnsi"/>
        </w:rPr>
        <w:t>) and BpyA-Cu(II) (</w:t>
      </w:r>
      <w:r w:rsidR="00A3157A" w:rsidRPr="001E2A1D">
        <w:rPr>
          <w:rFonts w:asciiTheme="majorHAnsi" w:hAnsiTheme="majorHAnsi"/>
          <w:b/>
        </w:rPr>
        <w:t>5</w:t>
      </w:r>
      <w:r w:rsidR="00A3157A" w:rsidRPr="001E2A1D">
        <w:rPr>
          <w:rFonts w:asciiTheme="majorHAnsi" w:hAnsiTheme="majorHAnsi"/>
        </w:rPr>
        <w:t xml:space="preserve">) based ArMs. In the resulting plot the </w:t>
      </w:r>
      <w:r w:rsidR="001E2A1D" w:rsidRPr="001E2A1D">
        <w:rPr>
          <w:rFonts w:asciiTheme="majorHAnsi" w:hAnsiTheme="majorHAnsi"/>
        </w:rPr>
        <w:t>color</w:t>
      </w:r>
      <w:r w:rsidR="00A3157A" w:rsidRPr="001E2A1D">
        <w:rPr>
          <w:rFonts w:asciiTheme="majorHAnsi" w:hAnsiTheme="majorHAnsi"/>
        </w:rPr>
        <w:t xml:space="preserve"> indicates the simulation time. When trajectories have converged, the PCA plot should show a concentration of points where late conformations often overlap or are close to early ones (high correlation), meaning that the same states are re-visited. In contrast, if the PCA plot features high dispersion of the data, then it can be assumed that the trajectory is still visiting new spaces.</w:t>
      </w:r>
    </w:p>
    <w:p w14:paraId="5547A448" w14:textId="77777777" w:rsidR="005735EC" w:rsidRPr="001E2A1D" w:rsidRDefault="005735EC" w:rsidP="005735EC">
      <w:pPr>
        <w:spacing w:line="276" w:lineRule="auto"/>
        <w:jc w:val="both"/>
        <w:rPr>
          <w:rFonts w:asciiTheme="majorHAnsi" w:hAnsiTheme="majorHAnsi"/>
          <w:b/>
        </w:rPr>
      </w:pPr>
    </w:p>
    <w:p w14:paraId="17F32A1F" w14:textId="77777777" w:rsidR="005735EC" w:rsidRPr="001E2A1D" w:rsidRDefault="005735EC" w:rsidP="005735EC">
      <w:pPr>
        <w:spacing w:line="276" w:lineRule="auto"/>
        <w:jc w:val="both"/>
        <w:rPr>
          <w:rFonts w:asciiTheme="majorHAnsi" w:hAnsiTheme="majorHAnsi"/>
          <w:b/>
        </w:rPr>
      </w:pPr>
    </w:p>
    <w:p w14:paraId="0B05A3B7" w14:textId="77777777" w:rsidR="005735EC" w:rsidRPr="001E2A1D" w:rsidRDefault="005735EC" w:rsidP="005735EC">
      <w:pPr>
        <w:spacing w:line="276" w:lineRule="auto"/>
        <w:ind w:hanging="709"/>
        <w:jc w:val="both"/>
        <w:rPr>
          <w:rFonts w:asciiTheme="majorHAnsi" w:hAnsiTheme="majorHAnsi"/>
          <w:b/>
        </w:rPr>
      </w:pPr>
    </w:p>
    <w:p w14:paraId="72665348" w14:textId="77777777" w:rsidR="005735EC" w:rsidRPr="001E2A1D" w:rsidRDefault="005735EC" w:rsidP="005735EC">
      <w:pPr>
        <w:spacing w:line="276" w:lineRule="auto"/>
        <w:ind w:hanging="709"/>
        <w:jc w:val="both"/>
        <w:rPr>
          <w:rFonts w:asciiTheme="majorHAnsi" w:hAnsiTheme="majorHAnsi"/>
          <w:b/>
        </w:rPr>
      </w:pPr>
    </w:p>
    <w:p w14:paraId="5A95ED03" w14:textId="77777777" w:rsidR="005735EC" w:rsidRPr="001E2A1D" w:rsidRDefault="005735EC" w:rsidP="005735EC">
      <w:pPr>
        <w:spacing w:line="276" w:lineRule="auto"/>
        <w:ind w:hanging="709"/>
        <w:jc w:val="both"/>
        <w:rPr>
          <w:rFonts w:asciiTheme="majorHAnsi" w:hAnsiTheme="majorHAnsi"/>
          <w:b/>
        </w:rPr>
      </w:pPr>
    </w:p>
    <w:p w14:paraId="44B26FAB" w14:textId="77777777" w:rsidR="005735EC" w:rsidRPr="001E2A1D" w:rsidRDefault="005735EC" w:rsidP="005735EC">
      <w:pPr>
        <w:spacing w:line="276" w:lineRule="auto"/>
        <w:ind w:hanging="709"/>
        <w:jc w:val="both"/>
        <w:rPr>
          <w:rFonts w:asciiTheme="majorHAnsi" w:hAnsiTheme="majorHAnsi"/>
          <w:b/>
        </w:rPr>
      </w:pPr>
    </w:p>
    <w:p w14:paraId="0C72DC53" w14:textId="77777777" w:rsidR="005735EC" w:rsidRPr="001E2A1D" w:rsidRDefault="005735EC" w:rsidP="005735EC">
      <w:pPr>
        <w:spacing w:line="276" w:lineRule="auto"/>
        <w:ind w:hanging="709"/>
        <w:jc w:val="both"/>
        <w:rPr>
          <w:rFonts w:asciiTheme="majorHAnsi" w:hAnsiTheme="majorHAnsi"/>
          <w:b/>
        </w:rPr>
      </w:pPr>
    </w:p>
    <w:p w14:paraId="2FF5197E" w14:textId="08F5AFB3" w:rsidR="005735EC" w:rsidRPr="001E2A1D" w:rsidRDefault="005735EC" w:rsidP="005735EC">
      <w:pPr>
        <w:spacing w:line="276" w:lineRule="auto"/>
        <w:ind w:hanging="709"/>
        <w:jc w:val="both"/>
        <w:rPr>
          <w:rFonts w:asciiTheme="majorHAnsi" w:hAnsiTheme="majorHAnsi"/>
          <w:b/>
        </w:rPr>
      </w:pPr>
      <w:r w:rsidRPr="001E2A1D">
        <w:rPr>
          <w:rFonts w:asciiTheme="majorHAnsi" w:hAnsiTheme="majorHAnsi"/>
          <w:b/>
          <w:noProof/>
          <w:lang w:val="de-DE" w:eastAsia="de-DE"/>
        </w:rPr>
        <w:lastRenderedPageBreak/>
        <w:drawing>
          <wp:inline distT="0" distB="0" distL="0" distR="0" wp14:anchorId="54621DD9" wp14:editId="63F05D52">
            <wp:extent cx="6892739" cy="3902348"/>
            <wp:effectExtent l="0" t="0" r="381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alysis_rms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92739" cy="3902348"/>
                    </a:xfrm>
                    <a:prstGeom prst="rect">
                      <a:avLst/>
                    </a:prstGeom>
                  </pic:spPr>
                </pic:pic>
              </a:graphicData>
            </a:graphic>
          </wp:inline>
        </w:drawing>
      </w:r>
    </w:p>
    <w:p w14:paraId="68DFD1E2" w14:textId="77777777" w:rsidR="005735EC" w:rsidRPr="001E2A1D" w:rsidRDefault="005735EC" w:rsidP="005735EC">
      <w:pPr>
        <w:spacing w:line="276" w:lineRule="auto"/>
        <w:jc w:val="both"/>
        <w:rPr>
          <w:rFonts w:asciiTheme="majorHAnsi" w:hAnsiTheme="majorHAnsi"/>
          <w:b/>
        </w:rPr>
      </w:pPr>
    </w:p>
    <w:p w14:paraId="6D83C682" w14:textId="30EB6B96" w:rsidR="005735EC" w:rsidRPr="001E2A1D" w:rsidRDefault="004E76D5" w:rsidP="005735EC">
      <w:pPr>
        <w:spacing w:line="276" w:lineRule="auto"/>
        <w:jc w:val="both"/>
        <w:rPr>
          <w:rFonts w:asciiTheme="majorHAnsi" w:hAnsiTheme="majorHAnsi"/>
          <w:b/>
        </w:rPr>
      </w:pPr>
      <w:r w:rsidRPr="001E2A1D">
        <w:rPr>
          <w:rFonts w:asciiTheme="majorHAnsi" w:hAnsiTheme="majorHAnsi"/>
          <w:b/>
        </w:rPr>
        <w:t>Figure S6</w:t>
      </w:r>
      <w:r w:rsidR="005735EC" w:rsidRPr="001E2A1D">
        <w:rPr>
          <w:rFonts w:asciiTheme="majorHAnsi" w:hAnsiTheme="majorHAnsi"/>
          <w:b/>
        </w:rPr>
        <w:t>.</w:t>
      </w:r>
      <w:r w:rsidR="00A3157A" w:rsidRPr="001E2A1D">
        <w:rPr>
          <w:rFonts w:asciiTheme="majorHAnsi" w:hAnsiTheme="majorHAnsi"/>
          <w:b/>
        </w:rPr>
        <w:t xml:space="preserve"> </w:t>
      </w:r>
      <w:r w:rsidR="00A3157A" w:rsidRPr="001E2A1D">
        <w:rPr>
          <w:rFonts w:asciiTheme="majorHAnsi" w:hAnsiTheme="majorHAnsi"/>
        </w:rPr>
        <w:t>RMSF</w:t>
      </w:r>
      <w:r w:rsidR="00A00406" w:rsidRPr="001E2A1D">
        <w:rPr>
          <w:rFonts w:asciiTheme="majorHAnsi" w:hAnsiTheme="majorHAnsi"/>
        </w:rPr>
        <w:t xml:space="preserve"> from 300 ns of MD simulation for the LmrR</w:t>
      </w:r>
      <w:r w:rsidR="00474ECC" w:rsidRPr="001E2A1D">
        <w:rPr>
          <w:rFonts w:asciiTheme="majorHAnsi" w:hAnsiTheme="majorHAnsi"/>
        </w:rPr>
        <w:t>-</w:t>
      </w:r>
      <w:r w:rsidR="00A00406" w:rsidRPr="001E2A1D">
        <w:rPr>
          <w:rFonts w:asciiTheme="majorHAnsi" w:hAnsiTheme="majorHAnsi"/>
        </w:rPr>
        <w:t>based systems under study</w:t>
      </w:r>
      <w:r w:rsidR="00445CEB" w:rsidRPr="001E2A1D">
        <w:rPr>
          <w:rFonts w:asciiTheme="majorHAnsi" w:hAnsiTheme="majorHAnsi"/>
        </w:rPr>
        <w:t xml:space="preserve"> (left to right, top to bottom)</w:t>
      </w:r>
      <w:r w:rsidR="00A00406" w:rsidRPr="001E2A1D">
        <w:rPr>
          <w:rFonts w:asciiTheme="majorHAnsi" w:hAnsiTheme="majorHAnsi"/>
        </w:rPr>
        <w:t>: the apo form (</w:t>
      </w:r>
      <w:r w:rsidR="00A00406" w:rsidRPr="001E2A1D">
        <w:rPr>
          <w:rFonts w:asciiTheme="majorHAnsi" w:hAnsiTheme="majorHAnsi"/>
          <w:b/>
        </w:rPr>
        <w:t>1</w:t>
      </w:r>
      <w:r w:rsidR="00A00406" w:rsidRPr="001E2A1D">
        <w:rPr>
          <w:rFonts w:asciiTheme="majorHAnsi" w:hAnsiTheme="majorHAnsi"/>
        </w:rPr>
        <w:t>), the drug-bound form (</w:t>
      </w:r>
      <w:r w:rsidR="00A00406" w:rsidRPr="001E2A1D">
        <w:rPr>
          <w:rFonts w:asciiTheme="majorHAnsi" w:hAnsiTheme="majorHAnsi"/>
          <w:b/>
        </w:rPr>
        <w:t>2</w:t>
      </w:r>
      <w:r w:rsidR="00A00406" w:rsidRPr="001E2A1D">
        <w:rPr>
          <w:rFonts w:asciiTheme="majorHAnsi" w:hAnsiTheme="majorHAnsi"/>
        </w:rPr>
        <w:t>), the heme</w:t>
      </w:r>
      <w:r w:rsidR="00474ECC" w:rsidRPr="001E2A1D">
        <w:rPr>
          <w:rFonts w:asciiTheme="majorHAnsi" w:hAnsiTheme="majorHAnsi"/>
        </w:rPr>
        <w:t>-</w:t>
      </w:r>
      <w:r w:rsidR="00A00406" w:rsidRPr="001E2A1D">
        <w:rPr>
          <w:rFonts w:asciiTheme="majorHAnsi" w:hAnsiTheme="majorHAnsi"/>
        </w:rPr>
        <w:t>based Arm (</w:t>
      </w:r>
      <w:r w:rsidR="00A00406" w:rsidRPr="001E2A1D">
        <w:rPr>
          <w:rFonts w:asciiTheme="majorHAnsi" w:hAnsiTheme="majorHAnsi"/>
          <w:b/>
        </w:rPr>
        <w:t>3</w:t>
      </w:r>
      <w:r w:rsidR="00A00406" w:rsidRPr="001E2A1D">
        <w:rPr>
          <w:rFonts w:asciiTheme="majorHAnsi" w:hAnsiTheme="majorHAnsi"/>
        </w:rPr>
        <w:t>) and the copper cofactors Phen-Cu(II) (</w:t>
      </w:r>
      <w:r w:rsidR="00A00406" w:rsidRPr="001E2A1D">
        <w:rPr>
          <w:rFonts w:asciiTheme="majorHAnsi" w:hAnsiTheme="majorHAnsi"/>
          <w:b/>
        </w:rPr>
        <w:t>4</w:t>
      </w:r>
      <w:r w:rsidR="00A00406" w:rsidRPr="001E2A1D">
        <w:rPr>
          <w:rFonts w:asciiTheme="majorHAnsi" w:hAnsiTheme="majorHAnsi"/>
        </w:rPr>
        <w:t>) and BpyA-Cu(II) (</w:t>
      </w:r>
      <w:r w:rsidR="00A00406" w:rsidRPr="001E2A1D">
        <w:rPr>
          <w:rFonts w:asciiTheme="majorHAnsi" w:hAnsiTheme="majorHAnsi"/>
          <w:b/>
        </w:rPr>
        <w:t>5</w:t>
      </w:r>
      <w:r w:rsidR="00A00406" w:rsidRPr="001E2A1D">
        <w:rPr>
          <w:rFonts w:asciiTheme="majorHAnsi" w:hAnsiTheme="majorHAnsi"/>
        </w:rPr>
        <w:t xml:space="preserve">) based ArMs. The higher peaks correspond with the most flexible regions of the protein averaged long the simulation time-scale. The green strands </w:t>
      </w:r>
      <w:r w:rsidR="00103793" w:rsidRPr="001E2A1D">
        <w:rPr>
          <w:rFonts w:asciiTheme="majorHAnsi" w:hAnsiTheme="majorHAnsi"/>
        </w:rPr>
        <w:t xml:space="preserve">are </w:t>
      </w:r>
      <w:r w:rsidR="00A00406" w:rsidRPr="001E2A1D">
        <w:rPr>
          <w:rFonts w:asciiTheme="majorHAnsi" w:hAnsiTheme="majorHAnsi"/>
        </w:rPr>
        <w:t xml:space="preserve">associated to the </w:t>
      </w:r>
      <w:r w:rsidR="00A00406" w:rsidRPr="001E2A1D">
        <w:rPr>
          <w:rFonts w:ascii="Symbol" w:hAnsi="Symbol"/>
        </w:rPr>
        <w:t></w:t>
      </w:r>
      <w:r w:rsidR="00A00406" w:rsidRPr="001E2A1D">
        <w:rPr>
          <w:rFonts w:asciiTheme="majorHAnsi" w:hAnsiTheme="majorHAnsi"/>
        </w:rPr>
        <w:t>1/</w:t>
      </w:r>
      <w:r w:rsidR="00A00406" w:rsidRPr="001E2A1D">
        <w:rPr>
          <w:rFonts w:ascii="Symbol" w:hAnsi="Symbol"/>
        </w:rPr>
        <w:t></w:t>
      </w:r>
      <w:r w:rsidR="00A00406" w:rsidRPr="001E2A1D">
        <w:rPr>
          <w:rFonts w:asciiTheme="majorHAnsi" w:hAnsiTheme="majorHAnsi"/>
        </w:rPr>
        <w:t xml:space="preserve">1’ helix, pink to </w:t>
      </w:r>
      <w:r w:rsidR="00A00406" w:rsidRPr="001E2A1D">
        <w:rPr>
          <w:rFonts w:ascii="Symbol" w:hAnsi="Symbol"/>
        </w:rPr>
        <w:t></w:t>
      </w:r>
      <w:r w:rsidR="00A00406" w:rsidRPr="001E2A1D">
        <w:rPr>
          <w:rFonts w:asciiTheme="majorHAnsi" w:hAnsiTheme="majorHAnsi"/>
        </w:rPr>
        <w:t>2/</w:t>
      </w:r>
      <w:r w:rsidR="00A00406" w:rsidRPr="001E2A1D">
        <w:rPr>
          <w:rFonts w:ascii="Symbol" w:hAnsi="Symbol"/>
        </w:rPr>
        <w:t></w:t>
      </w:r>
      <w:r w:rsidR="00A00406" w:rsidRPr="001E2A1D">
        <w:rPr>
          <w:rFonts w:asciiTheme="majorHAnsi" w:hAnsiTheme="majorHAnsi"/>
        </w:rPr>
        <w:t xml:space="preserve">2’, yellow to </w:t>
      </w:r>
      <w:r w:rsidR="00A00406" w:rsidRPr="001E2A1D">
        <w:rPr>
          <w:rFonts w:ascii="Symbol" w:hAnsi="Symbol"/>
        </w:rPr>
        <w:t></w:t>
      </w:r>
      <w:r w:rsidR="00A00406" w:rsidRPr="001E2A1D">
        <w:rPr>
          <w:rFonts w:asciiTheme="majorHAnsi" w:hAnsiTheme="majorHAnsi"/>
        </w:rPr>
        <w:t>3/</w:t>
      </w:r>
      <w:r w:rsidR="00A00406" w:rsidRPr="001E2A1D">
        <w:rPr>
          <w:rFonts w:ascii="Symbol" w:hAnsi="Symbol"/>
        </w:rPr>
        <w:t></w:t>
      </w:r>
      <w:r w:rsidR="00A00406" w:rsidRPr="001E2A1D">
        <w:rPr>
          <w:rFonts w:asciiTheme="majorHAnsi" w:hAnsiTheme="majorHAnsi"/>
        </w:rPr>
        <w:t xml:space="preserve">3’, </w:t>
      </w:r>
      <w:r w:rsidR="00103793" w:rsidRPr="001E2A1D">
        <w:rPr>
          <w:rFonts w:asciiTheme="majorHAnsi" w:hAnsiTheme="majorHAnsi"/>
        </w:rPr>
        <w:t xml:space="preserve">red </w:t>
      </w:r>
      <w:r w:rsidR="00A00406" w:rsidRPr="001E2A1D">
        <w:rPr>
          <w:rFonts w:asciiTheme="majorHAnsi" w:hAnsiTheme="majorHAnsi"/>
        </w:rPr>
        <w:t xml:space="preserve">to </w:t>
      </w:r>
      <w:r w:rsidR="00103793" w:rsidRPr="001E2A1D">
        <w:rPr>
          <w:rFonts w:asciiTheme="majorHAnsi" w:hAnsiTheme="majorHAnsi"/>
        </w:rPr>
        <w:t>β</w:t>
      </w:r>
      <w:r w:rsidR="00A00406" w:rsidRPr="001E2A1D">
        <w:rPr>
          <w:rFonts w:asciiTheme="majorHAnsi" w:hAnsiTheme="majorHAnsi"/>
        </w:rPr>
        <w:t xml:space="preserve"> hairpin loops for monomers A and B, and blue to </w:t>
      </w:r>
      <w:r w:rsidR="00103793" w:rsidRPr="001E2A1D">
        <w:rPr>
          <w:rFonts w:asciiTheme="majorHAnsi" w:hAnsiTheme="majorHAnsi"/>
        </w:rPr>
        <w:t xml:space="preserve">helices </w:t>
      </w:r>
      <w:r w:rsidR="00A00406" w:rsidRPr="001E2A1D">
        <w:rPr>
          <w:rFonts w:ascii="Symbol" w:hAnsi="Symbol"/>
        </w:rPr>
        <w:t></w:t>
      </w:r>
      <w:r w:rsidR="00A00406" w:rsidRPr="001E2A1D">
        <w:rPr>
          <w:rFonts w:asciiTheme="majorHAnsi" w:hAnsiTheme="majorHAnsi"/>
        </w:rPr>
        <w:t>4/</w:t>
      </w:r>
      <w:r w:rsidR="00A00406" w:rsidRPr="001E2A1D">
        <w:rPr>
          <w:rFonts w:ascii="Symbol" w:hAnsi="Symbol"/>
        </w:rPr>
        <w:t></w:t>
      </w:r>
      <w:r w:rsidR="00A00406" w:rsidRPr="001E2A1D">
        <w:rPr>
          <w:rFonts w:asciiTheme="majorHAnsi" w:hAnsiTheme="majorHAnsi"/>
        </w:rPr>
        <w:t>4’</w:t>
      </w:r>
    </w:p>
    <w:p w14:paraId="73634948" w14:textId="77777777" w:rsidR="005735EC" w:rsidRPr="001E2A1D" w:rsidRDefault="005735EC" w:rsidP="005735EC">
      <w:pPr>
        <w:spacing w:line="276" w:lineRule="auto"/>
        <w:jc w:val="both"/>
        <w:rPr>
          <w:rFonts w:asciiTheme="majorHAnsi" w:hAnsiTheme="majorHAnsi"/>
          <w:b/>
        </w:rPr>
      </w:pPr>
    </w:p>
    <w:p w14:paraId="42FF4A43" w14:textId="77777777" w:rsidR="005735EC" w:rsidRPr="001E2A1D" w:rsidRDefault="005735EC" w:rsidP="005735EC">
      <w:pPr>
        <w:spacing w:line="276" w:lineRule="auto"/>
        <w:jc w:val="both"/>
        <w:rPr>
          <w:rFonts w:asciiTheme="majorHAnsi" w:hAnsiTheme="majorHAnsi"/>
          <w:b/>
        </w:rPr>
      </w:pPr>
    </w:p>
    <w:p w14:paraId="56D0D6F6" w14:textId="77777777" w:rsidR="005735EC" w:rsidRPr="001E2A1D" w:rsidRDefault="005735EC" w:rsidP="005735EC">
      <w:pPr>
        <w:spacing w:line="276" w:lineRule="auto"/>
        <w:jc w:val="both"/>
        <w:rPr>
          <w:rFonts w:asciiTheme="majorHAnsi" w:hAnsiTheme="majorHAnsi"/>
          <w:b/>
        </w:rPr>
      </w:pPr>
    </w:p>
    <w:p w14:paraId="24D3876A" w14:textId="77777777" w:rsidR="005735EC" w:rsidRPr="001E2A1D" w:rsidRDefault="005735EC" w:rsidP="005735EC">
      <w:pPr>
        <w:spacing w:line="276" w:lineRule="auto"/>
        <w:jc w:val="both"/>
        <w:rPr>
          <w:rFonts w:asciiTheme="majorHAnsi" w:hAnsiTheme="majorHAnsi"/>
          <w:b/>
        </w:rPr>
      </w:pPr>
    </w:p>
    <w:p w14:paraId="5D1D6E77" w14:textId="77777777" w:rsidR="005735EC" w:rsidRPr="001E2A1D" w:rsidRDefault="005735EC" w:rsidP="005735EC">
      <w:pPr>
        <w:spacing w:line="276" w:lineRule="auto"/>
        <w:jc w:val="both"/>
        <w:rPr>
          <w:rFonts w:asciiTheme="majorHAnsi" w:hAnsiTheme="majorHAnsi"/>
          <w:b/>
        </w:rPr>
      </w:pPr>
    </w:p>
    <w:p w14:paraId="4D23C211" w14:textId="77777777" w:rsidR="005735EC" w:rsidRPr="001E2A1D" w:rsidRDefault="005735EC" w:rsidP="005735EC">
      <w:pPr>
        <w:spacing w:line="276" w:lineRule="auto"/>
        <w:jc w:val="both"/>
        <w:rPr>
          <w:rFonts w:asciiTheme="majorHAnsi" w:hAnsiTheme="majorHAnsi"/>
          <w:b/>
        </w:rPr>
      </w:pPr>
    </w:p>
    <w:p w14:paraId="6FD8E329" w14:textId="77777777" w:rsidR="005735EC" w:rsidRPr="001E2A1D" w:rsidRDefault="005735EC" w:rsidP="005735EC">
      <w:pPr>
        <w:spacing w:line="276" w:lineRule="auto"/>
        <w:jc w:val="both"/>
        <w:rPr>
          <w:rFonts w:asciiTheme="majorHAnsi" w:hAnsiTheme="majorHAnsi"/>
          <w:b/>
        </w:rPr>
      </w:pPr>
    </w:p>
    <w:p w14:paraId="6E8F85B1" w14:textId="77777777" w:rsidR="005735EC" w:rsidRPr="001E2A1D" w:rsidRDefault="005735EC" w:rsidP="005735EC">
      <w:pPr>
        <w:spacing w:line="276" w:lineRule="auto"/>
        <w:jc w:val="both"/>
        <w:rPr>
          <w:rFonts w:asciiTheme="majorHAnsi" w:hAnsiTheme="majorHAnsi"/>
          <w:b/>
        </w:rPr>
      </w:pPr>
    </w:p>
    <w:p w14:paraId="1308C36D" w14:textId="77777777" w:rsidR="005735EC" w:rsidRPr="001E2A1D" w:rsidRDefault="005735EC" w:rsidP="005735EC">
      <w:pPr>
        <w:spacing w:line="276" w:lineRule="auto"/>
        <w:jc w:val="both"/>
        <w:rPr>
          <w:rFonts w:asciiTheme="majorHAnsi" w:hAnsiTheme="majorHAnsi"/>
          <w:b/>
        </w:rPr>
      </w:pPr>
    </w:p>
    <w:p w14:paraId="5EA02DBF" w14:textId="77777777" w:rsidR="005735EC" w:rsidRPr="001E2A1D" w:rsidRDefault="005735EC" w:rsidP="005735EC">
      <w:pPr>
        <w:spacing w:line="276" w:lineRule="auto"/>
        <w:ind w:hanging="851"/>
        <w:jc w:val="both"/>
        <w:rPr>
          <w:rFonts w:asciiTheme="majorHAnsi" w:hAnsiTheme="majorHAnsi"/>
          <w:b/>
          <w:lang w:eastAsia="es-ES"/>
        </w:rPr>
      </w:pPr>
    </w:p>
    <w:p w14:paraId="4207F1EC" w14:textId="77777777" w:rsidR="005735EC" w:rsidRPr="001E2A1D" w:rsidRDefault="005735EC" w:rsidP="005735EC">
      <w:pPr>
        <w:spacing w:line="276" w:lineRule="auto"/>
        <w:ind w:hanging="851"/>
        <w:jc w:val="both"/>
        <w:rPr>
          <w:rFonts w:asciiTheme="majorHAnsi" w:hAnsiTheme="majorHAnsi"/>
          <w:b/>
          <w:lang w:eastAsia="es-ES"/>
        </w:rPr>
      </w:pPr>
    </w:p>
    <w:p w14:paraId="45D8B60A" w14:textId="77777777" w:rsidR="005735EC" w:rsidRPr="001E2A1D" w:rsidRDefault="005735EC" w:rsidP="005735EC">
      <w:pPr>
        <w:spacing w:line="276" w:lineRule="auto"/>
        <w:ind w:hanging="851"/>
        <w:jc w:val="both"/>
        <w:rPr>
          <w:rFonts w:asciiTheme="majorHAnsi" w:hAnsiTheme="majorHAnsi"/>
          <w:b/>
          <w:lang w:eastAsia="es-ES"/>
        </w:rPr>
      </w:pPr>
    </w:p>
    <w:p w14:paraId="25CC662A" w14:textId="77777777" w:rsidR="005735EC" w:rsidRPr="001E2A1D" w:rsidRDefault="005735EC" w:rsidP="005735EC">
      <w:pPr>
        <w:spacing w:line="276" w:lineRule="auto"/>
        <w:ind w:hanging="851"/>
        <w:jc w:val="both"/>
        <w:rPr>
          <w:rFonts w:asciiTheme="majorHAnsi" w:hAnsiTheme="majorHAnsi"/>
          <w:b/>
          <w:lang w:eastAsia="es-ES"/>
        </w:rPr>
      </w:pPr>
    </w:p>
    <w:p w14:paraId="555CA11E" w14:textId="5D9DD882" w:rsidR="000D6D99" w:rsidRPr="001E2A1D" w:rsidRDefault="000D6D99" w:rsidP="002547A1">
      <w:pPr>
        <w:spacing w:line="276" w:lineRule="auto"/>
        <w:jc w:val="both"/>
        <w:rPr>
          <w:rFonts w:asciiTheme="majorHAnsi" w:hAnsiTheme="majorHAnsi"/>
          <w:b/>
        </w:rPr>
      </w:pPr>
      <w:r w:rsidRPr="001E2A1D">
        <w:rPr>
          <w:rFonts w:asciiTheme="majorHAnsi" w:hAnsiTheme="majorHAnsi"/>
          <w:b/>
        </w:rPr>
        <w:lastRenderedPageBreak/>
        <w:t>References</w:t>
      </w:r>
    </w:p>
    <w:p w14:paraId="5E750D69" w14:textId="77777777" w:rsidR="000D6D99" w:rsidRPr="001E2A1D" w:rsidRDefault="000D6D99" w:rsidP="002547A1">
      <w:pPr>
        <w:spacing w:line="276" w:lineRule="auto"/>
        <w:jc w:val="both"/>
        <w:rPr>
          <w:rFonts w:asciiTheme="majorHAnsi" w:hAnsiTheme="majorHAnsi"/>
          <w:b/>
        </w:rPr>
      </w:pPr>
    </w:p>
    <w:p w14:paraId="36AD3CBD" w14:textId="74E5B49F" w:rsidR="006F6A6B" w:rsidRPr="001E2A1D" w:rsidRDefault="000D6D99" w:rsidP="006F6A6B">
      <w:pPr>
        <w:widowControl w:val="0"/>
        <w:autoSpaceDE w:val="0"/>
        <w:autoSpaceDN w:val="0"/>
        <w:adjustRightInd w:val="0"/>
        <w:ind w:left="480" w:hanging="480"/>
        <w:rPr>
          <w:rFonts w:ascii="Cambria" w:hAnsi="Cambria"/>
        </w:rPr>
      </w:pPr>
      <w:r w:rsidRPr="001E2A1D">
        <w:rPr>
          <w:rFonts w:asciiTheme="majorHAnsi" w:hAnsiTheme="majorHAnsi"/>
          <w:b/>
        </w:rPr>
        <w:fldChar w:fldCharType="begin" w:fldLock="1"/>
      </w:r>
      <w:r w:rsidRPr="001E2A1D">
        <w:rPr>
          <w:rFonts w:asciiTheme="majorHAnsi" w:hAnsiTheme="majorHAnsi"/>
          <w:b/>
        </w:rPr>
        <w:instrText xml:space="preserve">ADDIN Mendeley Bibliography CSL_BIBLIOGRAPHY </w:instrText>
      </w:r>
      <w:r w:rsidRPr="001E2A1D">
        <w:rPr>
          <w:rFonts w:asciiTheme="majorHAnsi" w:hAnsiTheme="majorHAnsi"/>
          <w:b/>
        </w:rPr>
        <w:fldChar w:fldCharType="separate"/>
      </w:r>
      <w:r w:rsidR="006F6A6B" w:rsidRPr="001E2A1D">
        <w:rPr>
          <w:rFonts w:ascii="Cambria" w:hAnsi="Cambria"/>
        </w:rPr>
        <w:t xml:space="preserve">Bayly, C.I., Cieplak, P., Cornell, W.D., and Kollman, P.A. (1993). A well-behaved electrostatic potential based method using charge restraints for deriving atomic charges: The RESP model. </w:t>
      </w:r>
      <w:r w:rsidR="006F6A6B" w:rsidRPr="001E2A1D">
        <w:rPr>
          <w:rFonts w:ascii="Cambria" w:hAnsi="Cambria"/>
          <w:i/>
          <w:iCs/>
        </w:rPr>
        <w:t>J. Phys. Chem.</w:t>
      </w:r>
      <w:r w:rsidR="006F6A6B" w:rsidRPr="001E2A1D">
        <w:rPr>
          <w:rFonts w:ascii="Cambria" w:hAnsi="Cambria"/>
        </w:rPr>
        <w:t xml:space="preserve"> 97, 10269–80.</w:t>
      </w:r>
    </w:p>
    <w:p w14:paraId="2EFFF25B"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Becke, A.D. (1993). Density-functional thermochemistry. III. The role of exact exchange. </w:t>
      </w:r>
      <w:r w:rsidRPr="001E2A1D">
        <w:rPr>
          <w:rFonts w:ascii="Cambria" w:hAnsi="Cambria"/>
          <w:i/>
          <w:iCs/>
        </w:rPr>
        <w:t>J. Chem. Phys.</w:t>
      </w:r>
      <w:r w:rsidRPr="001E2A1D">
        <w:rPr>
          <w:rFonts w:ascii="Cambria" w:hAnsi="Cambria"/>
        </w:rPr>
        <w:t xml:space="preserve"> 98, 5648–52.</w:t>
      </w:r>
    </w:p>
    <w:p w14:paraId="2C0162C7"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Brünger, A., Brooks III, C.L., and Karplus, M. (1984). Stochastic boundary conditions for molecular dynamics simulations of ST2 water. </w:t>
      </w:r>
      <w:r w:rsidRPr="001E2A1D">
        <w:rPr>
          <w:rFonts w:ascii="Cambria" w:hAnsi="Cambria"/>
          <w:i/>
          <w:iCs/>
        </w:rPr>
        <w:t>Chem. Phys. Lett.</w:t>
      </w:r>
      <w:r w:rsidRPr="001E2A1D">
        <w:rPr>
          <w:rFonts w:ascii="Cambria" w:hAnsi="Cambria"/>
        </w:rPr>
        <w:t xml:space="preserve"> 105, 495–500.</w:t>
      </w:r>
    </w:p>
    <w:p w14:paraId="4C373E57"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Cornell, W.D., Cieplak, P., Bayly, C.I., Gould, I.R., Merz, K.M., Ferguson, D.M., Spellmeyer, D.C., Fox, T., Caldwell, J.W., and Kollman, P.A. (1995). A second generation force field for the simulation of proteins, nucleic acids, and organic molecules. </w:t>
      </w:r>
      <w:r w:rsidRPr="001E2A1D">
        <w:rPr>
          <w:rFonts w:ascii="Cambria" w:hAnsi="Cambria"/>
          <w:i/>
          <w:iCs/>
        </w:rPr>
        <w:t>J. Am. Chem. Soc.</w:t>
      </w:r>
      <w:r w:rsidRPr="001E2A1D">
        <w:rPr>
          <w:rFonts w:ascii="Cambria" w:hAnsi="Cambria"/>
        </w:rPr>
        <w:t xml:space="preserve"> 117, 5179–97.</w:t>
      </w:r>
    </w:p>
    <w:p w14:paraId="7E5F6578"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Cronkite-Ratcliff, B., and Pande, V. (2013). MSMExplorer: visualizing Markov state models for biomolecule folding simulations. </w:t>
      </w:r>
      <w:r w:rsidRPr="001E2A1D">
        <w:rPr>
          <w:rFonts w:ascii="Cambria" w:hAnsi="Cambria"/>
          <w:i/>
          <w:iCs/>
        </w:rPr>
        <w:t>Bioinformatics</w:t>
      </w:r>
      <w:r w:rsidRPr="001E2A1D">
        <w:rPr>
          <w:rFonts w:ascii="Cambria" w:hAnsi="Cambria"/>
        </w:rPr>
        <w:t xml:space="preserve"> 29, 950–52.</w:t>
      </w:r>
    </w:p>
    <w:p w14:paraId="2CC4B2F1"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Darden, T., York, D., and Pedersen, L. (1993). Particle Mesh Ewald: an N·log(N) method for ewald sums in large systems. </w:t>
      </w:r>
      <w:r w:rsidRPr="001E2A1D">
        <w:rPr>
          <w:rFonts w:ascii="Cambria" w:hAnsi="Cambria"/>
          <w:i/>
          <w:iCs/>
        </w:rPr>
        <w:t>J. Chem. Phys.</w:t>
      </w:r>
      <w:r w:rsidRPr="001E2A1D">
        <w:rPr>
          <w:rFonts w:ascii="Cambria" w:hAnsi="Cambria"/>
        </w:rPr>
        <w:t xml:space="preserve"> 98, 10089.</w:t>
      </w:r>
    </w:p>
    <w:p w14:paraId="11119541"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Dolg, M., Wedig, U., Stoll, H., and Preuss, H. (1987). Energy-adjusted ab initio pseudopotentials for the first row transition elements. </w:t>
      </w:r>
      <w:r w:rsidRPr="001E2A1D">
        <w:rPr>
          <w:rFonts w:ascii="Cambria" w:hAnsi="Cambria"/>
          <w:i/>
          <w:iCs/>
        </w:rPr>
        <w:t>J. Chem. Phys.</w:t>
      </w:r>
      <w:r w:rsidRPr="001E2A1D">
        <w:rPr>
          <w:rFonts w:ascii="Cambria" w:hAnsi="Cambria"/>
        </w:rPr>
        <w:t xml:space="preserve"> 86, 866–72.</w:t>
      </w:r>
    </w:p>
    <w:p w14:paraId="6A979FF3"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Duane, S., Kennedy, A.D., Pendleton, B.J., and Roweth, D. (1987). Hybrid monte carlo. </w:t>
      </w:r>
      <w:r w:rsidRPr="001E2A1D">
        <w:rPr>
          <w:rFonts w:ascii="Cambria" w:hAnsi="Cambria"/>
          <w:i/>
          <w:iCs/>
        </w:rPr>
        <w:t>Phys. Lett. B</w:t>
      </w:r>
      <w:r w:rsidRPr="001E2A1D">
        <w:rPr>
          <w:rFonts w:ascii="Cambria" w:hAnsi="Cambria"/>
        </w:rPr>
        <w:t xml:space="preserve"> 195, 216–22.</w:t>
      </w:r>
    </w:p>
    <w:p w14:paraId="55E0161A"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Dunbrack Jr, R.L. (2002). Rotamer libraries in the 21st century. </w:t>
      </w:r>
      <w:r w:rsidRPr="001E2A1D">
        <w:rPr>
          <w:rFonts w:ascii="Cambria" w:hAnsi="Cambria"/>
          <w:i/>
          <w:iCs/>
        </w:rPr>
        <w:t>Curr. Opin. Struct. Biol.</w:t>
      </w:r>
      <w:r w:rsidRPr="001E2A1D">
        <w:rPr>
          <w:rFonts w:ascii="Cambria" w:hAnsi="Cambria"/>
        </w:rPr>
        <w:t xml:space="preserve"> 12, 431–40.</w:t>
      </w:r>
    </w:p>
    <w:p w14:paraId="10BCC1B5"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Eastman, P., and Pande, V. (2010). OpenMM: a hardware-independent framework for molecular simulations. </w:t>
      </w:r>
      <w:r w:rsidRPr="001E2A1D">
        <w:rPr>
          <w:rFonts w:ascii="Cambria" w:hAnsi="Cambria"/>
          <w:i/>
          <w:iCs/>
        </w:rPr>
        <w:t>Comput. Sci. Eng.</w:t>
      </w:r>
      <w:r w:rsidRPr="001E2A1D">
        <w:rPr>
          <w:rFonts w:ascii="Cambria" w:hAnsi="Cambria"/>
        </w:rPr>
        <w:t xml:space="preserve"> 12, 34–39.</w:t>
      </w:r>
    </w:p>
    <w:p w14:paraId="34600390"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Eldridge, M.D., Murray, C.W., Auton, T.R., Paolini, G. V, and Mee, R.P. (1997). Empirical scoring functions: I. The development of a fast empirical scoring function to estimate the binding affinity of ligands in receptor complexes. </w:t>
      </w:r>
      <w:r w:rsidRPr="001E2A1D">
        <w:rPr>
          <w:rFonts w:ascii="Cambria" w:hAnsi="Cambria"/>
          <w:i/>
          <w:iCs/>
        </w:rPr>
        <w:t>J. Comput. Aided. Mol. Des.</w:t>
      </w:r>
      <w:r w:rsidRPr="001E2A1D">
        <w:rPr>
          <w:rFonts w:ascii="Cambria" w:hAnsi="Cambria"/>
        </w:rPr>
        <w:t xml:space="preserve"> 11, 425–45.</w:t>
      </w:r>
    </w:p>
    <w:p w14:paraId="627577BD"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Frisch, M.J., Trucks, G.W., Schlegel, H.B., Scuseria, G.E., Robb, M.A., Cheeseman, J.R., Scalmani, G., and Barone, V. (2009). Gaussian 09, Revision D.01. </w:t>
      </w:r>
      <w:r w:rsidRPr="001E2A1D">
        <w:rPr>
          <w:rFonts w:ascii="Cambria" w:hAnsi="Cambria"/>
          <w:i/>
          <w:iCs/>
        </w:rPr>
        <w:t>Gaussian 09, Revis. D.01</w:t>
      </w:r>
      <w:r w:rsidRPr="001E2A1D">
        <w:rPr>
          <w:rFonts w:ascii="Cambria" w:hAnsi="Cambria"/>
        </w:rPr>
        <w:t>.</w:t>
      </w:r>
    </w:p>
    <w:p w14:paraId="4F7F71FD"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Grimme, S., Antony, J., Ehrlich, S., and Krieg, H. (2010). A consistent and accurate ab initio parametrization of density functional dispersion correction (DFT-D) for the 94 elements H-Pu. </w:t>
      </w:r>
      <w:r w:rsidRPr="001E2A1D">
        <w:rPr>
          <w:rFonts w:ascii="Cambria" w:hAnsi="Cambria"/>
          <w:i/>
          <w:iCs/>
        </w:rPr>
        <w:t>J. Chem. Phys.</w:t>
      </w:r>
      <w:r w:rsidRPr="001E2A1D">
        <w:rPr>
          <w:rFonts w:ascii="Cambria" w:hAnsi="Cambria"/>
        </w:rPr>
        <w:t xml:space="preserve"> 132, 154104.</w:t>
      </w:r>
    </w:p>
    <w:p w14:paraId="6744D910"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Harrigan, M.P., Sultan, M.M., Hernández, C.X., Husic, B.E., Eastman, P., Schwantes, C.R., Beauchamp, K.A., McGibbon, R.T., and Pande, V.S. (2017). MSMBuilder: statistical models for biomolecular dynamics. </w:t>
      </w:r>
      <w:r w:rsidRPr="001E2A1D">
        <w:rPr>
          <w:rFonts w:ascii="Cambria" w:hAnsi="Cambria"/>
          <w:i/>
          <w:iCs/>
        </w:rPr>
        <w:t>Biophys. J.</w:t>
      </w:r>
      <w:r w:rsidRPr="001E2A1D">
        <w:rPr>
          <w:rFonts w:ascii="Cambria" w:hAnsi="Cambria"/>
        </w:rPr>
        <w:t xml:space="preserve"> 112, 10–15.</w:t>
      </w:r>
    </w:p>
    <w:p w14:paraId="57483911"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Hunter, J.D. (2007). Matplotlib: A 2D graphics environment. </w:t>
      </w:r>
      <w:r w:rsidRPr="001E2A1D">
        <w:rPr>
          <w:rFonts w:ascii="Cambria" w:hAnsi="Cambria"/>
          <w:i/>
          <w:iCs/>
        </w:rPr>
        <w:t>Comput. Sci. Eng.</w:t>
      </w:r>
      <w:r w:rsidRPr="001E2A1D">
        <w:rPr>
          <w:rFonts w:ascii="Cambria" w:hAnsi="Cambria"/>
        </w:rPr>
        <w:t xml:space="preserve"> 9, 90–95.</w:t>
      </w:r>
    </w:p>
    <w:p w14:paraId="08C21D7E"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Jones, E., Oliphant, T., Peterson, P., and others. (2007). SciPy: open source scientific tools for python. </w:t>
      </w:r>
      <w:r w:rsidRPr="001E2A1D">
        <w:rPr>
          <w:rFonts w:ascii="Cambria" w:hAnsi="Cambria"/>
          <w:i/>
          <w:iCs/>
        </w:rPr>
        <w:t>Comput. Sci. Eng.</w:t>
      </w:r>
    </w:p>
    <w:p w14:paraId="19F215DC"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Jorgensen, W.L., Chandrasekhar, J., Madura, J.D., Impey, R.W., and Klein, M.L. (1983). Comparison of simple potential functions for simulating liquid water. </w:t>
      </w:r>
      <w:r w:rsidRPr="001E2A1D">
        <w:rPr>
          <w:rFonts w:ascii="Cambria" w:hAnsi="Cambria"/>
          <w:i/>
          <w:iCs/>
        </w:rPr>
        <w:t>J. Chem. Phys.</w:t>
      </w:r>
      <w:r w:rsidRPr="001E2A1D">
        <w:rPr>
          <w:rFonts w:ascii="Cambria" w:hAnsi="Cambria"/>
        </w:rPr>
        <w:t xml:space="preserve"> 79, 926–35.</w:t>
      </w:r>
    </w:p>
    <w:p w14:paraId="773D5D67"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Marenich, A. V, Cramer, C.J., and Truhlar, D.G. (2009). Universal solvation model based on solute electron density and on a continuum model of the solvent defined by the bulk </w:t>
      </w:r>
      <w:r w:rsidRPr="001E2A1D">
        <w:rPr>
          <w:rFonts w:ascii="Cambria" w:hAnsi="Cambria"/>
        </w:rPr>
        <w:lastRenderedPageBreak/>
        <w:t xml:space="preserve">dielectric constant and atomic surface tensions. </w:t>
      </w:r>
      <w:r w:rsidRPr="001E2A1D">
        <w:rPr>
          <w:rFonts w:ascii="Cambria" w:hAnsi="Cambria"/>
          <w:i/>
          <w:iCs/>
        </w:rPr>
        <w:t>J. Phys. Chem. B</w:t>
      </w:r>
      <w:r w:rsidRPr="001E2A1D">
        <w:rPr>
          <w:rFonts w:ascii="Cambria" w:hAnsi="Cambria"/>
        </w:rPr>
        <w:t xml:space="preserve"> 113, 6378–96.</w:t>
      </w:r>
    </w:p>
    <w:p w14:paraId="08353960"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McGibbon, R.T., Beauchamp, K.A., Harrigan, M.P., Klein, C., Swails, J.M., Hernández, C.X., Schwantes, C.R., Wang, L.P., Lane, T.J., and Pande, V.S. (2015). MDTraj: a modern open library for the analysis of molecular dynamics trajectories. </w:t>
      </w:r>
      <w:r w:rsidRPr="001E2A1D">
        <w:rPr>
          <w:rFonts w:ascii="Cambria" w:hAnsi="Cambria"/>
          <w:i/>
          <w:iCs/>
        </w:rPr>
        <w:t>Biophys. J.</w:t>
      </w:r>
      <w:r w:rsidRPr="001E2A1D">
        <w:rPr>
          <w:rFonts w:ascii="Cambria" w:hAnsi="Cambria"/>
        </w:rPr>
        <w:t xml:space="preserve"> 109, 1528–32.</w:t>
      </w:r>
    </w:p>
    <w:p w14:paraId="7CE6BC36"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Nguyen, H., Roe, D.R., Swails, J., and Case, D.A. (2016). PYTRAJ v1.0.0.dev1: Interactive data analysis for molecular dynamics simulations, January.</w:t>
      </w:r>
    </w:p>
    <w:p w14:paraId="3ACF677E"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Nguyen, H., Swails, J., Roe, D.R., and Cody. (2017). Amber-MD/pytraj: v2.0.0, March.</w:t>
      </w:r>
    </w:p>
    <w:p w14:paraId="41C21AA0" w14:textId="77777777" w:rsidR="006F6A6B" w:rsidRPr="001E2A1D" w:rsidRDefault="006F6A6B" w:rsidP="006F6A6B">
      <w:pPr>
        <w:widowControl w:val="0"/>
        <w:autoSpaceDE w:val="0"/>
        <w:autoSpaceDN w:val="0"/>
        <w:adjustRightInd w:val="0"/>
        <w:ind w:left="480" w:hanging="480"/>
        <w:rPr>
          <w:rFonts w:ascii="Cambria" w:hAnsi="Cambria"/>
        </w:rPr>
      </w:pPr>
      <w:r w:rsidRPr="00EC0A46">
        <w:rPr>
          <w:rFonts w:ascii="Cambria" w:hAnsi="Cambria"/>
          <w:lang w:val="es-ES"/>
        </w:rPr>
        <w:t xml:space="preserve">Pedregal, J.R., Alonso-cotchico, L., Velasco-carneros, L., and Mare, J. (2018). </w:t>
      </w:r>
      <w:r w:rsidRPr="001E2A1D">
        <w:rPr>
          <w:rFonts w:ascii="Cambria" w:hAnsi="Cambria"/>
        </w:rPr>
        <w:t xml:space="preserve">OMMProtocol: a command line application to launch Molecular Dynamics simulations with OpenMM. In </w:t>
      </w:r>
      <w:r w:rsidRPr="001E2A1D">
        <w:rPr>
          <w:rFonts w:ascii="Cambria" w:hAnsi="Cambria"/>
          <w:i/>
          <w:iCs/>
        </w:rPr>
        <w:t>ChemRxiv</w:t>
      </w:r>
      <w:r w:rsidRPr="001E2A1D">
        <w:rPr>
          <w:rFonts w:ascii="Cambria" w:hAnsi="Cambria"/>
        </w:rPr>
        <w:t>.</w:t>
      </w:r>
    </w:p>
    <w:p w14:paraId="4E843B66"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Pedregosa, F., Varoquaux, G., Gramfort, A., Michel, V., Thirion, B., Grisel, O., Blondel, M., et al. (2011). Scikit-learn: Machine Learning in Python. </w:t>
      </w:r>
      <w:r w:rsidRPr="001E2A1D">
        <w:rPr>
          <w:rFonts w:ascii="Cambria" w:hAnsi="Cambria"/>
          <w:i/>
          <w:iCs/>
        </w:rPr>
        <w:t>J. Mach. Learn. Res.</w:t>
      </w:r>
      <w:r w:rsidRPr="001E2A1D">
        <w:rPr>
          <w:rFonts w:ascii="Cambria" w:hAnsi="Cambria"/>
        </w:rPr>
        <w:t xml:space="preserve"> 12, 2825–30.</w:t>
      </w:r>
    </w:p>
    <w:p w14:paraId="41E798A3"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Petersson, G.A., and Al-Laham, M.A. (1991). A complete basis set model chemistry. II. Open-shell systems and the total energies of the first-row atoms. </w:t>
      </w:r>
      <w:r w:rsidRPr="001E2A1D">
        <w:rPr>
          <w:rFonts w:ascii="Cambria" w:hAnsi="Cambria"/>
          <w:i/>
          <w:iCs/>
        </w:rPr>
        <w:t>J. Chem. Phys.</w:t>
      </w:r>
      <w:r w:rsidRPr="001E2A1D">
        <w:rPr>
          <w:rFonts w:ascii="Cambria" w:hAnsi="Cambria"/>
        </w:rPr>
        <w:t xml:space="preserve"> 94, 6081–90.</w:t>
      </w:r>
    </w:p>
    <w:p w14:paraId="6CD78439"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Petersson, G.A., Bennett, A., Tensfeldt, T.G., Al-Laham, M.A., Shirley, W.A., and Mantzaris, J. (1988). A complete basis set model chemistry. I. The total energies of closed-shell atoms and hydrides of the first-row elements. </w:t>
      </w:r>
      <w:r w:rsidRPr="001E2A1D">
        <w:rPr>
          <w:rFonts w:ascii="Cambria" w:hAnsi="Cambria"/>
          <w:i/>
          <w:iCs/>
        </w:rPr>
        <w:t>J. Chem. Phys.</w:t>
      </w:r>
      <w:r w:rsidRPr="001E2A1D">
        <w:rPr>
          <w:rFonts w:ascii="Cambria" w:hAnsi="Cambria"/>
        </w:rPr>
        <w:t xml:space="preserve"> 89, 2193–2218.</w:t>
      </w:r>
    </w:p>
    <w:p w14:paraId="22F864D6"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Pettersen, E.F., Goddard, T.D., Huang, C.C., Couch, G.S., Greenblatt, D.M., Meng, E.C., and Ferrin, T.E. (2004). UCSF Chimera - A visualization system for exploratory research and analysis. </w:t>
      </w:r>
      <w:r w:rsidRPr="001E2A1D">
        <w:rPr>
          <w:rFonts w:ascii="Cambria" w:hAnsi="Cambria"/>
          <w:i/>
          <w:iCs/>
        </w:rPr>
        <w:t>J. Comput. Chem.</w:t>
      </w:r>
      <w:r w:rsidRPr="001E2A1D">
        <w:rPr>
          <w:rFonts w:ascii="Cambria" w:hAnsi="Cambria"/>
        </w:rPr>
        <w:t xml:space="preserve"> 25, 1605–12.</w:t>
      </w:r>
    </w:p>
    <w:p w14:paraId="2E412F66"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Ragan-Kelley, M., Perez, F., Granger, B., Kluyver, T., Ivanov, P., Frederic, J., and Bussonnier, M. (2014). The Jupyter/IPython architecture: a unified view of computational research, from interactive exploration to communication and publication. </w:t>
      </w:r>
      <w:r w:rsidRPr="001E2A1D">
        <w:rPr>
          <w:rFonts w:ascii="Cambria" w:hAnsi="Cambria"/>
          <w:i/>
          <w:iCs/>
        </w:rPr>
        <w:t>Am. Geophys. Union, Fall Meet. 2014, Abstr. Id. H44D-07</w:t>
      </w:r>
      <w:r w:rsidRPr="001E2A1D">
        <w:rPr>
          <w:rFonts w:ascii="Cambria" w:hAnsi="Cambria"/>
        </w:rPr>
        <w:t>. http://adsabs.harvard.edu/abs/2014AGUFM.H44D..07R.</w:t>
      </w:r>
    </w:p>
    <w:p w14:paraId="15C424BD"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Rassolov, V.A., Ratner, M.A., Pople, J.A., Redfern, P.C., and Curtiss, L.A. (2001). 6-31G* basis set for third-row atoms. </w:t>
      </w:r>
      <w:r w:rsidRPr="001E2A1D">
        <w:rPr>
          <w:rFonts w:ascii="Cambria" w:hAnsi="Cambria"/>
          <w:i/>
          <w:iCs/>
        </w:rPr>
        <w:t>J. Comput. Chem.</w:t>
      </w:r>
      <w:r w:rsidRPr="001E2A1D">
        <w:rPr>
          <w:rFonts w:ascii="Cambria" w:hAnsi="Cambria"/>
        </w:rPr>
        <w:t xml:space="preserve"> 22, 976–84.</w:t>
      </w:r>
    </w:p>
    <w:p w14:paraId="20C2217B"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Ryckaert, J.-P., Ciccotti, G., and Berendsen, H.J.C. (1977). Numerical integration of the cartesian equations of motion of a system with constraints: molecular dynamics of n-alkanes. </w:t>
      </w:r>
      <w:r w:rsidRPr="001E2A1D">
        <w:rPr>
          <w:rFonts w:ascii="Cambria" w:hAnsi="Cambria"/>
          <w:i/>
          <w:iCs/>
        </w:rPr>
        <w:t>J. Comput. Phys.</w:t>
      </w:r>
      <w:r w:rsidRPr="001E2A1D">
        <w:rPr>
          <w:rFonts w:ascii="Cambria" w:hAnsi="Cambria"/>
        </w:rPr>
        <w:t xml:space="preserve"> 23, 327–41.</w:t>
      </w:r>
    </w:p>
    <w:p w14:paraId="528B35B6"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Schneider, T., and Stoll, E. (1978). Molecular-dynamics study of a three-dimensional one-component model for distortive phase transitions. </w:t>
      </w:r>
      <w:r w:rsidRPr="001E2A1D">
        <w:rPr>
          <w:rFonts w:ascii="Cambria" w:hAnsi="Cambria"/>
          <w:i/>
          <w:iCs/>
        </w:rPr>
        <w:t>Phys. Rev. B</w:t>
      </w:r>
      <w:r w:rsidRPr="001E2A1D">
        <w:rPr>
          <w:rFonts w:ascii="Cambria" w:hAnsi="Cambria"/>
        </w:rPr>
        <w:t xml:space="preserve"> 17, 1302.</w:t>
      </w:r>
    </w:p>
    <w:p w14:paraId="419872A4"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Seminario, J.M. (1996). Calculation of intramolecular force fields from second-derivative tensors. </w:t>
      </w:r>
      <w:r w:rsidRPr="001E2A1D">
        <w:rPr>
          <w:rFonts w:ascii="Cambria" w:hAnsi="Cambria"/>
          <w:i/>
          <w:iCs/>
        </w:rPr>
        <w:t>Int. J. Quantum Chem.</w:t>
      </w:r>
      <w:r w:rsidRPr="001E2A1D">
        <w:rPr>
          <w:rFonts w:ascii="Cambria" w:hAnsi="Cambria"/>
        </w:rPr>
        <w:t xml:space="preserve"> 60, 1271–77.</w:t>
      </w:r>
    </w:p>
    <w:p w14:paraId="1072CA28"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Stephens, P.J., Devlin, F.J., Chabalowski, C.F., and Frisch, M.J. (1994). Ab initio calculation of vibrational absorption and circular dichroism spectra using density functional force fields. </w:t>
      </w:r>
      <w:r w:rsidRPr="001E2A1D">
        <w:rPr>
          <w:rFonts w:ascii="Cambria" w:hAnsi="Cambria"/>
          <w:i/>
          <w:iCs/>
        </w:rPr>
        <w:t>J. Phys. Chem.</w:t>
      </w:r>
      <w:r w:rsidRPr="001E2A1D">
        <w:rPr>
          <w:rFonts w:ascii="Cambria" w:hAnsi="Cambria"/>
        </w:rPr>
        <w:t xml:space="preserve"> 98, 11623–27.</w:t>
      </w:r>
    </w:p>
    <w:p w14:paraId="1EC22C70"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Verdonk, M.L., Cole, J.C., Hartshorn, M.J., Murray, C.W., and Taylor, R.D. (2003). Improved protein-ligand docking using GOLD. </w:t>
      </w:r>
      <w:r w:rsidRPr="001E2A1D">
        <w:rPr>
          <w:rFonts w:ascii="Cambria" w:hAnsi="Cambria"/>
          <w:i/>
          <w:iCs/>
        </w:rPr>
        <w:t>Proteins</w:t>
      </w:r>
      <w:r w:rsidRPr="001E2A1D">
        <w:rPr>
          <w:rFonts w:ascii="Cambria" w:hAnsi="Cambria"/>
        </w:rPr>
        <w:t xml:space="preserve"> 52, 609–23.</w:t>
      </w:r>
    </w:p>
    <w:p w14:paraId="1A2F783E"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Walt, S. Van Der, Colbert, S.C., and Varoquaux, G. (2011). The NumPy array: a structure for efficient numerical computation. </w:t>
      </w:r>
      <w:r w:rsidRPr="001E2A1D">
        <w:rPr>
          <w:rFonts w:ascii="Cambria" w:hAnsi="Cambria"/>
          <w:i/>
          <w:iCs/>
        </w:rPr>
        <w:t>Comput. Sci. Eng.</w:t>
      </w:r>
      <w:r w:rsidRPr="001E2A1D">
        <w:rPr>
          <w:rFonts w:ascii="Cambria" w:hAnsi="Cambria"/>
        </w:rPr>
        <w:t xml:space="preserve"> 13, 22–30.</w:t>
      </w:r>
    </w:p>
    <w:p w14:paraId="2A2494CD"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Wang, J., Wang, W., Kollman, P.A., and Case, D.A. (2006). Automatic atom type and bond type perception in molecular mechanical calculations. </w:t>
      </w:r>
      <w:r w:rsidRPr="001E2A1D">
        <w:rPr>
          <w:rFonts w:ascii="Cambria" w:hAnsi="Cambria"/>
          <w:i/>
          <w:iCs/>
        </w:rPr>
        <w:t>J. Mol. Graph. Model.</w:t>
      </w:r>
      <w:r w:rsidRPr="001E2A1D">
        <w:rPr>
          <w:rFonts w:ascii="Cambria" w:hAnsi="Cambria"/>
        </w:rPr>
        <w:t xml:space="preserve"> 25, 247–60.</w:t>
      </w:r>
    </w:p>
    <w:p w14:paraId="586D51BD" w14:textId="77777777" w:rsidR="006F6A6B" w:rsidRPr="001E2A1D" w:rsidRDefault="006F6A6B" w:rsidP="006F6A6B">
      <w:pPr>
        <w:widowControl w:val="0"/>
        <w:autoSpaceDE w:val="0"/>
        <w:autoSpaceDN w:val="0"/>
        <w:adjustRightInd w:val="0"/>
        <w:ind w:left="480" w:hanging="480"/>
        <w:rPr>
          <w:rFonts w:ascii="Cambria" w:hAnsi="Cambria"/>
        </w:rPr>
      </w:pPr>
      <w:r w:rsidRPr="001E2A1D">
        <w:rPr>
          <w:rFonts w:ascii="Cambria" w:hAnsi="Cambria"/>
        </w:rPr>
        <w:t xml:space="preserve">Wang, J., Wolf, R.M., Caldwell, J.W., Kollman, P.A., and Case, D.A. (2004). Development and testing of a general Amber force field. </w:t>
      </w:r>
      <w:r w:rsidRPr="001E2A1D">
        <w:rPr>
          <w:rFonts w:ascii="Cambria" w:hAnsi="Cambria"/>
          <w:i/>
          <w:iCs/>
        </w:rPr>
        <w:t>J. Comput. Chem.</w:t>
      </w:r>
      <w:r w:rsidRPr="001E2A1D">
        <w:rPr>
          <w:rFonts w:ascii="Cambria" w:hAnsi="Cambria"/>
        </w:rPr>
        <w:t xml:space="preserve"> 25, 1157–74.</w:t>
      </w:r>
    </w:p>
    <w:p w14:paraId="7A0CA7CA" w14:textId="3A5E2071" w:rsidR="000D6D99" w:rsidRPr="001E2A1D" w:rsidRDefault="000D6D99" w:rsidP="00A45D1C">
      <w:pPr>
        <w:spacing w:line="276" w:lineRule="auto"/>
        <w:jc w:val="both"/>
        <w:rPr>
          <w:rFonts w:asciiTheme="majorHAnsi" w:hAnsiTheme="majorHAnsi"/>
          <w:b/>
        </w:rPr>
      </w:pPr>
      <w:r w:rsidRPr="001E2A1D">
        <w:rPr>
          <w:rFonts w:asciiTheme="majorHAnsi" w:hAnsiTheme="majorHAnsi"/>
          <w:b/>
        </w:rPr>
        <w:fldChar w:fldCharType="end"/>
      </w:r>
    </w:p>
    <w:sectPr w:rsidR="000D6D99" w:rsidRPr="001E2A1D" w:rsidSect="00E30C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9F2DE" w14:textId="77777777" w:rsidR="00265A4F" w:rsidRDefault="00265A4F" w:rsidP="00BB28DD">
      <w:r>
        <w:separator/>
      </w:r>
    </w:p>
  </w:endnote>
  <w:endnote w:type="continuationSeparator" w:id="0">
    <w:p w14:paraId="3C38360C" w14:textId="77777777" w:rsidR="00265A4F" w:rsidRDefault="00265A4F" w:rsidP="00BB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447444"/>
      <w:docPartObj>
        <w:docPartGallery w:val="Page Numbers (Bottom of Page)"/>
        <w:docPartUnique/>
      </w:docPartObj>
    </w:sdtPr>
    <w:sdtEndPr/>
    <w:sdtContent>
      <w:p w14:paraId="0D85B2E1" w14:textId="2AB6FF25" w:rsidR="005B6006" w:rsidRDefault="005B6006" w:rsidP="00BB28DD">
        <w:pPr>
          <w:pStyle w:val="Footer"/>
          <w:jc w:val="center"/>
        </w:pPr>
        <w:r>
          <w:t>S</w:t>
        </w:r>
        <w:r>
          <w:fldChar w:fldCharType="begin"/>
        </w:r>
        <w:r>
          <w:instrText>PAGE   \* MERGEFORMAT</w:instrText>
        </w:r>
        <w:r>
          <w:fldChar w:fldCharType="separate"/>
        </w:r>
        <w:r w:rsidR="00EC0A46" w:rsidRPr="00EC0A46">
          <w:rPr>
            <w:noProof/>
            <w:lang w:val="es-ES"/>
          </w:rPr>
          <w:t>1</w:t>
        </w:r>
        <w:r>
          <w:fldChar w:fldCharType="end"/>
        </w:r>
      </w:p>
    </w:sdtContent>
  </w:sdt>
  <w:p w14:paraId="418F963B" w14:textId="77777777" w:rsidR="005B6006" w:rsidRDefault="005B6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B61CB" w14:textId="77777777" w:rsidR="00265A4F" w:rsidRDefault="00265A4F" w:rsidP="00BB28DD">
      <w:r>
        <w:separator/>
      </w:r>
    </w:p>
  </w:footnote>
  <w:footnote w:type="continuationSeparator" w:id="0">
    <w:p w14:paraId="27A81F92" w14:textId="77777777" w:rsidR="00265A4F" w:rsidRDefault="00265A4F" w:rsidP="00BB28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47C2D"/>
    <w:multiLevelType w:val="hybridMultilevel"/>
    <w:tmpl w:val="131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C80"/>
    <w:rsid w:val="0000440C"/>
    <w:rsid w:val="00044D1B"/>
    <w:rsid w:val="00050249"/>
    <w:rsid w:val="00053258"/>
    <w:rsid w:val="00053BCE"/>
    <w:rsid w:val="00070649"/>
    <w:rsid w:val="0007104E"/>
    <w:rsid w:val="00072B7D"/>
    <w:rsid w:val="00085438"/>
    <w:rsid w:val="000974C1"/>
    <w:rsid w:val="000A498A"/>
    <w:rsid w:val="000C16C0"/>
    <w:rsid w:val="000D0DA2"/>
    <w:rsid w:val="000D4C56"/>
    <w:rsid w:val="000D5BB0"/>
    <w:rsid w:val="000D657F"/>
    <w:rsid w:val="000D6D99"/>
    <w:rsid w:val="000F02B8"/>
    <w:rsid w:val="000F275C"/>
    <w:rsid w:val="0010049C"/>
    <w:rsid w:val="00103793"/>
    <w:rsid w:val="001332DB"/>
    <w:rsid w:val="00133EDE"/>
    <w:rsid w:val="00140D2B"/>
    <w:rsid w:val="00155010"/>
    <w:rsid w:val="0016071B"/>
    <w:rsid w:val="00180259"/>
    <w:rsid w:val="00182D52"/>
    <w:rsid w:val="0018603D"/>
    <w:rsid w:val="001A65C1"/>
    <w:rsid w:val="001B09B3"/>
    <w:rsid w:val="001B38A4"/>
    <w:rsid w:val="001B5234"/>
    <w:rsid w:val="001B7481"/>
    <w:rsid w:val="001D4BD4"/>
    <w:rsid w:val="001D55FE"/>
    <w:rsid w:val="001E2A1D"/>
    <w:rsid w:val="001E3C32"/>
    <w:rsid w:val="001E5FF1"/>
    <w:rsid w:val="001F319A"/>
    <w:rsid w:val="00212BAE"/>
    <w:rsid w:val="00212C61"/>
    <w:rsid w:val="002135E0"/>
    <w:rsid w:val="00213AE9"/>
    <w:rsid w:val="00224F98"/>
    <w:rsid w:val="002304CA"/>
    <w:rsid w:val="002341AC"/>
    <w:rsid w:val="00234566"/>
    <w:rsid w:val="00237026"/>
    <w:rsid w:val="00237B6C"/>
    <w:rsid w:val="002547A1"/>
    <w:rsid w:val="00260DA9"/>
    <w:rsid w:val="00265A4F"/>
    <w:rsid w:val="00270579"/>
    <w:rsid w:val="002729A6"/>
    <w:rsid w:val="00287AF2"/>
    <w:rsid w:val="002A03D5"/>
    <w:rsid w:val="002C6CCC"/>
    <w:rsid w:val="002D0286"/>
    <w:rsid w:val="002D119C"/>
    <w:rsid w:val="002E3B1F"/>
    <w:rsid w:val="002F243C"/>
    <w:rsid w:val="00310BCD"/>
    <w:rsid w:val="003125D0"/>
    <w:rsid w:val="00317CC0"/>
    <w:rsid w:val="00332EBB"/>
    <w:rsid w:val="003347F6"/>
    <w:rsid w:val="003423BD"/>
    <w:rsid w:val="00351910"/>
    <w:rsid w:val="00356F9D"/>
    <w:rsid w:val="003627E2"/>
    <w:rsid w:val="00362A35"/>
    <w:rsid w:val="00381E46"/>
    <w:rsid w:val="0038462D"/>
    <w:rsid w:val="003930D3"/>
    <w:rsid w:val="003A1E09"/>
    <w:rsid w:val="003A303C"/>
    <w:rsid w:val="003B2978"/>
    <w:rsid w:val="003B434E"/>
    <w:rsid w:val="003B6CD3"/>
    <w:rsid w:val="003C4B2A"/>
    <w:rsid w:val="003C72A6"/>
    <w:rsid w:val="003D6BE9"/>
    <w:rsid w:val="003E2BF7"/>
    <w:rsid w:val="00413F39"/>
    <w:rsid w:val="004166F6"/>
    <w:rsid w:val="00421BA2"/>
    <w:rsid w:val="00426FCD"/>
    <w:rsid w:val="00430934"/>
    <w:rsid w:val="00431961"/>
    <w:rsid w:val="00432002"/>
    <w:rsid w:val="00434733"/>
    <w:rsid w:val="004445AE"/>
    <w:rsid w:val="00445CEB"/>
    <w:rsid w:val="004621C9"/>
    <w:rsid w:val="00472A58"/>
    <w:rsid w:val="00474ECC"/>
    <w:rsid w:val="00476845"/>
    <w:rsid w:val="004778BA"/>
    <w:rsid w:val="00480E1C"/>
    <w:rsid w:val="004A0916"/>
    <w:rsid w:val="004B0B98"/>
    <w:rsid w:val="004B213A"/>
    <w:rsid w:val="004B719B"/>
    <w:rsid w:val="004C314D"/>
    <w:rsid w:val="004E76D5"/>
    <w:rsid w:val="004F013E"/>
    <w:rsid w:val="004F40A4"/>
    <w:rsid w:val="00502988"/>
    <w:rsid w:val="00506FA7"/>
    <w:rsid w:val="00510320"/>
    <w:rsid w:val="00512D8C"/>
    <w:rsid w:val="00521574"/>
    <w:rsid w:val="005435C0"/>
    <w:rsid w:val="00544769"/>
    <w:rsid w:val="005474F2"/>
    <w:rsid w:val="00553E15"/>
    <w:rsid w:val="0055761E"/>
    <w:rsid w:val="005707BF"/>
    <w:rsid w:val="00572BA4"/>
    <w:rsid w:val="005735EC"/>
    <w:rsid w:val="00586548"/>
    <w:rsid w:val="00596C21"/>
    <w:rsid w:val="00596CDD"/>
    <w:rsid w:val="005B4EBA"/>
    <w:rsid w:val="005B6006"/>
    <w:rsid w:val="005D125D"/>
    <w:rsid w:val="005D1588"/>
    <w:rsid w:val="005E0512"/>
    <w:rsid w:val="005E1873"/>
    <w:rsid w:val="005F1A4A"/>
    <w:rsid w:val="00613037"/>
    <w:rsid w:val="006214DF"/>
    <w:rsid w:val="00625E12"/>
    <w:rsid w:val="0063285F"/>
    <w:rsid w:val="00636552"/>
    <w:rsid w:val="006405BA"/>
    <w:rsid w:val="00656650"/>
    <w:rsid w:val="006733E9"/>
    <w:rsid w:val="00673E84"/>
    <w:rsid w:val="00676536"/>
    <w:rsid w:val="0068209D"/>
    <w:rsid w:val="006C40C9"/>
    <w:rsid w:val="006D7840"/>
    <w:rsid w:val="006E4DCF"/>
    <w:rsid w:val="006F2152"/>
    <w:rsid w:val="006F6A6B"/>
    <w:rsid w:val="00703454"/>
    <w:rsid w:val="00715FDC"/>
    <w:rsid w:val="00746663"/>
    <w:rsid w:val="007518EB"/>
    <w:rsid w:val="0075238F"/>
    <w:rsid w:val="007619AD"/>
    <w:rsid w:val="00763BA1"/>
    <w:rsid w:val="00767607"/>
    <w:rsid w:val="00771ED3"/>
    <w:rsid w:val="00782C80"/>
    <w:rsid w:val="007A0738"/>
    <w:rsid w:val="007A3BB3"/>
    <w:rsid w:val="007C30AC"/>
    <w:rsid w:val="007F193F"/>
    <w:rsid w:val="007F20B6"/>
    <w:rsid w:val="008367E0"/>
    <w:rsid w:val="008428A8"/>
    <w:rsid w:val="0084652D"/>
    <w:rsid w:val="00852E0D"/>
    <w:rsid w:val="00853F00"/>
    <w:rsid w:val="008553D9"/>
    <w:rsid w:val="008855F4"/>
    <w:rsid w:val="00885E91"/>
    <w:rsid w:val="00896E1B"/>
    <w:rsid w:val="008B4FEC"/>
    <w:rsid w:val="008C6EAA"/>
    <w:rsid w:val="008D5E40"/>
    <w:rsid w:val="008F7A2E"/>
    <w:rsid w:val="009110A9"/>
    <w:rsid w:val="009208EF"/>
    <w:rsid w:val="009213B6"/>
    <w:rsid w:val="00921856"/>
    <w:rsid w:val="0092195F"/>
    <w:rsid w:val="009226FE"/>
    <w:rsid w:val="00924DF7"/>
    <w:rsid w:val="00933512"/>
    <w:rsid w:val="0094072F"/>
    <w:rsid w:val="00955384"/>
    <w:rsid w:val="00957741"/>
    <w:rsid w:val="009618C1"/>
    <w:rsid w:val="00967826"/>
    <w:rsid w:val="00970881"/>
    <w:rsid w:val="00972761"/>
    <w:rsid w:val="00973F78"/>
    <w:rsid w:val="00990C60"/>
    <w:rsid w:val="009926EA"/>
    <w:rsid w:val="00996F6D"/>
    <w:rsid w:val="009A1E0C"/>
    <w:rsid w:val="009A2356"/>
    <w:rsid w:val="009B1251"/>
    <w:rsid w:val="009C2630"/>
    <w:rsid w:val="009C2CF5"/>
    <w:rsid w:val="009C51BA"/>
    <w:rsid w:val="009D2D7A"/>
    <w:rsid w:val="009D5E98"/>
    <w:rsid w:val="009E529C"/>
    <w:rsid w:val="009F4A96"/>
    <w:rsid w:val="009F6593"/>
    <w:rsid w:val="00A00406"/>
    <w:rsid w:val="00A05C07"/>
    <w:rsid w:val="00A05E61"/>
    <w:rsid w:val="00A24FDD"/>
    <w:rsid w:val="00A26CC1"/>
    <w:rsid w:val="00A30BA4"/>
    <w:rsid w:val="00A3157A"/>
    <w:rsid w:val="00A31E27"/>
    <w:rsid w:val="00A34D89"/>
    <w:rsid w:val="00A45D1C"/>
    <w:rsid w:val="00A46B79"/>
    <w:rsid w:val="00A70ABA"/>
    <w:rsid w:val="00A72C6E"/>
    <w:rsid w:val="00A835BA"/>
    <w:rsid w:val="00A8565F"/>
    <w:rsid w:val="00AB3435"/>
    <w:rsid w:val="00AC35F6"/>
    <w:rsid w:val="00B125E0"/>
    <w:rsid w:val="00B276AE"/>
    <w:rsid w:val="00B334B2"/>
    <w:rsid w:val="00B3403F"/>
    <w:rsid w:val="00B43935"/>
    <w:rsid w:val="00B534CC"/>
    <w:rsid w:val="00B54887"/>
    <w:rsid w:val="00B67770"/>
    <w:rsid w:val="00B7194E"/>
    <w:rsid w:val="00BA08BD"/>
    <w:rsid w:val="00BA6E19"/>
    <w:rsid w:val="00BB2893"/>
    <w:rsid w:val="00BB28DD"/>
    <w:rsid w:val="00BB4A65"/>
    <w:rsid w:val="00BC13A3"/>
    <w:rsid w:val="00BC69F3"/>
    <w:rsid w:val="00BE7E4B"/>
    <w:rsid w:val="00BF3F38"/>
    <w:rsid w:val="00C0032A"/>
    <w:rsid w:val="00C07BB7"/>
    <w:rsid w:val="00C07D89"/>
    <w:rsid w:val="00C315AF"/>
    <w:rsid w:val="00C354BD"/>
    <w:rsid w:val="00C4380B"/>
    <w:rsid w:val="00C47E04"/>
    <w:rsid w:val="00C50B2C"/>
    <w:rsid w:val="00C76B87"/>
    <w:rsid w:val="00C803FE"/>
    <w:rsid w:val="00C861ED"/>
    <w:rsid w:val="00C93F45"/>
    <w:rsid w:val="00CA2038"/>
    <w:rsid w:val="00CA7CAD"/>
    <w:rsid w:val="00CB5A61"/>
    <w:rsid w:val="00CC1F0E"/>
    <w:rsid w:val="00CC22FF"/>
    <w:rsid w:val="00CC4313"/>
    <w:rsid w:val="00CC7B31"/>
    <w:rsid w:val="00CD7351"/>
    <w:rsid w:val="00CE22E0"/>
    <w:rsid w:val="00CF1D28"/>
    <w:rsid w:val="00D101CF"/>
    <w:rsid w:val="00D17E13"/>
    <w:rsid w:val="00D3201D"/>
    <w:rsid w:val="00D325E8"/>
    <w:rsid w:val="00D32BF2"/>
    <w:rsid w:val="00D505C0"/>
    <w:rsid w:val="00D52DF1"/>
    <w:rsid w:val="00D55C50"/>
    <w:rsid w:val="00D56EDE"/>
    <w:rsid w:val="00D63A95"/>
    <w:rsid w:val="00D919ED"/>
    <w:rsid w:val="00D93645"/>
    <w:rsid w:val="00DC0920"/>
    <w:rsid w:val="00DC2F2B"/>
    <w:rsid w:val="00DE2EAB"/>
    <w:rsid w:val="00DE6570"/>
    <w:rsid w:val="00E015BC"/>
    <w:rsid w:val="00E14403"/>
    <w:rsid w:val="00E22636"/>
    <w:rsid w:val="00E30C76"/>
    <w:rsid w:val="00E31602"/>
    <w:rsid w:val="00E40406"/>
    <w:rsid w:val="00E42DD5"/>
    <w:rsid w:val="00E5460B"/>
    <w:rsid w:val="00E66C80"/>
    <w:rsid w:val="00E70423"/>
    <w:rsid w:val="00E71C46"/>
    <w:rsid w:val="00E73078"/>
    <w:rsid w:val="00E77FEF"/>
    <w:rsid w:val="00E83B59"/>
    <w:rsid w:val="00E87A21"/>
    <w:rsid w:val="00E9497E"/>
    <w:rsid w:val="00E97F85"/>
    <w:rsid w:val="00EA0DBA"/>
    <w:rsid w:val="00EA350C"/>
    <w:rsid w:val="00EA4C3B"/>
    <w:rsid w:val="00EC0A46"/>
    <w:rsid w:val="00ED74A7"/>
    <w:rsid w:val="00EE3F02"/>
    <w:rsid w:val="00EE4A1A"/>
    <w:rsid w:val="00F01A94"/>
    <w:rsid w:val="00F061A8"/>
    <w:rsid w:val="00F26E65"/>
    <w:rsid w:val="00F35FDA"/>
    <w:rsid w:val="00F440C2"/>
    <w:rsid w:val="00F5045F"/>
    <w:rsid w:val="00F6173A"/>
    <w:rsid w:val="00F84761"/>
    <w:rsid w:val="00F90AA9"/>
    <w:rsid w:val="00F90BFE"/>
    <w:rsid w:val="00F90EA3"/>
    <w:rsid w:val="00FA71B6"/>
    <w:rsid w:val="00FB7500"/>
    <w:rsid w:val="00FD7B2D"/>
    <w:rsid w:val="00FE3A65"/>
    <w:rsid w:val="00FE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7A3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C80"/>
    <w:pPr>
      <w:spacing w:after="0" w:line="240" w:lineRule="auto"/>
      <w:jc w:val="left"/>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1F319A"/>
    <w:pPr>
      <w:spacing w:line="480" w:lineRule="auto"/>
      <w:jc w:val="center"/>
      <w:outlineLvl w:val="0"/>
    </w:pPr>
    <w:rPr>
      <w:rFonts w:asciiTheme="majorHAnsi" w:hAnsiTheme="majorHAns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autoRedefine/>
    <w:rsid w:val="006F2152"/>
    <w:pPr>
      <w:spacing w:after="60" w:line="480" w:lineRule="auto"/>
      <w:jc w:val="both"/>
    </w:pPr>
    <w:rPr>
      <w:rFonts w:asciiTheme="majorHAnsi" w:hAnsiTheme="majorHAnsi"/>
      <w:kern w:val="21"/>
    </w:rPr>
  </w:style>
  <w:style w:type="table" w:styleId="TableGrid">
    <w:name w:val="Table Grid"/>
    <w:basedOn w:val="TableNormal"/>
    <w:uiPriority w:val="59"/>
    <w:rsid w:val="004B0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3078"/>
    <w:rPr>
      <w:rFonts w:ascii="Tahoma" w:hAnsi="Tahoma" w:cs="Tahoma"/>
      <w:sz w:val="16"/>
      <w:szCs w:val="16"/>
    </w:rPr>
  </w:style>
  <w:style w:type="character" w:customStyle="1" w:styleId="BalloonTextChar">
    <w:name w:val="Balloon Text Char"/>
    <w:basedOn w:val="DefaultParagraphFont"/>
    <w:link w:val="BalloonText"/>
    <w:uiPriority w:val="99"/>
    <w:semiHidden/>
    <w:rsid w:val="00E73078"/>
    <w:rPr>
      <w:rFonts w:ascii="Tahoma" w:hAnsi="Tahoma" w:cs="Tahoma"/>
      <w:sz w:val="16"/>
      <w:szCs w:val="16"/>
      <w:lang w:val="en-GB" w:eastAsia="en-GB"/>
    </w:rPr>
  </w:style>
  <w:style w:type="character" w:styleId="LineNumber">
    <w:name w:val="line number"/>
    <w:basedOn w:val="DefaultParagraphFont"/>
    <w:uiPriority w:val="99"/>
    <w:semiHidden/>
    <w:unhideWhenUsed/>
    <w:rsid w:val="00D3201D"/>
  </w:style>
  <w:style w:type="character" w:styleId="CommentReference">
    <w:name w:val="annotation reference"/>
    <w:basedOn w:val="DefaultParagraphFont"/>
    <w:uiPriority w:val="99"/>
    <w:semiHidden/>
    <w:unhideWhenUsed/>
    <w:rsid w:val="00053BCE"/>
    <w:rPr>
      <w:sz w:val="18"/>
      <w:szCs w:val="18"/>
    </w:rPr>
  </w:style>
  <w:style w:type="paragraph" w:styleId="CommentText">
    <w:name w:val="annotation text"/>
    <w:basedOn w:val="Normal"/>
    <w:link w:val="CommentTextChar"/>
    <w:uiPriority w:val="99"/>
    <w:semiHidden/>
    <w:unhideWhenUsed/>
    <w:rsid w:val="00053BCE"/>
  </w:style>
  <w:style w:type="character" w:customStyle="1" w:styleId="CommentTextChar">
    <w:name w:val="Comment Text Char"/>
    <w:basedOn w:val="DefaultParagraphFont"/>
    <w:link w:val="CommentText"/>
    <w:uiPriority w:val="99"/>
    <w:semiHidden/>
    <w:rsid w:val="00053BCE"/>
    <w:rPr>
      <w:rFonts w:ascii="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053BCE"/>
    <w:rPr>
      <w:b/>
      <w:bCs/>
      <w:sz w:val="20"/>
      <w:szCs w:val="20"/>
    </w:rPr>
  </w:style>
  <w:style w:type="character" w:customStyle="1" w:styleId="CommentSubjectChar">
    <w:name w:val="Comment Subject Char"/>
    <w:basedOn w:val="CommentTextChar"/>
    <w:link w:val="CommentSubject"/>
    <w:uiPriority w:val="99"/>
    <w:semiHidden/>
    <w:rsid w:val="00053BCE"/>
    <w:rPr>
      <w:rFonts w:ascii="Times New Roman" w:hAnsi="Times New Roman" w:cs="Times New Roman"/>
      <w:b/>
      <w:bCs/>
      <w:sz w:val="20"/>
      <w:szCs w:val="20"/>
      <w:lang w:val="en-GB" w:eastAsia="en-GB"/>
    </w:rPr>
  </w:style>
  <w:style w:type="paragraph" w:styleId="Header">
    <w:name w:val="header"/>
    <w:basedOn w:val="Normal"/>
    <w:link w:val="HeaderChar"/>
    <w:uiPriority w:val="99"/>
    <w:unhideWhenUsed/>
    <w:rsid w:val="00BB28DD"/>
    <w:pPr>
      <w:tabs>
        <w:tab w:val="center" w:pos="4252"/>
        <w:tab w:val="right" w:pos="8504"/>
      </w:tabs>
    </w:pPr>
  </w:style>
  <w:style w:type="character" w:customStyle="1" w:styleId="HeaderChar">
    <w:name w:val="Header Char"/>
    <w:basedOn w:val="DefaultParagraphFont"/>
    <w:link w:val="Header"/>
    <w:uiPriority w:val="99"/>
    <w:rsid w:val="00BB28DD"/>
    <w:rPr>
      <w:rFonts w:ascii="Times New Roman" w:hAnsi="Times New Roman" w:cs="Times New Roman"/>
      <w:sz w:val="24"/>
      <w:szCs w:val="24"/>
      <w:lang w:val="en-GB" w:eastAsia="en-GB"/>
    </w:rPr>
  </w:style>
  <w:style w:type="paragraph" w:styleId="Footer">
    <w:name w:val="footer"/>
    <w:basedOn w:val="Normal"/>
    <w:link w:val="FooterChar"/>
    <w:uiPriority w:val="99"/>
    <w:unhideWhenUsed/>
    <w:rsid w:val="00BB28DD"/>
    <w:pPr>
      <w:tabs>
        <w:tab w:val="center" w:pos="4252"/>
        <w:tab w:val="right" w:pos="8504"/>
      </w:tabs>
    </w:pPr>
  </w:style>
  <w:style w:type="character" w:customStyle="1" w:styleId="FooterChar">
    <w:name w:val="Footer Char"/>
    <w:basedOn w:val="DefaultParagraphFont"/>
    <w:link w:val="Footer"/>
    <w:uiPriority w:val="99"/>
    <w:rsid w:val="00BB28DD"/>
    <w:rPr>
      <w:rFonts w:ascii="Times New Roman" w:hAnsi="Times New Roman" w:cs="Times New Roman"/>
      <w:sz w:val="24"/>
      <w:szCs w:val="24"/>
      <w:lang w:val="en-GB" w:eastAsia="en-GB"/>
    </w:rPr>
  </w:style>
  <w:style w:type="character" w:styleId="Hyperlink">
    <w:name w:val="Hyperlink"/>
    <w:basedOn w:val="DefaultParagraphFont"/>
    <w:uiPriority w:val="99"/>
    <w:unhideWhenUsed/>
    <w:rsid w:val="009618C1"/>
    <w:rPr>
      <w:color w:val="0000FF" w:themeColor="hyperlink"/>
      <w:u w:val="single"/>
    </w:rPr>
  </w:style>
  <w:style w:type="character" w:customStyle="1" w:styleId="Mencinsinresolver1">
    <w:name w:val="Mención sin resolver1"/>
    <w:basedOn w:val="DefaultParagraphFont"/>
    <w:uiPriority w:val="99"/>
    <w:semiHidden/>
    <w:unhideWhenUsed/>
    <w:rsid w:val="009618C1"/>
    <w:rPr>
      <w:color w:val="808080"/>
      <w:shd w:val="clear" w:color="auto" w:fill="E6E6E6"/>
    </w:rPr>
  </w:style>
  <w:style w:type="character" w:customStyle="1" w:styleId="Heading1Char">
    <w:name w:val="Heading 1 Char"/>
    <w:basedOn w:val="DefaultParagraphFont"/>
    <w:link w:val="Heading1"/>
    <w:uiPriority w:val="9"/>
    <w:rsid w:val="001F319A"/>
    <w:rPr>
      <w:rFonts w:asciiTheme="majorHAnsi" w:hAnsiTheme="majorHAnsi" w:cs="Times New Roman"/>
      <w:b/>
      <w:sz w:val="3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625752">
      <w:bodyDiv w:val="1"/>
      <w:marLeft w:val="0"/>
      <w:marRight w:val="0"/>
      <w:marTop w:val="0"/>
      <w:marBottom w:val="0"/>
      <w:divBdr>
        <w:top w:val="none" w:sz="0" w:space="0" w:color="auto"/>
        <w:left w:val="none" w:sz="0" w:space="0" w:color="auto"/>
        <w:bottom w:val="none" w:sz="0" w:space="0" w:color="auto"/>
        <w:right w:val="none" w:sz="0" w:space="0" w:color="auto"/>
      </w:divBdr>
      <w:divsChild>
        <w:div w:id="46296987">
          <w:marLeft w:val="0"/>
          <w:marRight w:val="0"/>
          <w:marTop w:val="0"/>
          <w:marBottom w:val="0"/>
          <w:divBdr>
            <w:top w:val="none" w:sz="0" w:space="0" w:color="auto"/>
            <w:left w:val="none" w:sz="0" w:space="0" w:color="auto"/>
            <w:bottom w:val="none" w:sz="0" w:space="0" w:color="auto"/>
            <w:right w:val="none" w:sz="0" w:space="0" w:color="auto"/>
          </w:divBdr>
        </w:div>
      </w:divsChild>
    </w:div>
    <w:div w:id="914630909">
      <w:bodyDiv w:val="1"/>
      <w:marLeft w:val="0"/>
      <w:marRight w:val="0"/>
      <w:marTop w:val="0"/>
      <w:marBottom w:val="0"/>
      <w:divBdr>
        <w:top w:val="none" w:sz="0" w:space="0" w:color="auto"/>
        <w:left w:val="none" w:sz="0" w:space="0" w:color="auto"/>
        <w:bottom w:val="none" w:sz="0" w:space="0" w:color="auto"/>
        <w:right w:val="none" w:sz="0" w:space="0" w:color="auto"/>
      </w:divBdr>
    </w:div>
    <w:div w:id="1031959440">
      <w:bodyDiv w:val="1"/>
      <w:marLeft w:val="0"/>
      <w:marRight w:val="0"/>
      <w:marTop w:val="0"/>
      <w:marBottom w:val="0"/>
      <w:divBdr>
        <w:top w:val="none" w:sz="0" w:space="0" w:color="auto"/>
        <w:left w:val="none" w:sz="0" w:space="0" w:color="auto"/>
        <w:bottom w:val="none" w:sz="0" w:space="0" w:color="auto"/>
        <w:right w:val="none" w:sz="0" w:space="0" w:color="auto"/>
      </w:divBdr>
      <w:divsChild>
        <w:div w:id="239293954">
          <w:marLeft w:val="0"/>
          <w:marRight w:val="0"/>
          <w:marTop w:val="0"/>
          <w:marBottom w:val="0"/>
          <w:divBdr>
            <w:top w:val="none" w:sz="0" w:space="0" w:color="auto"/>
            <w:left w:val="none" w:sz="0" w:space="0" w:color="auto"/>
            <w:bottom w:val="none" w:sz="0" w:space="0" w:color="auto"/>
            <w:right w:val="none" w:sz="0" w:space="0" w:color="auto"/>
          </w:divBdr>
        </w:div>
      </w:divsChild>
    </w:div>
    <w:div w:id="1035347384">
      <w:bodyDiv w:val="1"/>
      <w:marLeft w:val="0"/>
      <w:marRight w:val="0"/>
      <w:marTop w:val="0"/>
      <w:marBottom w:val="0"/>
      <w:divBdr>
        <w:top w:val="none" w:sz="0" w:space="0" w:color="auto"/>
        <w:left w:val="none" w:sz="0" w:space="0" w:color="auto"/>
        <w:bottom w:val="none" w:sz="0" w:space="0" w:color="auto"/>
        <w:right w:val="none" w:sz="0" w:space="0" w:color="auto"/>
      </w:divBdr>
    </w:div>
    <w:div w:id="1941525694">
      <w:bodyDiv w:val="1"/>
      <w:marLeft w:val="0"/>
      <w:marRight w:val="0"/>
      <w:marTop w:val="0"/>
      <w:marBottom w:val="0"/>
      <w:divBdr>
        <w:top w:val="none" w:sz="0" w:space="0" w:color="auto"/>
        <w:left w:val="none" w:sz="0" w:space="0" w:color="auto"/>
        <w:bottom w:val="none" w:sz="0" w:space="0" w:color="auto"/>
        <w:right w:val="none" w:sz="0" w:space="0" w:color="auto"/>
      </w:divBdr>
    </w:div>
    <w:div w:id="201741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C4811-4142-43B0-AD09-1FDB39E3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13792</Words>
  <Characters>86896</Characters>
  <Application>Microsoft Office Word</Application>
  <DocSecurity>0</DocSecurity>
  <Lines>724</Lines>
  <Paragraphs>200</Paragraphs>
  <ScaleCrop>false</ScaleCrop>
  <HeadingPairs>
    <vt:vector size="6" baseType="variant">
      <vt:variant>
        <vt:lpstr>Title</vt:lpstr>
      </vt:variant>
      <vt:variant>
        <vt:i4>1</vt:i4>
      </vt:variant>
      <vt:variant>
        <vt:lpstr>Título</vt:lpstr>
      </vt:variant>
      <vt:variant>
        <vt:i4>1</vt:i4>
      </vt:variant>
      <vt:variant>
        <vt:lpstr>Títulos</vt:lpstr>
      </vt:variant>
      <vt:variant>
        <vt:i4>1</vt:i4>
      </vt:variant>
    </vt:vector>
  </HeadingPairs>
  <TitlesOfParts>
    <vt:vector size="3" baseType="lpstr">
      <vt:lpstr/>
      <vt:lpstr/>
      <vt:lpstr>The Effect of Cofactor Binding on the Conformational Plasticity of the Biologica</vt:lpstr>
    </vt:vector>
  </TitlesOfParts>
  <Company/>
  <LinksUpToDate>false</LinksUpToDate>
  <CharactersWithSpaces>100488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Rodríguez-Guerra, Jaime</dc:creator>
  <cp:keywords/>
  <dc:description/>
  <cp:lastModifiedBy>Rodríguez-Guerra, Jaime</cp:lastModifiedBy>
  <cp:revision>3</cp:revision>
  <dcterms:created xsi:type="dcterms:W3CDTF">2019-03-21T09:16:00Z</dcterms:created>
  <dcterms:modified xsi:type="dcterms:W3CDTF">2019-03-28T09:51:00Z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http://csl.mendeley.com/styles/styles/chicago-frontiers1</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1f3f4baa-8e59-3507-ae2e-4bd1901996d5</vt:lpwstr>
  </property>
  <property fmtid="{D5CDD505-2E9C-101B-9397-08002B2CF9AE}" pid="24" name="Mendeley Citation Style_1">
    <vt:lpwstr>http://csl.mendeley.com/styles/styles/chicago-frontiers1</vt:lpwstr>
  </property>
</Properties>
</file>