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EE2275" w14:textId="77777777" w:rsidR="00476A84" w:rsidRDefault="00476A84" w:rsidP="00476A84">
      <w:pPr>
        <w:pStyle w:val="Title"/>
        <w:rPr>
          <w:i/>
        </w:rPr>
      </w:pPr>
      <w:bookmarkStart w:id="0" w:name="_Hlk523504044"/>
      <w:r w:rsidRPr="006A1D8D">
        <w:t xml:space="preserve">Molecular mechanisms of tungsten toxicity differ for </w:t>
      </w:r>
      <w:r w:rsidRPr="00AD165E">
        <w:rPr>
          <w:i/>
        </w:rPr>
        <w:t>Glycine max</w:t>
      </w:r>
      <w:r w:rsidRPr="006A1D8D">
        <w:t xml:space="preserve"> depending on mode of nitrogen  regimes</w:t>
      </w:r>
    </w:p>
    <w:bookmarkEnd w:id="0"/>
    <w:p w14:paraId="43ACCFAD" w14:textId="77777777" w:rsidR="00476A84" w:rsidRPr="00AD165E" w:rsidRDefault="00476A84" w:rsidP="00476A84">
      <w:pPr>
        <w:pStyle w:val="AuthorList"/>
        <w:rPr>
          <w:lang w:val="de-DE"/>
        </w:rPr>
      </w:pPr>
      <w:r w:rsidRPr="00AD165E">
        <w:rPr>
          <w:lang w:val="es-AR"/>
        </w:rPr>
        <w:t>Julian Preiner</w:t>
      </w:r>
      <w:r w:rsidRPr="00AD165E">
        <w:rPr>
          <w:vertAlign w:val="superscript"/>
          <w:lang w:val="es-AR"/>
        </w:rPr>
        <w:t>1,2</w:t>
      </w:r>
      <w:r w:rsidRPr="00AD165E">
        <w:rPr>
          <w:lang w:val="de-DE"/>
        </w:rPr>
        <w:t xml:space="preserve">, </w:t>
      </w:r>
      <w:r w:rsidRPr="00AD165E">
        <w:rPr>
          <w:lang w:val="es-AR"/>
        </w:rPr>
        <w:t>Stefanie Wienkoop</w:t>
      </w:r>
      <w:r w:rsidRPr="00AD165E">
        <w:rPr>
          <w:vertAlign w:val="superscript"/>
          <w:lang w:val="es-AR"/>
        </w:rPr>
        <w:t>1*</w:t>
      </w:r>
      <w:r w:rsidRPr="00AD165E">
        <w:rPr>
          <w:lang w:val="de-DE"/>
        </w:rPr>
        <w:t xml:space="preserve">, </w:t>
      </w:r>
      <w:proofErr w:type="spellStart"/>
      <w:r w:rsidRPr="00AD165E">
        <w:rPr>
          <w:lang w:val="es-AR"/>
        </w:rPr>
        <w:t>Wolfram</w:t>
      </w:r>
      <w:proofErr w:type="spellEnd"/>
      <w:r w:rsidRPr="00AD165E">
        <w:rPr>
          <w:lang w:val="es-AR"/>
        </w:rPr>
        <w:t xml:space="preserve"> Weckwerth</w:t>
      </w:r>
      <w:r w:rsidRPr="00AD165E">
        <w:rPr>
          <w:vertAlign w:val="superscript"/>
          <w:lang w:val="es-AR"/>
        </w:rPr>
        <w:t>1</w:t>
      </w:r>
      <w:r w:rsidRPr="00AD165E">
        <w:rPr>
          <w:lang w:val="es-AR"/>
        </w:rPr>
        <w:t>, Eva Oburger</w:t>
      </w:r>
      <w:r w:rsidRPr="00AD165E">
        <w:rPr>
          <w:vertAlign w:val="superscript"/>
          <w:lang w:val="es-AR"/>
        </w:rPr>
        <w:t>2,3</w:t>
      </w:r>
    </w:p>
    <w:p w14:paraId="57A7EC46" w14:textId="77777777" w:rsidR="00476A84" w:rsidRPr="00AD165E" w:rsidRDefault="00476A84" w:rsidP="00476A84">
      <w:pPr>
        <w:spacing w:before="240" w:after="0"/>
        <w:rPr>
          <w:rFonts w:cs="Times New Roman"/>
          <w:szCs w:val="24"/>
        </w:rPr>
      </w:pPr>
      <w:r w:rsidRPr="00AD165E">
        <w:rPr>
          <w:rFonts w:cs="Times New Roman"/>
          <w:szCs w:val="24"/>
          <w:vertAlign w:val="superscript"/>
        </w:rPr>
        <w:t>1</w:t>
      </w:r>
      <w:r w:rsidRPr="00AD165E">
        <w:t xml:space="preserve"> </w:t>
      </w:r>
      <w:proofErr w:type="spellStart"/>
      <w:r w:rsidRPr="00AD165E">
        <w:t>Devision</w:t>
      </w:r>
      <w:proofErr w:type="spellEnd"/>
      <w:r w:rsidRPr="00AD165E">
        <w:t xml:space="preserve"> of Molecular Systems Biology, Department of </w:t>
      </w:r>
      <w:proofErr w:type="spellStart"/>
      <w:r w:rsidRPr="00AD165E">
        <w:t>Ecogenomics</w:t>
      </w:r>
      <w:proofErr w:type="spellEnd"/>
      <w:r w:rsidRPr="00AD165E">
        <w:t xml:space="preserve"> and Systems Biology, University of Vienna, Vienna, Austria</w:t>
      </w:r>
    </w:p>
    <w:p w14:paraId="60201DC2" w14:textId="77777777" w:rsidR="00476A84" w:rsidRPr="00AD165E" w:rsidRDefault="00476A84" w:rsidP="00476A84">
      <w:pPr>
        <w:spacing w:after="0"/>
        <w:rPr>
          <w:rFonts w:cs="Times New Roman"/>
          <w:szCs w:val="24"/>
        </w:rPr>
      </w:pPr>
      <w:r w:rsidRPr="00AD165E">
        <w:rPr>
          <w:rFonts w:cs="Times New Roman"/>
          <w:szCs w:val="24"/>
          <w:vertAlign w:val="superscript"/>
        </w:rPr>
        <w:t>2</w:t>
      </w:r>
      <w:r w:rsidRPr="00AD165E">
        <w:t xml:space="preserve"> Institute of Soil Research, Department of Forest and Soil Sciences,</w:t>
      </w:r>
      <w:r w:rsidRPr="00AD165E">
        <w:rPr>
          <w:rFonts w:cs="Times New Roman"/>
          <w:szCs w:val="24"/>
        </w:rPr>
        <w:t xml:space="preserve"> </w:t>
      </w:r>
      <w:r w:rsidRPr="00AD165E">
        <w:t xml:space="preserve">University of Natural Resources and Life Sciences Vienna, </w:t>
      </w:r>
      <w:proofErr w:type="spellStart"/>
      <w:r w:rsidRPr="00AD165E">
        <w:t>Tulln</w:t>
      </w:r>
      <w:proofErr w:type="spellEnd"/>
      <w:r w:rsidRPr="00AD165E">
        <w:t>, Austria</w:t>
      </w:r>
    </w:p>
    <w:p w14:paraId="4B227DA2" w14:textId="77777777" w:rsidR="00476A84" w:rsidRPr="00AD165E" w:rsidRDefault="00476A84" w:rsidP="00476A84">
      <w:pPr>
        <w:spacing w:after="0"/>
        <w:rPr>
          <w:rFonts w:cs="Times New Roman"/>
          <w:szCs w:val="24"/>
        </w:rPr>
      </w:pPr>
      <w:r w:rsidRPr="00AD165E">
        <w:t xml:space="preserve">3 </w:t>
      </w:r>
      <w:proofErr w:type="spellStart"/>
      <w:r w:rsidRPr="00AD165E">
        <w:t>Devision</w:t>
      </w:r>
      <w:proofErr w:type="spellEnd"/>
      <w:r w:rsidRPr="00AD165E">
        <w:t xml:space="preserve"> of Terrestrial Ecosystem Research, Department of Microbiology and Ecosystem Science,</w:t>
      </w:r>
      <w:r w:rsidRPr="00AD165E">
        <w:rPr>
          <w:rFonts w:cs="Times New Roman"/>
          <w:szCs w:val="24"/>
        </w:rPr>
        <w:t xml:space="preserve"> </w:t>
      </w:r>
      <w:r w:rsidRPr="00AD165E">
        <w:t>University of Vienna, Vienna, Austria</w:t>
      </w:r>
    </w:p>
    <w:p w14:paraId="053A87BF" w14:textId="77777777" w:rsidR="00476A84" w:rsidRPr="00AD165E" w:rsidRDefault="00476A84" w:rsidP="00476A84">
      <w:pPr>
        <w:spacing w:before="240" w:after="0"/>
        <w:rPr>
          <w:rFonts w:cs="Times New Roman"/>
          <w:b/>
          <w:szCs w:val="24"/>
        </w:rPr>
      </w:pPr>
      <w:r w:rsidRPr="00AD165E">
        <w:rPr>
          <w:rFonts w:cs="Times New Roman"/>
          <w:b/>
          <w:szCs w:val="24"/>
        </w:rPr>
        <w:t xml:space="preserve">* Correspondence: </w:t>
      </w:r>
      <w:r w:rsidRPr="00AD165E">
        <w:rPr>
          <w:rFonts w:cs="Times New Roman"/>
          <w:b/>
          <w:szCs w:val="24"/>
        </w:rPr>
        <w:br/>
      </w:r>
      <w:r w:rsidRPr="00AD165E">
        <w:rPr>
          <w:rFonts w:cs="Times New Roman"/>
          <w:szCs w:val="24"/>
        </w:rPr>
        <w:t xml:space="preserve">Stefanie </w:t>
      </w:r>
      <w:proofErr w:type="spellStart"/>
      <w:r w:rsidRPr="00AD165E">
        <w:rPr>
          <w:rFonts w:cs="Times New Roman"/>
          <w:szCs w:val="24"/>
        </w:rPr>
        <w:t>Wienkoop</w:t>
      </w:r>
      <w:proofErr w:type="spellEnd"/>
      <w:r w:rsidRPr="00AD165E">
        <w:rPr>
          <w:rFonts w:cs="Times New Roman"/>
          <w:szCs w:val="24"/>
        </w:rPr>
        <w:br/>
        <w:t>stefanie.wienkoop@univie.ac.at</w:t>
      </w:r>
    </w:p>
    <w:p w14:paraId="4C483B68" w14:textId="3A67FF5C" w:rsidR="008B16E4" w:rsidRDefault="00654E8F" w:rsidP="009B0BE2">
      <w:pPr>
        <w:pStyle w:val="Heading1"/>
      </w:pPr>
      <w:r w:rsidRPr="00994A3D">
        <w:t xml:space="preserve">Supplementary </w:t>
      </w:r>
      <w:r w:rsidR="009B0BE2">
        <w:t>Tables</w:t>
      </w:r>
    </w:p>
    <w:p w14:paraId="0A1BD110" w14:textId="523D6A46" w:rsidR="008B16E4" w:rsidRDefault="009B0BE2" w:rsidP="008B16E4">
      <w:pPr>
        <w:jc w:val="both"/>
      </w:pPr>
      <w:r>
        <w:rPr>
          <w:b/>
        </w:rPr>
        <w:t xml:space="preserve">SI </w:t>
      </w:r>
      <w:r w:rsidR="008B16E4">
        <w:rPr>
          <w:b/>
        </w:rPr>
        <w:t xml:space="preserve">Table 1 </w:t>
      </w:r>
      <w:r w:rsidR="008B16E4">
        <w:t>A</w:t>
      </w:r>
      <w:r w:rsidR="008B16E4" w:rsidRPr="00717544">
        <w:t>)</w:t>
      </w:r>
      <w:r w:rsidR="008B16E4">
        <w:rPr>
          <w:b/>
        </w:rPr>
        <w:t xml:space="preserve"> </w:t>
      </w:r>
      <w:r w:rsidR="008B16E4">
        <w:t>R:S ratio B) W TF factor of soybean (</w:t>
      </w:r>
      <w:r w:rsidR="008B16E4">
        <w:rPr>
          <w:i/>
        </w:rPr>
        <w:t xml:space="preserve">Glycine max </w:t>
      </w:r>
      <w:r w:rsidR="008B16E4">
        <w:t>cv Primus) grown semi-hydroponically with increasing W concentrations (control, 0.1, 0.5 mM W supplied as sodium tungstate) and under differing nitrogen supply regimes (N fix: week 2&amp;3 0. 25 mM KNO</w:t>
      </w:r>
      <w:r w:rsidR="008B16E4">
        <w:rPr>
          <w:vertAlign w:val="subscript"/>
        </w:rPr>
        <w:t>3</w:t>
      </w:r>
      <w:r w:rsidR="008B16E4">
        <w:t xml:space="preserve"> &amp; week 4-7 zero N; N fed: week 2-7 10 mM KNO</w:t>
      </w:r>
      <w:r w:rsidR="008B16E4">
        <w:rPr>
          <w:vertAlign w:val="subscript"/>
        </w:rPr>
        <w:t>3</w:t>
      </w:r>
      <w:r w:rsidR="008B16E4">
        <w:t>).  Letters indicate significant differences across the different W and N treatments (</w:t>
      </w:r>
      <w:r w:rsidR="008B16E4">
        <w:rPr>
          <w:i/>
        </w:rPr>
        <w:t>ANOVA, Post Hoc DGC</w:t>
      </w:r>
      <w:r w:rsidR="008B16E4">
        <w:t xml:space="preserve">, </w:t>
      </w:r>
      <w:r w:rsidR="008B16E4">
        <w:rPr>
          <w:i/>
        </w:rPr>
        <w:t>p</w:t>
      </w:r>
      <w:r w:rsidR="008B16E4">
        <w:t xml:space="preserve">&lt;0.05). </w:t>
      </w:r>
      <w:r w:rsidR="008B16E4" w:rsidRPr="00717544">
        <w:t>LOQ – limit of quantification.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73"/>
        <w:gridCol w:w="201"/>
        <w:gridCol w:w="576"/>
        <w:gridCol w:w="211"/>
        <w:gridCol w:w="572"/>
        <w:gridCol w:w="199"/>
        <w:gridCol w:w="572"/>
        <w:gridCol w:w="219"/>
        <w:gridCol w:w="566"/>
        <w:gridCol w:w="199"/>
        <w:gridCol w:w="566"/>
        <w:gridCol w:w="230"/>
        <w:gridCol w:w="572"/>
        <w:gridCol w:w="199"/>
        <w:gridCol w:w="572"/>
        <w:gridCol w:w="219"/>
        <w:gridCol w:w="566"/>
        <w:gridCol w:w="199"/>
        <w:gridCol w:w="566"/>
        <w:gridCol w:w="230"/>
        <w:gridCol w:w="566"/>
        <w:gridCol w:w="199"/>
        <w:gridCol w:w="566"/>
        <w:gridCol w:w="230"/>
      </w:tblGrid>
      <w:tr w:rsidR="006176CF" w:rsidRPr="006176CF" w14:paraId="32AAEB96" w14:textId="77777777" w:rsidTr="009B0BE2">
        <w:trPr>
          <w:trHeight w:val="20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7C326" w14:textId="77777777" w:rsidR="006176CF" w:rsidRPr="006176CF" w:rsidRDefault="006176CF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R:S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63C6E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N fix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92793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N fix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FDD30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N fix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5496A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N fed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E2C38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N fed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3297A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N fed</w:t>
            </w:r>
          </w:p>
        </w:tc>
      </w:tr>
      <w:tr w:rsidR="006176CF" w:rsidRPr="006176CF" w14:paraId="3A3EF912" w14:textId="77777777" w:rsidTr="009B0BE2">
        <w:trPr>
          <w:trHeight w:val="20"/>
        </w:trPr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21CB128" w14:textId="77777777" w:rsidR="006176CF" w:rsidRPr="006176CF" w:rsidRDefault="006176C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00" w:type="pct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5394E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Control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41CC9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0.1 mM W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10E63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0.5 mM W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19B63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Control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2EEBC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0.1 mM W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D6240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0.5 mM W</w:t>
            </w:r>
          </w:p>
        </w:tc>
      </w:tr>
      <w:tr w:rsidR="009B0BE2" w:rsidRPr="006176CF" w14:paraId="07036A09" w14:textId="77777777" w:rsidTr="009B0BE2">
        <w:trPr>
          <w:trHeight w:val="55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5F22C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ratio</w:t>
            </w:r>
          </w:p>
        </w:tc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8322A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0.15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9473B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E7156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EADFB" w14:textId="77777777" w:rsidR="006176CF" w:rsidRPr="006176CF" w:rsidRDefault="006176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C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569CD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0.28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89B70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±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FF9D7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0AB5D" w14:textId="77777777" w:rsidR="006176CF" w:rsidRPr="006176CF" w:rsidRDefault="006176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AC4BC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0.45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A31C0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347E0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92DE6" w14:textId="77777777" w:rsidR="006176CF" w:rsidRPr="006176CF" w:rsidRDefault="006176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A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29C01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7CF31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±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47C2B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C50A5" w14:textId="77777777" w:rsidR="006176CF" w:rsidRPr="006176CF" w:rsidRDefault="006176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E874F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0.23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9B278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09E74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BA174" w14:textId="77777777" w:rsidR="006176CF" w:rsidRPr="006176CF" w:rsidRDefault="006176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DCCC3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0.27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524B8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E4C16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9A609" w14:textId="77777777" w:rsidR="006176CF" w:rsidRPr="006176CF" w:rsidRDefault="006176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A</w:t>
            </w:r>
          </w:p>
        </w:tc>
      </w:tr>
      <w:tr w:rsidR="006176CF" w:rsidRPr="006176CF" w14:paraId="46726D82" w14:textId="77777777" w:rsidTr="009B0BE2">
        <w:trPr>
          <w:trHeight w:val="20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788AE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TF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33189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N fix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022B1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N fix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FDCE9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N fix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A8CD2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N fed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91448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N fed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BC647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N fed</w:t>
            </w:r>
          </w:p>
        </w:tc>
      </w:tr>
      <w:tr w:rsidR="006176CF" w:rsidRPr="006176CF" w14:paraId="38540597" w14:textId="77777777" w:rsidTr="009B0BE2">
        <w:trPr>
          <w:trHeight w:val="20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EDFEB4B" w14:textId="77777777" w:rsidR="006176CF" w:rsidRPr="006176CF" w:rsidRDefault="006176C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00" w:type="pct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278A2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Control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AB744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0.1 mM W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5926E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0.5 mM W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F60FF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Control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90B13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0.1 mM W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ABC3C" w14:textId="77777777" w:rsidR="006176CF" w:rsidRPr="006176CF" w:rsidRDefault="006176CF" w:rsidP="009B0B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0.5 mM W</w:t>
            </w:r>
          </w:p>
        </w:tc>
      </w:tr>
      <w:tr w:rsidR="009B0BE2" w:rsidRPr="006176CF" w14:paraId="2B21EE84" w14:textId="77777777" w:rsidTr="009B0BE2">
        <w:trPr>
          <w:trHeight w:val="55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749C0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W</w:t>
            </w:r>
          </w:p>
        </w:tc>
        <w:tc>
          <w:tcPr>
            <w:tcW w:w="69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500B3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&lt;LOQ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8A47A" w14:textId="77777777" w:rsidR="006176CF" w:rsidRPr="006176CF" w:rsidRDefault="006176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C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AA0CF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0.66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7D96E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±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CF53A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8889D" w14:textId="77777777" w:rsidR="006176CF" w:rsidRPr="006176CF" w:rsidRDefault="006176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DCC82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0.58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B74BE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A4483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324DD" w14:textId="77777777" w:rsidR="006176CF" w:rsidRPr="006176CF" w:rsidRDefault="006176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B</w:t>
            </w:r>
          </w:p>
        </w:tc>
        <w:tc>
          <w:tcPr>
            <w:tcW w:w="688" w:type="pct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A12DF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&lt;LOQ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2ADA8" w14:textId="77777777" w:rsidR="006176CF" w:rsidRPr="006176CF" w:rsidRDefault="006176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C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CEC29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1.02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CAA7A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CC09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43436" w14:textId="77777777" w:rsidR="006176CF" w:rsidRPr="006176CF" w:rsidRDefault="006176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3C546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0.87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3D71C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02E5A" w14:textId="77777777" w:rsidR="006176CF" w:rsidRPr="006176CF" w:rsidRDefault="006176CF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color w:val="000000"/>
                <w:sz w:val="16"/>
                <w:szCs w:val="20"/>
              </w:rPr>
              <w:t>0.3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F2318" w14:textId="77777777" w:rsidR="006176CF" w:rsidRPr="006176CF" w:rsidRDefault="006176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6176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>A</w:t>
            </w:r>
          </w:p>
        </w:tc>
      </w:tr>
    </w:tbl>
    <w:p w14:paraId="683002D7" w14:textId="42BC4A02" w:rsidR="008B16E4" w:rsidRDefault="006176CF" w:rsidP="008B16E4">
      <w:pPr>
        <w:jc w:val="both"/>
        <w:rPr>
          <w:noProof/>
        </w:rPr>
      </w:pPr>
      <w:r w:rsidRPr="00717544">
        <w:rPr>
          <w:noProof/>
        </w:rPr>
        <w:t xml:space="preserve"> </w:t>
      </w:r>
    </w:p>
    <w:p w14:paraId="4C70038C" w14:textId="0145A2B7" w:rsidR="009B0BE2" w:rsidRDefault="009B0BE2" w:rsidP="008B16E4">
      <w:pPr>
        <w:jc w:val="both"/>
        <w:rPr>
          <w:b/>
        </w:rPr>
      </w:pPr>
    </w:p>
    <w:p w14:paraId="677FFBE7" w14:textId="33EFBA51" w:rsidR="009B0BE2" w:rsidRDefault="009B0BE2" w:rsidP="008B16E4">
      <w:pPr>
        <w:jc w:val="both"/>
        <w:rPr>
          <w:b/>
        </w:rPr>
      </w:pPr>
    </w:p>
    <w:p w14:paraId="0ECB7BDD" w14:textId="2F5B76DF" w:rsidR="009B0BE2" w:rsidRDefault="009B0BE2" w:rsidP="008B16E4">
      <w:pPr>
        <w:jc w:val="both"/>
        <w:rPr>
          <w:b/>
        </w:rPr>
      </w:pPr>
    </w:p>
    <w:p w14:paraId="619E804B" w14:textId="77777777" w:rsidR="009B0BE2" w:rsidRDefault="009B0BE2" w:rsidP="008B16E4">
      <w:pPr>
        <w:jc w:val="both"/>
        <w:rPr>
          <w:b/>
        </w:rPr>
        <w:sectPr w:rsidR="009B0BE2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4F6E826E" w14:textId="3B948D31" w:rsidR="005072CB" w:rsidRDefault="005072CB" w:rsidP="005072CB">
      <w:pPr>
        <w:jc w:val="both"/>
      </w:pPr>
      <w:r>
        <w:rPr>
          <w:b/>
        </w:rPr>
        <w:lastRenderedPageBreak/>
        <w:t xml:space="preserve">SI Table 2 </w:t>
      </w:r>
      <w:r>
        <w:t xml:space="preserve">nodule </w:t>
      </w:r>
      <w:r w:rsidRPr="00AD165E">
        <w:t>concentrations of tungsten, as well as macro- and micronutrients of soybean (</w:t>
      </w:r>
      <w:r w:rsidRPr="00AD165E">
        <w:rPr>
          <w:i/>
        </w:rPr>
        <w:t xml:space="preserve">Glycine max </w:t>
      </w:r>
      <w:r w:rsidRPr="00AD165E">
        <w:t>cv Primus) grown semi-hydroponically with increasing W concentrations (control, 0.1, 0.5 mM W supplied as sodium tungstate) and under differing nitrogen supply regimes (N fix: week 2&amp;3 0. 25 mM KNO</w:t>
      </w:r>
      <w:r w:rsidRPr="00AD165E">
        <w:rPr>
          <w:vertAlign w:val="subscript"/>
        </w:rPr>
        <w:t>3</w:t>
      </w:r>
      <w:r w:rsidRPr="00AD165E">
        <w:t xml:space="preserve"> &amp; week 4-7 zero N; N fed: week 2-7 10 mM KNO</w:t>
      </w:r>
      <w:r w:rsidRPr="00AD165E">
        <w:rPr>
          <w:vertAlign w:val="subscript"/>
        </w:rPr>
        <w:t>3</w:t>
      </w:r>
      <w:r w:rsidRPr="00AD165E">
        <w:t xml:space="preserve">).  </w:t>
      </w:r>
      <w:r>
        <w:t xml:space="preserve">LOQ </w:t>
      </w:r>
      <w:r w:rsidRPr="00AD165E">
        <w:t>– limit of quantification</w:t>
      </w:r>
      <w:r>
        <w:t xml:space="preserve">, </w:t>
      </w:r>
      <w:r w:rsidRPr="00C81691">
        <w:t>n.d. for “not determined due to insufficient biomass”</w:t>
      </w:r>
      <w:r>
        <w:t xml:space="preserve">, </w:t>
      </w:r>
      <w:proofErr w:type="spellStart"/>
      <w:r>
        <w:t>n.r.</w:t>
      </w:r>
      <w:proofErr w:type="spellEnd"/>
      <w:r>
        <w:t xml:space="preserve"> for </w:t>
      </w:r>
      <w:r w:rsidRPr="00C81691">
        <w:t xml:space="preserve">“not determined due </w:t>
      </w:r>
      <w:r w:rsidR="006558C6">
        <w:t xml:space="preserve">to </w:t>
      </w:r>
      <w:r>
        <w:t>number of replicates</w:t>
      </w:r>
      <w:r w:rsidRPr="00C81691">
        <w:t>”</w:t>
      </w:r>
      <w:r>
        <w:t>.</w:t>
      </w:r>
    </w:p>
    <w:tbl>
      <w:tblPr>
        <w:tblW w:w="13554" w:type="dxa"/>
        <w:tblLook w:val="04A0" w:firstRow="1" w:lastRow="0" w:firstColumn="1" w:lastColumn="0" w:noHBand="0" w:noVBand="1"/>
      </w:tblPr>
      <w:tblGrid>
        <w:gridCol w:w="842"/>
        <w:gridCol w:w="713"/>
        <w:gridCol w:w="700"/>
        <w:gridCol w:w="286"/>
        <w:gridCol w:w="660"/>
        <w:gridCol w:w="248"/>
        <w:gridCol w:w="841"/>
        <w:gridCol w:w="286"/>
        <w:gridCol w:w="701"/>
        <w:gridCol w:w="248"/>
        <w:gridCol w:w="1042"/>
        <w:gridCol w:w="286"/>
        <w:gridCol w:w="482"/>
        <w:gridCol w:w="248"/>
        <w:gridCol w:w="885"/>
        <w:gridCol w:w="286"/>
        <w:gridCol w:w="573"/>
        <w:gridCol w:w="248"/>
        <w:gridCol w:w="971"/>
        <w:gridCol w:w="286"/>
        <w:gridCol w:w="523"/>
        <w:gridCol w:w="248"/>
        <w:gridCol w:w="705"/>
        <w:gridCol w:w="293"/>
        <w:gridCol w:w="705"/>
        <w:gridCol w:w="248"/>
      </w:tblGrid>
      <w:tr w:rsidR="005072CB" w:rsidRPr="00C81691" w14:paraId="777118A2" w14:textId="77777777" w:rsidTr="00CC6AAF">
        <w:trPr>
          <w:trHeight w:val="288"/>
        </w:trPr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D8E957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Nodules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9F35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unit</w:t>
            </w:r>
          </w:p>
        </w:tc>
        <w:tc>
          <w:tcPr>
            <w:tcW w:w="189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83D8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 fix</w:t>
            </w:r>
          </w:p>
        </w:tc>
        <w:tc>
          <w:tcPr>
            <w:tcW w:w="207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D0204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 fix</w:t>
            </w:r>
          </w:p>
        </w:tc>
        <w:tc>
          <w:tcPr>
            <w:tcW w:w="20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3201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 fix</w:t>
            </w:r>
          </w:p>
        </w:tc>
        <w:tc>
          <w:tcPr>
            <w:tcW w:w="1992" w:type="dxa"/>
            <w:gridSpan w:val="4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37EA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 fed</w:t>
            </w:r>
          </w:p>
        </w:tc>
        <w:tc>
          <w:tcPr>
            <w:tcW w:w="202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FAF2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 fed</w:t>
            </w:r>
          </w:p>
        </w:tc>
        <w:tc>
          <w:tcPr>
            <w:tcW w:w="195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F5233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 fed</w:t>
            </w:r>
          </w:p>
        </w:tc>
      </w:tr>
      <w:tr w:rsidR="005072CB" w:rsidRPr="00C81691" w14:paraId="25145CAA" w14:textId="77777777" w:rsidTr="00CC6AAF">
        <w:trPr>
          <w:trHeight w:val="300"/>
        </w:trPr>
        <w:tc>
          <w:tcPr>
            <w:tcW w:w="84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8CB0233" w14:textId="77777777" w:rsidR="005072CB" w:rsidRPr="00C81691" w:rsidRDefault="005072CB" w:rsidP="00CC6AAF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F204867" w14:textId="77777777" w:rsidR="005072CB" w:rsidRPr="00C81691" w:rsidRDefault="005072CB" w:rsidP="00CC6AAF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6642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CB94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0.1 mM W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CD0D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0.5 mM W</w:t>
            </w:r>
          </w:p>
        </w:tc>
        <w:tc>
          <w:tcPr>
            <w:tcW w:w="1992" w:type="dxa"/>
            <w:gridSpan w:val="4"/>
            <w:tcBorders>
              <w:top w:val="nil"/>
              <w:left w:val="single" w:sz="8" w:space="0" w:color="000000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842E6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51A0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0.1 mM W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F38A7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0.5 mM W</w:t>
            </w:r>
          </w:p>
        </w:tc>
      </w:tr>
      <w:tr w:rsidR="005072CB" w:rsidRPr="00C81691" w14:paraId="1BC5C736" w14:textId="77777777" w:rsidTr="00CC6AAF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33A04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8984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94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180AB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n=6</w:t>
            </w:r>
          </w:p>
        </w:tc>
        <w:tc>
          <w:tcPr>
            <w:tcW w:w="207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F8CE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n=4</w:t>
            </w:r>
          </w:p>
        </w:tc>
        <w:tc>
          <w:tcPr>
            <w:tcW w:w="205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D813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n=1</w:t>
            </w:r>
          </w:p>
        </w:tc>
        <w:tc>
          <w:tcPr>
            <w:tcW w:w="1992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3DCC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n=1</w:t>
            </w:r>
          </w:p>
        </w:tc>
        <w:tc>
          <w:tcPr>
            <w:tcW w:w="202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A5D92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n=1</w:t>
            </w:r>
          </w:p>
        </w:tc>
        <w:tc>
          <w:tcPr>
            <w:tcW w:w="195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646D6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6"/>
              </w:rPr>
              <w:t>n=0</w:t>
            </w:r>
          </w:p>
        </w:tc>
      </w:tr>
      <w:tr w:rsidR="005072CB" w:rsidRPr="00C81691" w14:paraId="1EAAABD7" w14:textId="77777777" w:rsidTr="00CC6AA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781E5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309A2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mg kg</w:t>
            </w: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16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971DB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&lt;LOQ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5AE06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5E8AE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895.21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02C8E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E3419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50.94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57B2E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77A74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1248.65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593AB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2D615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FCBDB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0717C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&lt;LOQ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2828A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AB5B3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677.19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D725B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CDF9E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F8DD7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553A8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</w:t>
            </w: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B349A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1D41C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0DBB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072CB" w:rsidRPr="00C81691" w14:paraId="068B2766" w14:textId="77777777" w:rsidTr="00CC6AA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F2A34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2D139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mg kg</w:t>
            </w: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16AB9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12.01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80E14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0EB0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6777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1E1F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7.44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7142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DF2D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9080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6C98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EA5C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A7379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CBB0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EEB3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6.15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3166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FD493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ACCB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D577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7.66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20E4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BB382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4EB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320D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0C2A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98BD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68FE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072CB" w:rsidRPr="00C81691" w14:paraId="7159E744" w14:textId="77777777" w:rsidTr="00CC6AA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733A6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Cu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94BD7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mg kg</w:t>
            </w: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363B1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15.53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86345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934DB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194A5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458B73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14.92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039C42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8E75E2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4D13C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FC875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14.33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E2055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F33BD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4A5B4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9D706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21.15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EE6B6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9A141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00DA59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C539B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13.46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43C97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95C07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0558F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32DD5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630642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F40B23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C0C8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072CB" w:rsidRPr="00C81691" w14:paraId="60C4DDA2" w14:textId="77777777" w:rsidTr="00CC6AA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A137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893B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mg kg</w:t>
            </w: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7C02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5.49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2740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8FEC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4511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7F65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5.43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21B4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E65E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88F0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41B9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4640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E1C1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9478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9A1F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8.81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85D99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B85A2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2638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11D6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25082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785B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2568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EAC6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97F6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8856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2A01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072CB" w:rsidRPr="00C81691" w14:paraId="4F62F9CE" w14:textId="77777777" w:rsidTr="00CC6AA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778809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Mn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AAA899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mg kg</w:t>
            </w: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12BBA4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16.76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B5560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B2F18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E8F32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C60074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14.64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0C4CB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E6E12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2.32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58F14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2E308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10.02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077F4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ABC73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07BC03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C4B04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27.17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AC8BD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7E438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F0516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6FB65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16.25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B2B38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9DCA9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71AB1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BD7FF4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E26B03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3034D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682BB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072CB" w:rsidRPr="00C81691" w14:paraId="30897DFD" w14:textId="77777777" w:rsidTr="00CC6AA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62F53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254A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 kg</w:t>
            </w: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73C4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12C7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2B60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F0A1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3918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32BE9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835C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3EC9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8E3E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CF15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33BF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171B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354C9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899C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063A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CAB6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87A2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43.50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37EB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1FE8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FB55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D0BD9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C489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AA57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D9A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072CB" w:rsidRPr="00C81691" w14:paraId="251A3E84" w14:textId="77777777" w:rsidTr="00CC6AA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B30DB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2288F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 kg</w:t>
            </w: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ED30E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4.73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79676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80CCA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392F7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DFA70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18731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0328B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3EEBA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E304F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2.81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4334E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51575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905AC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F76AA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2.39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C31A93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DF630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E7C81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F2B539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1F3A6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0F5994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EC616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616FB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072A93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F92F9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A41DD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072CB" w:rsidRPr="00C81691" w14:paraId="0A53A31C" w14:textId="77777777" w:rsidTr="00CC6AA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D0D44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2D634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 kg</w:t>
            </w: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03CF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8.18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FB2C9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AA7C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45B0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6246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EF75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42E89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F46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18A2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1.82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CD9C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A525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5F1A2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3A16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5.38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3C63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6C3E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7468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A2E7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2.61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5819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A6F6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0969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CEB7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2870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2098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55E6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072CB" w:rsidRPr="00C81691" w14:paraId="53CE27F4" w14:textId="77777777" w:rsidTr="00CC6AA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A52F3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11BDE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 kg</w:t>
            </w: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AF2E1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7.93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882D34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3AFF9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6C9D5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DE2AF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231D53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28B99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64B7CA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EB8372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1E75B2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95F9D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9F8913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5A661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0A243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1C38D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BE127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D6F7B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EAA9F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87F57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E1F7E2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EF5E9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0B7C6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B036D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48B3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072CB" w:rsidRPr="00C81691" w14:paraId="3BD4EDF0" w14:textId="77777777" w:rsidTr="00CC6AAF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FAD7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E37F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 kg</w:t>
            </w: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6167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87FF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1EB1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3B7D4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012E3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16442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010F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8B20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24A2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46A73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4B04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B268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1CC4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5B0D4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D9F5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69CC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965C4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20A9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C018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3F31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05DD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BECD3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92296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965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072CB" w:rsidRPr="00C81691" w14:paraId="493E14A5" w14:textId="77777777" w:rsidTr="00CC6AAF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B8D199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K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4DCA60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 kg</w:t>
            </w: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599F04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13.48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3623A3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01ED1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2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3F28DFD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B3DE094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13.18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DD540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EE38B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1.01</w:t>
            </w:r>
          </w:p>
        </w:tc>
        <w:tc>
          <w:tcPr>
            <w:tcW w:w="2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035F1B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6494B4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9.49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A9AE0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855CDE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4877E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2CCF28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13FD22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0E2E5C1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B95063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1D25EF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13.15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44F84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F65779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n.r.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868AF5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8DB637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943453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±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A80D8C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n.d.</w:t>
            </w:r>
          </w:p>
        </w:tc>
        <w:tc>
          <w:tcPr>
            <w:tcW w:w="2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1C92F2" w14:textId="77777777" w:rsidR="005072CB" w:rsidRPr="00C81691" w:rsidRDefault="005072CB" w:rsidP="00CC6AA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8169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14:paraId="6DAAE9C3" w14:textId="7CE0C704" w:rsidR="005072CB" w:rsidRDefault="005072CB" w:rsidP="005072CB">
      <w:pPr>
        <w:jc w:val="both"/>
        <w:rPr>
          <w:b/>
        </w:rPr>
      </w:pPr>
    </w:p>
    <w:p w14:paraId="563FD0F3" w14:textId="693FD4B7" w:rsidR="006558C6" w:rsidRDefault="006558C6" w:rsidP="005072CB">
      <w:pPr>
        <w:jc w:val="both"/>
        <w:rPr>
          <w:b/>
        </w:rPr>
      </w:pPr>
    </w:p>
    <w:p w14:paraId="50D05389" w14:textId="63218D8D" w:rsidR="006558C6" w:rsidRDefault="006558C6" w:rsidP="005072CB">
      <w:pPr>
        <w:jc w:val="both"/>
        <w:rPr>
          <w:b/>
        </w:rPr>
      </w:pPr>
    </w:p>
    <w:p w14:paraId="194051D0" w14:textId="538F4824" w:rsidR="006558C6" w:rsidRDefault="006558C6" w:rsidP="005072CB">
      <w:pPr>
        <w:jc w:val="both"/>
        <w:rPr>
          <w:b/>
        </w:rPr>
      </w:pPr>
    </w:p>
    <w:p w14:paraId="3ACF7408" w14:textId="43A32069" w:rsidR="006558C6" w:rsidRDefault="006558C6" w:rsidP="005072CB">
      <w:pPr>
        <w:jc w:val="both"/>
        <w:rPr>
          <w:b/>
        </w:rPr>
      </w:pPr>
    </w:p>
    <w:p w14:paraId="641F3D40" w14:textId="77777777" w:rsidR="006558C6" w:rsidRDefault="006558C6" w:rsidP="005072CB">
      <w:pPr>
        <w:jc w:val="both"/>
        <w:rPr>
          <w:b/>
        </w:rPr>
      </w:pPr>
    </w:p>
    <w:p w14:paraId="18AC9DAE" w14:textId="15F6AD52" w:rsidR="009B0BE2" w:rsidRDefault="009B0BE2" w:rsidP="009B0BE2">
      <w:pPr>
        <w:jc w:val="both"/>
      </w:pPr>
      <w:r>
        <w:rPr>
          <w:b/>
        </w:rPr>
        <w:lastRenderedPageBreak/>
        <w:t xml:space="preserve">SI Table </w:t>
      </w:r>
      <w:r w:rsidR="005072CB">
        <w:rPr>
          <w:b/>
        </w:rPr>
        <w:t>3</w:t>
      </w:r>
      <w:r>
        <w:rPr>
          <w:b/>
        </w:rPr>
        <w:t xml:space="preserve"> </w:t>
      </w:r>
      <w:bookmarkStart w:id="1" w:name="_Hlk521418768"/>
      <w:r w:rsidRPr="00304178">
        <w:t>List of significantly changed proteins in both organs (roots, nodules) and N regimes</w:t>
      </w:r>
      <w:r>
        <w:rPr>
          <w:b/>
        </w:rPr>
        <w:t xml:space="preserve"> </w:t>
      </w:r>
      <w:r>
        <w:t>(N fix: week 2&amp;3 0. 25 mM KNO</w:t>
      </w:r>
      <w:r>
        <w:rPr>
          <w:vertAlign w:val="subscript"/>
        </w:rPr>
        <w:t>3</w:t>
      </w:r>
      <w:r>
        <w:t xml:space="preserve"> &amp; week 4-7 zero N; N fed: week 2-7 10 mM KNO</w:t>
      </w:r>
      <w:r>
        <w:rPr>
          <w:vertAlign w:val="subscript"/>
        </w:rPr>
        <w:t>3</w:t>
      </w:r>
      <w:r>
        <w:t>) between control and high tungsten (0.5 mM W, supplied as sodium tungstate). Asterisk indicate significant difference (</w:t>
      </w:r>
      <w:r>
        <w:rPr>
          <w:i/>
        </w:rPr>
        <w:t>ANOVA, Post Hoc Tukey</w:t>
      </w:r>
      <w:r>
        <w:t xml:space="preserve">, </w:t>
      </w:r>
      <w:r>
        <w:rPr>
          <w:i/>
        </w:rPr>
        <w:t>p</w:t>
      </w:r>
      <w:r>
        <w:t>&lt;0.05).</w:t>
      </w:r>
      <w:bookmarkEnd w:id="1"/>
      <w:r w:rsidR="0099692D" w:rsidRPr="0099692D">
        <w:t xml:space="preserve"> </w:t>
      </w:r>
      <w:r w:rsidR="0099692D">
        <w:t>Proteins uniquely identified by prototypic peptides are indicated with an x.</w:t>
      </w:r>
    </w:p>
    <w:p w14:paraId="3129ED49" w14:textId="77777777" w:rsidR="009B0BE2" w:rsidRDefault="009B0BE2" w:rsidP="009B0BE2">
      <w:pPr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3"/>
        <w:gridCol w:w="823"/>
        <w:gridCol w:w="894"/>
        <w:gridCol w:w="1506"/>
        <w:gridCol w:w="2338"/>
        <w:gridCol w:w="437"/>
        <w:gridCol w:w="625"/>
        <w:gridCol w:w="536"/>
        <w:gridCol w:w="729"/>
        <w:gridCol w:w="768"/>
        <w:gridCol w:w="426"/>
        <w:gridCol w:w="248"/>
        <w:gridCol w:w="437"/>
        <w:gridCol w:w="625"/>
        <w:gridCol w:w="536"/>
        <w:gridCol w:w="729"/>
        <w:gridCol w:w="768"/>
        <w:gridCol w:w="426"/>
      </w:tblGrid>
      <w:tr w:rsidR="009B0BE2" w:rsidRPr="000C3864" w14:paraId="24FFB723" w14:textId="77777777" w:rsidTr="009A6A92">
        <w:trPr>
          <w:trHeight w:val="300"/>
        </w:trPr>
        <w:tc>
          <w:tcPr>
            <w:tcW w:w="225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0D187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Table 6. Proteins, significant in all organs and all treatments</w:t>
            </w:r>
          </w:p>
        </w:tc>
        <w:tc>
          <w:tcPr>
            <w:tcW w:w="134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2F0DF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N fix</w:t>
            </w:r>
          </w:p>
        </w:tc>
        <w:tc>
          <w:tcPr>
            <w:tcW w:w="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F8A21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134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32FC24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N fed</w:t>
            </w:r>
          </w:p>
        </w:tc>
      </w:tr>
      <w:tr w:rsidR="009B0BE2" w:rsidRPr="00007E22" w14:paraId="6DB25394" w14:textId="77777777" w:rsidTr="009A6A92">
        <w:trPr>
          <w:trHeight w:val="289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18D30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sz w:val="14"/>
              </w:rPr>
              <w:t>ORGAN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2B3F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proofErr w:type="spellStart"/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Uniprot</w:t>
            </w:r>
            <w:proofErr w:type="spellEnd"/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 xml:space="preserve"> ID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B214A9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proofErr w:type="spellStart"/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proteotypic</w:t>
            </w:r>
            <w:proofErr w:type="spellEnd"/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br/>
              <w:t>evaluation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F77AD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Mercator categories</w:t>
            </w:r>
          </w:p>
        </w:tc>
        <w:tc>
          <w:tcPr>
            <w:tcW w:w="8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F1158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Annotation (</w:t>
            </w:r>
            <w:proofErr w:type="spellStart"/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UniprotKB</w:t>
            </w:r>
            <w:proofErr w:type="spellEnd"/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/Uniref100)</w:t>
            </w:r>
          </w:p>
        </w:tc>
        <w:tc>
          <w:tcPr>
            <w:tcW w:w="13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B95395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proofErr w:type="spellStart"/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ztrans</w:t>
            </w:r>
            <w:proofErr w:type="spellEnd"/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 xml:space="preserve"> LFQ int.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84335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13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C73E6A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proofErr w:type="spellStart"/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ztrans</w:t>
            </w:r>
            <w:proofErr w:type="spellEnd"/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 xml:space="preserve"> LFQ int.</w:t>
            </w:r>
          </w:p>
        </w:tc>
      </w:tr>
      <w:tr w:rsidR="009B0BE2" w:rsidRPr="00007E22" w14:paraId="7ACE924F" w14:textId="77777777" w:rsidTr="009A6A92">
        <w:trPr>
          <w:trHeight w:val="60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3D4442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sz w:val="14"/>
              </w:rPr>
            </w:pP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07C9A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</w:p>
        </w:tc>
        <w:tc>
          <w:tcPr>
            <w:tcW w:w="3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91E0E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</w:p>
        </w:tc>
        <w:tc>
          <w:tcPr>
            <w:tcW w:w="5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2A719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</w:p>
        </w:tc>
        <w:tc>
          <w:tcPr>
            <w:tcW w:w="8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143C5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1C6AA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 xml:space="preserve">C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F4964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W 500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F4ECE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ratio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F07A2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p-value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C4A0AE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BH adj. p-value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4E9FD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sig.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139EC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7D040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D05F5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W 500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789E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ratio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245E7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p-value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90762E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BH adj. p-value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6C39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sig.</w:t>
            </w:r>
          </w:p>
        </w:tc>
      </w:tr>
      <w:tr w:rsidR="009B0BE2" w:rsidRPr="00007E22" w14:paraId="4F678EC8" w14:textId="77777777" w:rsidTr="009A6A92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CFD091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ROOT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812BDB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I1KQ26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7C60F5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A035CC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secondary metabolism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3CC60D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Uncharacterized Protein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86C3B3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0EA836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-0.9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7CE99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7.608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9D9927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0.042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093147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0.195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B44EE7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</w:t>
            </w:r>
          </w:p>
        </w:tc>
        <w:tc>
          <w:tcPr>
            <w:tcW w:w="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3D327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0853D6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1.1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851C53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-0.8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9C5EFE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9.307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F4EAA6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DABADF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0.046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3FCB4F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**</w:t>
            </w:r>
          </w:p>
        </w:tc>
      </w:tr>
      <w:tr w:rsidR="009B0BE2" w:rsidRPr="00007E22" w14:paraId="3D275B95" w14:textId="77777777" w:rsidTr="009A6A92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DD7CE0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NODULE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0C7EA3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I1KQ26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62DDD9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5B53D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secondary metabolism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668BC0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Uncharacterized Protein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0C0D21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-1.2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6096A8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80ABE8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0.136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FCD4D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840400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9A45BE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***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7290BE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27B9A3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-0.4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09A2B8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B43406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0.489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3CB973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A34093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0.177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F13267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**</w:t>
            </w:r>
          </w:p>
        </w:tc>
      </w:tr>
      <w:tr w:rsidR="009B0BE2" w:rsidRPr="00007E22" w14:paraId="64287EF1" w14:textId="77777777" w:rsidTr="009A6A92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12584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ROOT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9103F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I1KW53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10BD0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F1CFA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protease inhibitor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8AAC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Uncharacterized Protein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FB908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-0.8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A4BDD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D1C9A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0.107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F0614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907B5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0.206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96773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25F34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AF8BF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-0.8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5B3B3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1.3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B8B42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0.043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A236A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D7B70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5610A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***</w:t>
            </w:r>
          </w:p>
        </w:tc>
      </w:tr>
      <w:tr w:rsidR="009B0BE2" w:rsidRPr="00007E22" w14:paraId="15F6F4BB" w14:textId="77777777" w:rsidTr="009A6A92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ADA3E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NODULE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32535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I1KW53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7544C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9B814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protease inhibitor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7DA9E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Uncharacterized Protein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AA2E8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-0.8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89160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C35A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0.312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C255E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2608A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0.017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E5C5D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***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A012D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BE752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-0.8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63C0A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9F9DE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0.396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36FE6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89183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0.390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328F5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**</w:t>
            </w:r>
          </w:p>
        </w:tc>
      </w:tr>
      <w:tr w:rsidR="009B0BE2" w:rsidRPr="00007E22" w14:paraId="7A1D2E47" w14:textId="77777777" w:rsidTr="009A6A92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17667A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ROOT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C3272C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I1MI59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C27616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8FF30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protease inhibitor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A29C12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proofErr w:type="spellStart"/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kunitz</w:t>
            </w:r>
            <w:proofErr w:type="spellEnd"/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 trypsin inhibitor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4A2AE4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-0.9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5C4A31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96F9B7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0.017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F6B8FF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23EE78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0.005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8057A6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***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F3DEA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E72635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-0.9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B17DD1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34AE77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15E885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85EF43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38B8FA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***</w:t>
            </w:r>
          </w:p>
        </w:tc>
      </w:tr>
      <w:tr w:rsidR="009B0BE2" w:rsidRPr="00007E22" w14:paraId="31B2A77C" w14:textId="77777777" w:rsidTr="009A6A92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854384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NODULE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C042F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I1MI59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B941C3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1CA2A4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protease inhibitor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984E63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proofErr w:type="spellStart"/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kunitz</w:t>
            </w:r>
            <w:proofErr w:type="spellEnd"/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 trypsin inhibitor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03F984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-0.8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8816B7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1.3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DC5B8D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B0E771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ABD53B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2029F4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***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F63050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A82927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-0.8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3FB0EF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738CA6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E7B59D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2F24CC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A37B02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***</w:t>
            </w:r>
          </w:p>
        </w:tc>
      </w:tr>
      <w:tr w:rsidR="009B0BE2" w:rsidRPr="00007E22" w14:paraId="367802E6" w14:textId="77777777" w:rsidTr="009A6A92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01CE2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ROOT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E5F7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I1MV71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302BA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x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C9D25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cell wall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56CC8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proofErr w:type="spellStart"/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expansin</w:t>
            </w:r>
            <w:proofErr w:type="spellEnd"/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-like B1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B146B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-0.8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B0597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5EF3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17C1A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2B388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0.005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E4A2F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***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0EEDB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7EBC0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-0.8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BF454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1.2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9013F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1B9B5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E3D34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ED5AD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***</w:t>
            </w:r>
          </w:p>
        </w:tc>
      </w:tr>
      <w:tr w:rsidR="009B0BE2" w:rsidRPr="00007E22" w14:paraId="40AF9E28" w14:textId="77777777" w:rsidTr="009A6A92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3FC1C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NODULE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B8DBF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I1MV71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9AE7A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x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77336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cell wall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B9FE1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proofErr w:type="spellStart"/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expansin</w:t>
            </w:r>
            <w:proofErr w:type="spellEnd"/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-like B1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15C98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-0.8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A1599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1.3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B7B73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0.028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BE823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535D8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F82F9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***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07B14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E61F7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-0.8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1274F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DCEB9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0.017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084EB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812FF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DA27E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***</w:t>
            </w:r>
          </w:p>
        </w:tc>
      </w:tr>
      <w:tr w:rsidR="009B0BE2" w:rsidRPr="00007E22" w14:paraId="4FC03EC0" w14:textId="77777777" w:rsidTr="009A6A92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532AF7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ROOT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415AF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O48601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E086C8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F86F0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secondary metabolism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88EC2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 xml:space="preserve"> </w:t>
            </w:r>
            <w:proofErr w:type="spellStart"/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NADPH:isoflavone</w:t>
            </w:r>
            <w:proofErr w:type="spellEnd"/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 xml:space="preserve"> reductase 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59A60E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445169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F3F952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3.866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B07FE7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2794D6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0.035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85C05D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**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319BD4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4115F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8B3F00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FCECDE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2.781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17E2E1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67B09A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0.068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EEB5C6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**</w:t>
            </w:r>
          </w:p>
        </w:tc>
      </w:tr>
      <w:tr w:rsidR="009B0BE2" w:rsidRPr="00007E22" w14:paraId="66282B84" w14:textId="77777777" w:rsidTr="009A6A92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D343314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sz w:val="14"/>
              </w:rPr>
            </w:pPr>
            <w:r w:rsidRPr="000C3864">
              <w:rPr>
                <w:rFonts w:ascii="Calibri" w:eastAsia="Times New Roman" w:hAnsi="Calibri" w:cs="Calibri"/>
                <w:sz w:val="14"/>
              </w:rPr>
              <w:t>NODULE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6984C3F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O48601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BB1FFC0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6AD5420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secondary metabolism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2810E44" w14:textId="77777777" w:rsidR="009B0BE2" w:rsidRPr="000C3864" w:rsidRDefault="009B0BE2" w:rsidP="009A6A92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 xml:space="preserve"> </w:t>
            </w:r>
            <w:proofErr w:type="spellStart"/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NADPH:isoflavone</w:t>
            </w:r>
            <w:proofErr w:type="spellEnd"/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 xml:space="preserve"> reductase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C0D1AD8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-0.9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DCBCFFF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EF74979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FCA66A6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2D0B0EA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0.159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B1FED33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DBC8D2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4B3ED8B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-0.8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5ACAB63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C37D027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39442E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0.017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3F974A7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0.605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FCD947" w14:textId="77777777" w:rsidR="009B0BE2" w:rsidRPr="000C3864" w:rsidRDefault="009B0BE2" w:rsidP="009A6A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0C3864">
              <w:rPr>
                <w:rFonts w:ascii="Calibri" w:eastAsia="Times New Roman" w:hAnsi="Calibri" w:cs="Calibri"/>
                <w:color w:val="000000"/>
                <w:sz w:val="14"/>
              </w:rPr>
              <w:t>*</w:t>
            </w:r>
          </w:p>
        </w:tc>
      </w:tr>
    </w:tbl>
    <w:p w14:paraId="62EC1B95" w14:textId="315A0998" w:rsidR="009B0BE2" w:rsidRDefault="009B0BE2" w:rsidP="008B16E4">
      <w:pPr>
        <w:jc w:val="both"/>
        <w:rPr>
          <w:b/>
        </w:rPr>
      </w:pPr>
    </w:p>
    <w:p w14:paraId="662EDE90" w14:textId="2F1D2C0E" w:rsidR="00B83956" w:rsidRDefault="00B83956" w:rsidP="008B16E4">
      <w:pPr>
        <w:jc w:val="both"/>
        <w:rPr>
          <w:b/>
        </w:rPr>
      </w:pPr>
    </w:p>
    <w:p w14:paraId="0D2FE497" w14:textId="01611D9F" w:rsidR="00B83956" w:rsidRDefault="00B83956" w:rsidP="008B16E4">
      <w:pPr>
        <w:jc w:val="both"/>
        <w:rPr>
          <w:b/>
        </w:rPr>
      </w:pPr>
    </w:p>
    <w:p w14:paraId="05BA090C" w14:textId="4CF9D23F" w:rsidR="00B83956" w:rsidRDefault="00B83956" w:rsidP="008B16E4">
      <w:pPr>
        <w:jc w:val="both"/>
        <w:rPr>
          <w:b/>
        </w:rPr>
      </w:pPr>
    </w:p>
    <w:p w14:paraId="2703ABC3" w14:textId="52E12F81" w:rsidR="00B83956" w:rsidRDefault="00B83956" w:rsidP="008B16E4">
      <w:pPr>
        <w:jc w:val="both"/>
        <w:rPr>
          <w:b/>
        </w:rPr>
      </w:pPr>
    </w:p>
    <w:p w14:paraId="23E855A3" w14:textId="77777777" w:rsidR="00B83956" w:rsidRDefault="00B83956" w:rsidP="008B16E4">
      <w:pPr>
        <w:jc w:val="both"/>
        <w:rPr>
          <w:b/>
        </w:rPr>
      </w:pPr>
    </w:p>
    <w:p w14:paraId="52AB55EE" w14:textId="120C7078" w:rsidR="00342401" w:rsidRDefault="00342401" w:rsidP="008B16E4">
      <w:pPr>
        <w:jc w:val="both"/>
        <w:rPr>
          <w:b/>
        </w:rPr>
      </w:pPr>
    </w:p>
    <w:p w14:paraId="024364D8" w14:textId="6E805D40" w:rsidR="00342401" w:rsidRDefault="00342401" w:rsidP="008B16E4">
      <w:pPr>
        <w:jc w:val="both"/>
        <w:rPr>
          <w:b/>
        </w:rPr>
      </w:pPr>
    </w:p>
    <w:p w14:paraId="5CDC5C5C" w14:textId="77777777" w:rsidR="00342401" w:rsidRDefault="00342401" w:rsidP="008B16E4">
      <w:pPr>
        <w:jc w:val="both"/>
        <w:rPr>
          <w:b/>
        </w:rPr>
        <w:sectPr w:rsidR="00342401" w:rsidSect="009B0BE2">
          <w:pgSz w:w="15840" w:h="12240" w:orient="landscape"/>
          <w:pgMar w:top="1282" w:right="1138" w:bottom="1181" w:left="1138" w:header="720" w:footer="720" w:gutter="0"/>
          <w:cols w:space="720"/>
          <w:titlePg/>
          <w:docGrid w:linePitch="360"/>
        </w:sectPr>
      </w:pPr>
    </w:p>
    <w:p w14:paraId="4D865597" w14:textId="4C07A89D" w:rsidR="00342401" w:rsidRDefault="00342401" w:rsidP="008B16E4">
      <w:pPr>
        <w:jc w:val="both"/>
        <w:rPr>
          <w:b/>
        </w:rPr>
      </w:pPr>
    </w:p>
    <w:p w14:paraId="38545E02" w14:textId="000C745D" w:rsidR="00342401" w:rsidRPr="00342401" w:rsidRDefault="0099692D" w:rsidP="00342401">
      <w:pPr>
        <w:jc w:val="both"/>
        <w:rPr>
          <w:b/>
        </w:rPr>
      </w:pPr>
      <w:r>
        <w:rPr>
          <w:b/>
        </w:rPr>
        <w:t xml:space="preserve">SI Table </w:t>
      </w:r>
      <w:r w:rsidR="006558C6">
        <w:rPr>
          <w:b/>
        </w:rPr>
        <w:t>4</w:t>
      </w:r>
      <w:r>
        <w:rPr>
          <w:b/>
        </w:rPr>
        <w:t xml:space="preserve"> </w:t>
      </w:r>
      <w:r w:rsidR="00342401" w:rsidRPr="00304178">
        <w:t>List of significantly changed</w:t>
      </w:r>
      <w:r w:rsidR="00342401">
        <w:t xml:space="preserve"> root</w:t>
      </w:r>
      <w:r w:rsidR="00342401" w:rsidRPr="00304178">
        <w:t xml:space="preserve"> proteins </w:t>
      </w:r>
      <w:r w:rsidR="00342401">
        <w:t>between control and high tungsten (0.5 mM W, supplied as sodium tungstate) of soybean (</w:t>
      </w:r>
      <w:r w:rsidR="00342401">
        <w:rPr>
          <w:i/>
        </w:rPr>
        <w:t xml:space="preserve">Glycine max </w:t>
      </w:r>
      <w:r w:rsidR="00342401">
        <w:t>cv Primus) grown semi-hydroponically under differing nitrogen supply regimes (N fix: week 2&amp;3 0. 25 mM KNO</w:t>
      </w:r>
      <w:r w:rsidR="00342401">
        <w:rPr>
          <w:vertAlign w:val="subscript"/>
        </w:rPr>
        <w:t>3</w:t>
      </w:r>
      <w:r w:rsidR="00342401">
        <w:t xml:space="preserve"> &amp; week 4-7 zero N; N fed: week 2-7 10 mM KNO</w:t>
      </w:r>
      <w:r w:rsidR="00342401">
        <w:rPr>
          <w:vertAlign w:val="subscript"/>
        </w:rPr>
        <w:t>3</w:t>
      </w:r>
      <w:r w:rsidR="00342401">
        <w:t>). Asterisk indicate significant difference (</w:t>
      </w:r>
      <w:r w:rsidR="00342401">
        <w:rPr>
          <w:i/>
        </w:rPr>
        <w:t>ANOVA, Post Hoc Tukey</w:t>
      </w:r>
      <w:r w:rsidR="00342401">
        <w:t xml:space="preserve">, </w:t>
      </w:r>
      <w:r w:rsidR="00342401">
        <w:rPr>
          <w:i/>
        </w:rPr>
        <w:t>p</w:t>
      </w:r>
      <w:r w:rsidR="00342401">
        <w:t>&lt;0.05).</w:t>
      </w:r>
      <w:r w:rsidR="00342401" w:rsidRPr="0099692D">
        <w:t xml:space="preserve"> </w:t>
      </w:r>
      <w:r w:rsidR="00342401">
        <w:t>Proteins uniquely identified by prototypic peptides are indicated with an x.</w:t>
      </w:r>
    </w:p>
    <w:p w14:paraId="280BA3C9" w14:textId="78D8CC21" w:rsidR="0099692D" w:rsidRPr="00342401" w:rsidRDefault="0099692D" w:rsidP="008B16E4">
      <w:pPr>
        <w:jc w:val="both"/>
        <w:rPr>
          <w:b/>
        </w:rPr>
      </w:pPr>
      <w:r w:rsidRPr="00342401">
        <w:rPr>
          <w:b/>
        </w:rPr>
        <w:t xml:space="preserve">SI Table </w:t>
      </w:r>
      <w:r w:rsidR="006558C6">
        <w:rPr>
          <w:b/>
        </w:rPr>
        <w:t>5</w:t>
      </w:r>
      <w:r w:rsidR="006558C6" w:rsidRPr="00342401">
        <w:rPr>
          <w:b/>
        </w:rPr>
        <w:t xml:space="preserve"> </w:t>
      </w:r>
      <w:r w:rsidR="00342401" w:rsidRPr="00304178">
        <w:t>List of significantly changed</w:t>
      </w:r>
      <w:r w:rsidR="00342401">
        <w:t xml:space="preserve"> nodule</w:t>
      </w:r>
      <w:r w:rsidR="00342401" w:rsidRPr="00304178">
        <w:t xml:space="preserve"> proteins </w:t>
      </w:r>
      <w:r w:rsidR="00342401">
        <w:t>between control and high tungsten (0.5 mM W, supplied as sodium tungstate) of soybean (</w:t>
      </w:r>
      <w:r w:rsidR="00342401">
        <w:rPr>
          <w:i/>
        </w:rPr>
        <w:t xml:space="preserve">Glycine max </w:t>
      </w:r>
      <w:r w:rsidR="00342401">
        <w:t>cv Primus) grown semi-hydroponically under differing nitrogen supply regimes (N fix: week 2&amp;3 0. 25 mM KNO</w:t>
      </w:r>
      <w:r w:rsidR="00342401">
        <w:rPr>
          <w:vertAlign w:val="subscript"/>
        </w:rPr>
        <w:t>3</w:t>
      </w:r>
      <w:r w:rsidR="00342401">
        <w:t xml:space="preserve"> &amp; week 4-7 zero N; N fed: week 2-7 10 mM KNO</w:t>
      </w:r>
      <w:r w:rsidR="00342401">
        <w:rPr>
          <w:vertAlign w:val="subscript"/>
        </w:rPr>
        <w:t>3</w:t>
      </w:r>
      <w:r w:rsidR="00342401">
        <w:t>). Asterisk indicate significant difference (</w:t>
      </w:r>
      <w:r w:rsidR="00342401">
        <w:rPr>
          <w:i/>
        </w:rPr>
        <w:t>ANOVA, Post Hoc Tukey</w:t>
      </w:r>
      <w:r w:rsidR="00342401">
        <w:t xml:space="preserve">, </w:t>
      </w:r>
      <w:r w:rsidR="00342401">
        <w:rPr>
          <w:i/>
        </w:rPr>
        <w:t>p</w:t>
      </w:r>
      <w:r w:rsidR="00342401">
        <w:t>&lt;0.05).</w:t>
      </w:r>
      <w:r w:rsidR="00342401" w:rsidRPr="0099692D">
        <w:t xml:space="preserve"> </w:t>
      </w:r>
      <w:r w:rsidR="00342401">
        <w:t>Proteins uniquely identified by prototypic peptides are indicated with an x.</w:t>
      </w:r>
    </w:p>
    <w:p w14:paraId="59A020A3" w14:textId="3D036816" w:rsidR="0099692D" w:rsidRPr="00AB3077" w:rsidRDefault="0099692D" w:rsidP="008B16E4">
      <w:pPr>
        <w:jc w:val="both"/>
        <w:rPr>
          <w:b/>
        </w:rPr>
      </w:pPr>
      <w:r w:rsidRPr="00342401">
        <w:rPr>
          <w:b/>
        </w:rPr>
        <w:t xml:space="preserve">SI Table </w:t>
      </w:r>
      <w:r w:rsidR="006558C6">
        <w:rPr>
          <w:b/>
        </w:rPr>
        <w:t>6</w:t>
      </w:r>
      <w:r w:rsidR="006558C6" w:rsidRPr="00342401">
        <w:rPr>
          <w:b/>
        </w:rPr>
        <w:t xml:space="preserve"> </w:t>
      </w:r>
      <w:r w:rsidR="00342401" w:rsidRPr="00342401">
        <w:rPr>
          <w:b/>
        </w:rPr>
        <w:t xml:space="preserve">(A) </w:t>
      </w:r>
      <w:r w:rsidR="00342401" w:rsidRPr="00304178">
        <w:t xml:space="preserve">List of </w:t>
      </w:r>
      <w:r w:rsidR="00342401">
        <w:t xml:space="preserve">nodule </w:t>
      </w:r>
      <w:r w:rsidR="00342401" w:rsidRPr="00AD165E">
        <w:t xml:space="preserve">proteins above and below the cutoff for significantly changed root and nodule proteins that were responsible for </w:t>
      </w:r>
      <w:r w:rsidR="00342401">
        <w:t>PC1 and separate the control and high tungsten treatment (0.5 mM W, supplied as sodium tungstate) of soybean (</w:t>
      </w:r>
      <w:r w:rsidR="00342401">
        <w:rPr>
          <w:i/>
        </w:rPr>
        <w:t xml:space="preserve">Glycine max </w:t>
      </w:r>
      <w:r w:rsidR="00342401">
        <w:t>cv Primus) grown semi-hydroponically under differing nitrogen supply regimes (N fix: week 2&amp;3 0. 25 mM KNO</w:t>
      </w:r>
      <w:r w:rsidR="00342401">
        <w:rPr>
          <w:vertAlign w:val="subscript"/>
        </w:rPr>
        <w:t>3</w:t>
      </w:r>
      <w:r w:rsidR="00342401">
        <w:t xml:space="preserve"> &amp; week 4-7 zero N; N fed: week 2-7 10 mM KNO</w:t>
      </w:r>
      <w:r w:rsidR="00342401">
        <w:rPr>
          <w:vertAlign w:val="subscript"/>
        </w:rPr>
        <w:t>3</w:t>
      </w:r>
      <w:r w:rsidR="00342401">
        <w:t xml:space="preserve">). </w:t>
      </w:r>
      <w:r w:rsidR="00E22B93" w:rsidRPr="00342401">
        <w:rPr>
          <w:b/>
        </w:rPr>
        <w:t xml:space="preserve">(B) </w:t>
      </w:r>
      <w:r w:rsidR="00342401" w:rsidRPr="00304178">
        <w:t xml:space="preserve">List of </w:t>
      </w:r>
      <w:r w:rsidR="00342401">
        <w:t xml:space="preserve">root </w:t>
      </w:r>
      <w:r w:rsidR="00342401" w:rsidRPr="00AD165E">
        <w:t xml:space="preserve">proteins above and below the cutoff for significantly changed root and nodule proteins that were responsible for </w:t>
      </w:r>
      <w:r w:rsidR="00342401">
        <w:t>PC1 and separate the control and high tungsten treatment (0.5 mM W, supplied as sodium tungstate) of soybean (</w:t>
      </w:r>
      <w:r w:rsidR="00342401">
        <w:rPr>
          <w:i/>
        </w:rPr>
        <w:t xml:space="preserve">Glycine max </w:t>
      </w:r>
      <w:r w:rsidR="00342401">
        <w:t>cv Primus) grown semi-hydroponically under differing nitrogen supply regimes (N fix: week 2&amp;3 0. 25 mM KNO</w:t>
      </w:r>
      <w:r w:rsidR="00342401">
        <w:rPr>
          <w:vertAlign w:val="subscript"/>
        </w:rPr>
        <w:t>3</w:t>
      </w:r>
      <w:r w:rsidR="00342401">
        <w:t xml:space="preserve"> &amp; week 4-7 zero N; N fed: week 2-7 10 mM KNO</w:t>
      </w:r>
      <w:r w:rsidR="00342401">
        <w:rPr>
          <w:vertAlign w:val="subscript"/>
        </w:rPr>
        <w:t>3</w:t>
      </w:r>
      <w:r w:rsidR="00342401">
        <w:t>). Asterisk indicate significant difference (</w:t>
      </w:r>
      <w:r w:rsidR="00342401">
        <w:rPr>
          <w:i/>
        </w:rPr>
        <w:t>ANOVA, Post Hoc Tukey</w:t>
      </w:r>
      <w:r w:rsidR="00342401">
        <w:t xml:space="preserve">, </w:t>
      </w:r>
      <w:r w:rsidR="00342401">
        <w:rPr>
          <w:i/>
        </w:rPr>
        <w:t>p</w:t>
      </w:r>
      <w:r w:rsidR="00342401">
        <w:t>&lt;0.05).</w:t>
      </w:r>
      <w:r w:rsidR="00342401" w:rsidRPr="0099692D">
        <w:t xml:space="preserve"> </w:t>
      </w:r>
      <w:r w:rsidR="00342401">
        <w:t>Proteins uniquely identified by prototypic peptides are indicated with an x.</w:t>
      </w:r>
    </w:p>
    <w:p w14:paraId="55A0A0A5" w14:textId="46BCDD6C" w:rsidR="00E22B93" w:rsidRDefault="00E22B93" w:rsidP="008B16E4">
      <w:pPr>
        <w:jc w:val="both"/>
        <w:rPr>
          <w:b/>
        </w:rPr>
      </w:pPr>
      <w:r>
        <w:rPr>
          <w:b/>
        </w:rPr>
        <w:t xml:space="preserve">SI Table </w:t>
      </w:r>
      <w:r w:rsidR="006558C6">
        <w:rPr>
          <w:b/>
        </w:rPr>
        <w:t xml:space="preserve">7 </w:t>
      </w:r>
      <w:r w:rsidR="00F1736D">
        <w:rPr>
          <w:b/>
        </w:rPr>
        <w:t>(A)</w:t>
      </w:r>
      <w:r w:rsidR="00F1736D" w:rsidRPr="00F1736D">
        <w:t xml:space="preserve"> </w:t>
      </w:r>
      <w:r w:rsidR="00F1736D" w:rsidRPr="00304178">
        <w:t>List of significantly changed</w:t>
      </w:r>
      <w:r w:rsidR="00F1736D">
        <w:t xml:space="preserve"> root and nodule</w:t>
      </w:r>
      <w:r w:rsidR="00F1736D" w:rsidRPr="00304178">
        <w:t xml:space="preserve"> proteins </w:t>
      </w:r>
      <w:r w:rsidR="00F1736D">
        <w:t>between control and high tungsten (0.5 mM W, supplied as sodium tungstate) of soybean (</w:t>
      </w:r>
      <w:r w:rsidR="00F1736D">
        <w:rPr>
          <w:i/>
        </w:rPr>
        <w:t xml:space="preserve">Glycine max </w:t>
      </w:r>
      <w:r w:rsidR="00F1736D">
        <w:t>cv Primus) grown semi-hydroponically under differing nitrogen supply regimes (N fix: week 2&amp;3 0. 25 mM KNO</w:t>
      </w:r>
      <w:r w:rsidR="00F1736D">
        <w:rPr>
          <w:vertAlign w:val="subscript"/>
        </w:rPr>
        <w:t>3</w:t>
      </w:r>
      <w:r w:rsidR="00F1736D">
        <w:t xml:space="preserve"> &amp; week 4-7 zero N; N fed: week 2-7 10 mM KNO</w:t>
      </w:r>
      <w:r w:rsidR="00F1736D">
        <w:rPr>
          <w:vertAlign w:val="subscript"/>
        </w:rPr>
        <w:t>3</w:t>
      </w:r>
      <w:r w:rsidR="00F1736D">
        <w:t>) assigned to the functional category “sugar metabolism”. Asterisk indicate significant difference (</w:t>
      </w:r>
      <w:r w:rsidR="00F1736D">
        <w:rPr>
          <w:i/>
        </w:rPr>
        <w:t>ANOVA, Post Hoc Tukey</w:t>
      </w:r>
      <w:r w:rsidR="00F1736D">
        <w:t xml:space="preserve">, </w:t>
      </w:r>
      <w:r w:rsidR="00F1736D">
        <w:rPr>
          <w:i/>
        </w:rPr>
        <w:t>p</w:t>
      </w:r>
      <w:r w:rsidR="00F1736D">
        <w:t>&lt;0.05).</w:t>
      </w:r>
      <w:r w:rsidR="00F1736D" w:rsidRPr="0099692D">
        <w:t xml:space="preserve"> </w:t>
      </w:r>
      <w:r w:rsidR="00F1736D">
        <w:t>Proteins uniquely identified by prototypic peptides are indicated with an x.</w:t>
      </w:r>
      <w:r w:rsidR="00F1736D">
        <w:rPr>
          <w:b/>
        </w:rPr>
        <w:t xml:space="preserve"> (B)</w:t>
      </w:r>
      <w:r w:rsidR="00F1736D" w:rsidRPr="00F1736D">
        <w:t xml:space="preserve"> </w:t>
      </w:r>
      <w:r w:rsidR="00F1736D" w:rsidRPr="00304178">
        <w:t>List of significantly changed</w:t>
      </w:r>
      <w:r w:rsidR="00F1736D">
        <w:t xml:space="preserve"> nodule</w:t>
      </w:r>
      <w:r w:rsidR="00F1736D" w:rsidRPr="00304178">
        <w:t xml:space="preserve"> proteins </w:t>
      </w:r>
      <w:r w:rsidR="00F1736D">
        <w:t>between control and high tungsten (0.5 mM W, supplied as sodium tungstate) of soybean (</w:t>
      </w:r>
      <w:r w:rsidR="00F1736D">
        <w:rPr>
          <w:i/>
        </w:rPr>
        <w:t xml:space="preserve">Glycine max </w:t>
      </w:r>
      <w:r w:rsidR="00F1736D">
        <w:t>cv Primus) grown semi-hydroponically under differing nitrogen supply regimes (N fix: week 2&amp;3 0. 25 mM KNO</w:t>
      </w:r>
      <w:r w:rsidR="00F1736D">
        <w:rPr>
          <w:vertAlign w:val="subscript"/>
        </w:rPr>
        <w:t>3</w:t>
      </w:r>
      <w:r w:rsidR="00F1736D">
        <w:t xml:space="preserve"> &amp; week 4-7 zero N; N fed: week 2-7 10 mM KNO</w:t>
      </w:r>
      <w:r w:rsidR="00F1736D">
        <w:rPr>
          <w:vertAlign w:val="subscript"/>
        </w:rPr>
        <w:t>3</w:t>
      </w:r>
      <w:r w:rsidR="00F1736D">
        <w:t>) assigned to the functional category “RNA”. Asterisk indicate significant difference (</w:t>
      </w:r>
      <w:r w:rsidR="00F1736D">
        <w:rPr>
          <w:i/>
        </w:rPr>
        <w:t>ANOVA, Post Hoc Tukey</w:t>
      </w:r>
      <w:r w:rsidR="00F1736D">
        <w:t xml:space="preserve">, </w:t>
      </w:r>
      <w:r w:rsidR="00F1736D">
        <w:rPr>
          <w:i/>
        </w:rPr>
        <w:t>p</w:t>
      </w:r>
      <w:r w:rsidR="00F1736D">
        <w:t>&lt;0.05).</w:t>
      </w:r>
      <w:r w:rsidR="00F1736D" w:rsidRPr="0099692D">
        <w:t xml:space="preserve"> </w:t>
      </w:r>
      <w:r w:rsidR="00F1736D">
        <w:t>Proteins uniquely identified by prototypic peptides are indicated with an x.</w:t>
      </w:r>
      <w:r w:rsidR="00F1736D">
        <w:rPr>
          <w:b/>
        </w:rPr>
        <w:t xml:space="preserve"> </w:t>
      </w:r>
      <w:r>
        <w:rPr>
          <w:b/>
        </w:rPr>
        <w:t>(C)</w:t>
      </w:r>
      <w:r w:rsidR="00F1736D" w:rsidRPr="00F1736D">
        <w:t xml:space="preserve"> </w:t>
      </w:r>
      <w:r w:rsidR="00F1736D" w:rsidRPr="00304178">
        <w:t>List of significantly changed</w:t>
      </w:r>
      <w:r w:rsidR="00F1736D">
        <w:t xml:space="preserve"> root and nodule</w:t>
      </w:r>
      <w:r w:rsidR="00F1736D" w:rsidRPr="00304178">
        <w:t xml:space="preserve"> proteins </w:t>
      </w:r>
      <w:r w:rsidR="00F1736D">
        <w:t>between control and high tungsten (0.5 mM W, supplied as sodium tungstate) of soybean (</w:t>
      </w:r>
      <w:r w:rsidR="00F1736D">
        <w:rPr>
          <w:i/>
        </w:rPr>
        <w:t xml:space="preserve">Glycine max </w:t>
      </w:r>
      <w:r w:rsidR="00F1736D">
        <w:t>cv Primus) grown semi-hydroponically under differing nitrogen supply regimes (N fix: week 2&amp;3 0. 25 mM KNO</w:t>
      </w:r>
      <w:r w:rsidR="00F1736D">
        <w:rPr>
          <w:vertAlign w:val="subscript"/>
        </w:rPr>
        <w:t>3</w:t>
      </w:r>
      <w:r w:rsidR="00F1736D">
        <w:t xml:space="preserve"> &amp; week 4-7 zero N; N fed: week 2-7 10 mM KNO</w:t>
      </w:r>
      <w:r w:rsidR="00F1736D">
        <w:rPr>
          <w:vertAlign w:val="subscript"/>
        </w:rPr>
        <w:t>3</w:t>
      </w:r>
      <w:r w:rsidR="00F1736D">
        <w:t>) assigned to the functional category “protease inhibitors”. Asterisk indicate significant difference (</w:t>
      </w:r>
      <w:r w:rsidR="00F1736D">
        <w:rPr>
          <w:i/>
        </w:rPr>
        <w:t>ANOVA, Post Hoc Tukey</w:t>
      </w:r>
      <w:r w:rsidR="00F1736D">
        <w:t xml:space="preserve">, </w:t>
      </w:r>
      <w:r w:rsidR="00F1736D">
        <w:rPr>
          <w:i/>
        </w:rPr>
        <w:t>p</w:t>
      </w:r>
      <w:r w:rsidR="00F1736D">
        <w:t>&lt;0.05).</w:t>
      </w:r>
      <w:r w:rsidR="00F1736D" w:rsidRPr="0099692D">
        <w:t xml:space="preserve"> </w:t>
      </w:r>
      <w:r w:rsidR="00F1736D">
        <w:t>Proteins uniquely identified by prototypic peptides are indicated with an x.</w:t>
      </w:r>
      <w:r w:rsidR="00F1736D" w:rsidRPr="00F1736D">
        <w:rPr>
          <w:b/>
        </w:rPr>
        <w:t xml:space="preserve"> </w:t>
      </w:r>
      <w:r w:rsidR="00F1736D">
        <w:rPr>
          <w:b/>
        </w:rPr>
        <w:t>(D)</w:t>
      </w:r>
      <w:r w:rsidR="00F1736D" w:rsidRPr="00F1736D">
        <w:t xml:space="preserve"> </w:t>
      </w:r>
      <w:r w:rsidR="00F1736D" w:rsidRPr="00304178">
        <w:t>List of significantly changed</w:t>
      </w:r>
      <w:r w:rsidR="00F1736D">
        <w:t xml:space="preserve"> root and nodule</w:t>
      </w:r>
      <w:r w:rsidR="00F1736D" w:rsidRPr="00304178">
        <w:t xml:space="preserve"> proteins </w:t>
      </w:r>
      <w:r w:rsidR="00F1736D">
        <w:t>between control and high tungsten (0.5 mM W, supplied as sodium tungstate) of soybean (</w:t>
      </w:r>
      <w:r w:rsidR="00F1736D">
        <w:rPr>
          <w:i/>
        </w:rPr>
        <w:t xml:space="preserve">Glycine max </w:t>
      </w:r>
      <w:r w:rsidR="00F1736D">
        <w:t>cv Primus) grown semi-hydroponically under differing nitrogen supply regimes (N fix: week 2&amp;3 0. 25 mM KNO</w:t>
      </w:r>
      <w:r w:rsidR="00F1736D">
        <w:rPr>
          <w:vertAlign w:val="subscript"/>
        </w:rPr>
        <w:t>3</w:t>
      </w:r>
      <w:r w:rsidR="00F1736D">
        <w:t xml:space="preserve"> &amp; week 4-7 zero N; N fed: week 2-7 10 mM KNO</w:t>
      </w:r>
      <w:r w:rsidR="00F1736D">
        <w:rPr>
          <w:vertAlign w:val="subscript"/>
        </w:rPr>
        <w:t>3</w:t>
      </w:r>
      <w:r w:rsidR="00F1736D">
        <w:t>) assigned to the functional category “</w:t>
      </w:r>
      <w:r w:rsidR="003C7F38">
        <w:t>transport and ABC transport</w:t>
      </w:r>
      <w:r w:rsidR="00F1736D">
        <w:t>”. Asterisk indicate significant difference (</w:t>
      </w:r>
      <w:r w:rsidR="00F1736D">
        <w:rPr>
          <w:i/>
        </w:rPr>
        <w:t>ANOVA, Post Hoc Tukey</w:t>
      </w:r>
      <w:r w:rsidR="00F1736D">
        <w:t xml:space="preserve">, </w:t>
      </w:r>
      <w:r w:rsidR="00F1736D">
        <w:rPr>
          <w:i/>
        </w:rPr>
        <w:t>p</w:t>
      </w:r>
      <w:r w:rsidR="00F1736D">
        <w:t>&lt;0.05).</w:t>
      </w:r>
      <w:r w:rsidR="00F1736D" w:rsidRPr="0099692D">
        <w:t xml:space="preserve"> </w:t>
      </w:r>
      <w:r w:rsidR="00F1736D">
        <w:t>Proteins uniquely identified by prototypic peptides are indicated with an x.</w:t>
      </w:r>
    </w:p>
    <w:p w14:paraId="5A06AB8B" w14:textId="5687525F" w:rsidR="00CC6AAF" w:rsidRDefault="00E22B93" w:rsidP="00F1736D">
      <w:pPr>
        <w:jc w:val="both"/>
      </w:pPr>
      <w:r>
        <w:rPr>
          <w:b/>
        </w:rPr>
        <w:lastRenderedPageBreak/>
        <w:t xml:space="preserve">SI Table </w:t>
      </w:r>
      <w:r w:rsidR="005072CB">
        <w:rPr>
          <w:b/>
        </w:rPr>
        <w:t xml:space="preserve">8 </w:t>
      </w:r>
      <w:r w:rsidR="00F1736D">
        <w:rPr>
          <w:b/>
        </w:rPr>
        <w:t xml:space="preserve">(A) </w:t>
      </w:r>
      <w:r w:rsidR="00F1736D" w:rsidRPr="00304178">
        <w:t>List of significantly changed</w:t>
      </w:r>
      <w:r w:rsidR="00F1736D">
        <w:t xml:space="preserve"> root </w:t>
      </w:r>
      <w:r w:rsidR="00F1736D" w:rsidRPr="00304178">
        <w:t xml:space="preserve">proteins </w:t>
      </w:r>
      <w:r w:rsidR="00F1736D">
        <w:t>between the different nitrogen supply regimes (N fix: week 2&amp;3 0. 25 mM KNO</w:t>
      </w:r>
      <w:r w:rsidR="00F1736D">
        <w:rPr>
          <w:vertAlign w:val="subscript"/>
        </w:rPr>
        <w:t>3</w:t>
      </w:r>
      <w:r w:rsidR="00F1736D">
        <w:t xml:space="preserve"> &amp; week 4-7 zero N; N fed: week 2-7 10 mM KNO</w:t>
      </w:r>
      <w:r w:rsidR="00F1736D">
        <w:rPr>
          <w:vertAlign w:val="subscript"/>
        </w:rPr>
        <w:t>3</w:t>
      </w:r>
      <w:r w:rsidR="00F1736D">
        <w:t>) of soybean (</w:t>
      </w:r>
      <w:r w:rsidR="00F1736D">
        <w:rPr>
          <w:i/>
        </w:rPr>
        <w:t xml:space="preserve">Glycine max </w:t>
      </w:r>
      <w:r w:rsidR="00F1736D">
        <w:t>cv Primus) grown semi-hydroponically under</w:t>
      </w:r>
      <w:r w:rsidR="00F1736D" w:rsidRPr="00F1736D">
        <w:t xml:space="preserve"> </w:t>
      </w:r>
      <w:r w:rsidR="00F1736D">
        <w:t>control conditions and high tungsten (0.5 mM W, supplied as sodium tungstate). Asterisk indicate significant difference (</w:t>
      </w:r>
      <w:r w:rsidR="00F1736D">
        <w:rPr>
          <w:i/>
        </w:rPr>
        <w:t>ANOVA, Post Hoc Tukey</w:t>
      </w:r>
      <w:r w:rsidR="00F1736D">
        <w:t xml:space="preserve">, </w:t>
      </w:r>
      <w:r w:rsidR="00F1736D">
        <w:rPr>
          <w:i/>
        </w:rPr>
        <w:t>p</w:t>
      </w:r>
      <w:r w:rsidR="00F1736D">
        <w:t>&lt;0.05).</w:t>
      </w:r>
      <w:r w:rsidR="00F1736D" w:rsidRPr="0099692D">
        <w:t xml:space="preserve"> </w:t>
      </w:r>
      <w:r w:rsidR="00F1736D">
        <w:t xml:space="preserve">Proteins uniquely identified by prototypic peptides are indicated with an x. </w:t>
      </w:r>
      <w:r w:rsidR="00F1736D">
        <w:rPr>
          <w:b/>
        </w:rPr>
        <w:t xml:space="preserve">(B) </w:t>
      </w:r>
      <w:r w:rsidR="00F1736D" w:rsidRPr="00304178">
        <w:t>List of significantly changed</w:t>
      </w:r>
      <w:r w:rsidR="00F1736D">
        <w:t xml:space="preserve"> nodule </w:t>
      </w:r>
      <w:r w:rsidR="00F1736D" w:rsidRPr="00304178">
        <w:t xml:space="preserve">proteins </w:t>
      </w:r>
      <w:r w:rsidR="00F1736D">
        <w:t>between the different nitrogen supply regimes (N fix: week 2&amp;3 0. 25 mM KNO</w:t>
      </w:r>
      <w:r w:rsidR="00F1736D">
        <w:rPr>
          <w:vertAlign w:val="subscript"/>
        </w:rPr>
        <w:t>3</w:t>
      </w:r>
      <w:r w:rsidR="00F1736D">
        <w:t xml:space="preserve"> &amp; week 4-7 zero N; N fed: week 2-7 10 mM KNO</w:t>
      </w:r>
      <w:r w:rsidR="00F1736D">
        <w:rPr>
          <w:vertAlign w:val="subscript"/>
        </w:rPr>
        <w:t>3</w:t>
      </w:r>
      <w:r w:rsidR="00F1736D">
        <w:t>) of soybean (</w:t>
      </w:r>
      <w:r w:rsidR="00F1736D">
        <w:rPr>
          <w:i/>
        </w:rPr>
        <w:t xml:space="preserve">Glycine max </w:t>
      </w:r>
      <w:r w:rsidR="00F1736D">
        <w:t>cv Primus) grown semi-hydroponically under</w:t>
      </w:r>
      <w:r w:rsidR="00F1736D" w:rsidRPr="00F1736D">
        <w:t xml:space="preserve"> </w:t>
      </w:r>
      <w:r w:rsidR="00F1736D">
        <w:t>control conditions and high tungsten (0.5 mM W, supplied as sodium tungstate). Asterisk indicate significant difference (</w:t>
      </w:r>
      <w:r w:rsidR="00F1736D">
        <w:rPr>
          <w:i/>
        </w:rPr>
        <w:t>ANOVA, Post Hoc Tukey</w:t>
      </w:r>
      <w:r w:rsidR="00F1736D">
        <w:t xml:space="preserve">, </w:t>
      </w:r>
      <w:r w:rsidR="00F1736D">
        <w:rPr>
          <w:i/>
        </w:rPr>
        <w:t>p</w:t>
      </w:r>
      <w:r w:rsidR="00F1736D">
        <w:t>&lt;0.05).</w:t>
      </w:r>
      <w:r w:rsidR="00F1736D" w:rsidRPr="0099692D">
        <w:t xml:space="preserve"> </w:t>
      </w:r>
      <w:r w:rsidR="00F1736D">
        <w:t>Proteins uniquely identified by prototypic peptides are indicated with an x.</w:t>
      </w:r>
      <w:r w:rsidR="00F1736D">
        <w:rPr>
          <w:b/>
        </w:rPr>
        <w:t xml:space="preserve"> </w:t>
      </w:r>
      <w:r w:rsidR="00CC6AAF">
        <w:rPr>
          <w:b/>
        </w:rPr>
        <w:t xml:space="preserve">(C) </w:t>
      </w:r>
      <w:r w:rsidR="00CC6AAF" w:rsidRPr="00304178">
        <w:t>List of significantly changed</w:t>
      </w:r>
      <w:r w:rsidR="00CC6AAF">
        <w:t xml:space="preserve"> </w:t>
      </w:r>
      <w:r w:rsidR="00CC6AAF" w:rsidRPr="00AD165E">
        <w:rPr>
          <w:sz w:val="23"/>
          <w:szCs w:val="23"/>
        </w:rPr>
        <w:t>N</w:t>
      </w:r>
      <w:r w:rsidR="00CC6AAF" w:rsidRPr="00AD165E">
        <w:rPr>
          <w:sz w:val="23"/>
          <w:szCs w:val="23"/>
          <w:vertAlign w:val="subscript"/>
        </w:rPr>
        <w:t>2</w:t>
      </w:r>
      <w:r w:rsidR="00CC6AAF" w:rsidRPr="00AD165E">
        <w:rPr>
          <w:sz w:val="23"/>
          <w:szCs w:val="23"/>
        </w:rPr>
        <w:t xml:space="preserve">-fixation relevant </w:t>
      </w:r>
      <w:r w:rsidR="00CC6AAF">
        <w:t xml:space="preserve">nodule and root </w:t>
      </w:r>
      <w:r w:rsidR="00CC6AAF" w:rsidRPr="00304178">
        <w:t xml:space="preserve">proteins </w:t>
      </w:r>
      <w:r w:rsidR="00CC6AAF">
        <w:t>between the different nitrogen supply regimes (N fix: week 2&amp;3 0. 25 mM KNO</w:t>
      </w:r>
      <w:r w:rsidR="00CC6AAF">
        <w:rPr>
          <w:vertAlign w:val="subscript"/>
        </w:rPr>
        <w:t>3</w:t>
      </w:r>
      <w:r w:rsidR="00CC6AAF">
        <w:t xml:space="preserve"> &amp; week 4-7 zero N; N fed: week 2-7 10 mM KNO</w:t>
      </w:r>
      <w:r w:rsidR="00CC6AAF">
        <w:rPr>
          <w:vertAlign w:val="subscript"/>
        </w:rPr>
        <w:t>3</w:t>
      </w:r>
      <w:r w:rsidR="00CC6AAF">
        <w:t>) of soybean (</w:t>
      </w:r>
      <w:r w:rsidR="00CC6AAF">
        <w:rPr>
          <w:i/>
        </w:rPr>
        <w:t xml:space="preserve">Glycine max </w:t>
      </w:r>
      <w:r w:rsidR="00CC6AAF">
        <w:t>cv Primus) grown semi-hydroponically under</w:t>
      </w:r>
      <w:r w:rsidR="00CC6AAF" w:rsidRPr="00F1736D">
        <w:t xml:space="preserve"> </w:t>
      </w:r>
      <w:r w:rsidR="00CC6AAF">
        <w:t>control conditions and high tungsten (0.5 mM W, supplied as sodium tungstate). Asterisk indicate significant difference (</w:t>
      </w:r>
      <w:r w:rsidR="00CC6AAF">
        <w:rPr>
          <w:i/>
        </w:rPr>
        <w:t>ANOVA, Post Hoc Tukey</w:t>
      </w:r>
      <w:r w:rsidR="00CC6AAF">
        <w:t xml:space="preserve">, </w:t>
      </w:r>
      <w:r w:rsidR="00CC6AAF">
        <w:rPr>
          <w:i/>
        </w:rPr>
        <w:t>p</w:t>
      </w:r>
      <w:r w:rsidR="00CC6AAF">
        <w:t>&lt;0.05).</w:t>
      </w:r>
      <w:r w:rsidR="00CC6AAF" w:rsidRPr="0099692D">
        <w:t xml:space="preserve"> </w:t>
      </w:r>
      <w:r w:rsidR="00CC6AAF">
        <w:t>Proteins uniquely identified by prototypic peptides are indicated with an x.</w:t>
      </w:r>
    </w:p>
    <w:p w14:paraId="4D059444" w14:textId="2EF76FBC" w:rsidR="00994A3D" w:rsidRPr="00994A3D" w:rsidRDefault="00654E8F" w:rsidP="0001436A">
      <w:pPr>
        <w:pStyle w:val="Heading1"/>
      </w:pPr>
      <w:r w:rsidRPr="00994A3D">
        <w:t xml:space="preserve">Supplementary Figures </w:t>
      </w:r>
    </w:p>
    <w:p w14:paraId="124E179F" w14:textId="1306646A" w:rsidR="009B0BE2" w:rsidRDefault="009B0BE2" w:rsidP="009B0BE2">
      <w:pPr>
        <w:jc w:val="both"/>
      </w:pPr>
      <w:r>
        <w:rPr>
          <w:b/>
        </w:rPr>
        <w:t xml:space="preserve">SI Figure 1 (A) </w:t>
      </w:r>
      <w:r>
        <w:t xml:space="preserve">Pictures five week old soy bean plants comparing the two nitrogen regimes </w:t>
      </w:r>
      <w:r w:rsidRPr="000D640F">
        <w:rPr>
          <w:b/>
        </w:rPr>
        <w:t>1</w:t>
      </w:r>
      <w:r w:rsidRPr="00DF0896">
        <w:rPr>
          <w:b/>
        </w:rPr>
        <w:t>)</w:t>
      </w:r>
      <w:r>
        <w:t xml:space="preserve"> N fix and </w:t>
      </w:r>
      <w:r w:rsidRPr="00304178">
        <w:rPr>
          <w:b/>
        </w:rPr>
        <w:t xml:space="preserve">2) </w:t>
      </w:r>
      <w:r>
        <w:t>N fed (</w:t>
      </w:r>
      <w:proofErr w:type="spellStart"/>
      <w:r>
        <w:t>Nfix</w:t>
      </w:r>
      <w:proofErr w:type="spellEnd"/>
      <w:r>
        <w:t>: week 2&amp;3 0. 25 mM KNO</w:t>
      </w:r>
      <w:r>
        <w:rPr>
          <w:vertAlign w:val="subscript"/>
        </w:rPr>
        <w:t>3</w:t>
      </w:r>
      <w:r>
        <w:t xml:space="preserve"> &amp; week 4-7 zero N; N fed: week 2-7 10 mM KNO</w:t>
      </w:r>
      <w:r>
        <w:rPr>
          <w:vertAlign w:val="subscript"/>
        </w:rPr>
        <w:t>3</w:t>
      </w:r>
      <w:r>
        <w:t xml:space="preserve">) and control, 0.1 mM W and 0.5 mM W (W supplied as sodium tungstate). </w:t>
      </w:r>
      <w:r w:rsidRPr="000D640F">
        <w:rPr>
          <w:b/>
        </w:rPr>
        <w:t>(B)</w:t>
      </w:r>
      <w:r>
        <w:t xml:space="preserve"> Pictures of roots comparing the two nitrogen regimes (N fix: week 2&amp;3 0. 25 mM KNO</w:t>
      </w:r>
      <w:r>
        <w:rPr>
          <w:vertAlign w:val="subscript"/>
        </w:rPr>
        <w:t>3</w:t>
      </w:r>
      <w:r>
        <w:t xml:space="preserve"> &amp; week 4-7 zero N; N fed: week 2-7 10 mM KNO</w:t>
      </w:r>
      <w:r>
        <w:rPr>
          <w:vertAlign w:val="subscript"/>
        </w:rPr>
        <w:t>3</w:t>
      </w:r>
      <w:r>
        <w:t>) and control, 0.1 mM W and 0.5 mM W (W supplied as sodium tungstate).</w:t>
      </w:r>
      <w:r w:rsidRPr="000D640F">
        <w:t xml:space="preserve"> </w:t>
      </w:r>
    </w:p>
    <w:p w14:paraId="7746F79E" w14:textId="2A42DF23" w:rsidR="00327B67" w:rsidRPr="0099692D" w:rsidRDefault="00327B67" w:rsidP="009B0BE2">
      <w:pPr>
        <w:jc w:val="both"/>
        <w:rPr>
          <w:rFonts w:cs="Times New Roman"/>
        </w:rPr>
      </w:pPr>
      <w:r>
        <w:rPr>
          <w:b/>
        </w:rPr>
        <w:t xml:space="preserve">SI </w:t>
      </w:r>
      <w:r w:rsidRPr="00120011">
        <w:rPr>
          <w:b/>
        </w:rPr>
        <w:t xml:space="preserve">Figure </w:t>
      </w:r>
      <w:r>
        <w:rPr>
          <w:b/>
        </w:rPr>
        <w:t>2</w:t>
      </w:r>
      <w:r>
        <w:t xml:space="preserve"> Venn-diagram showing number of significantly changed (</w:t>
      </w:r>
      <w:r w:rsidRPr="00623FCB">
        <w:rPr>
          <w:i/>
        </w:rPr>
        <w:t xml:space="preserve">ANOVA, Post Hoc </w:t>
      </w:r>
      <w:r>
        <w:rPr>
          <w:i/>
        </w:rPr>
        <w:t>Tukey</w:t>
      </w:r>
      <w:r>
        <w:t xml:space="preserve">, </w:t>
      </w:r>
      <w:r w:rsidRPr="00623FCB">
        <w:rPr>
          <w:i/>
        </w:rPr>
        <w:t>p</w:t>
      </w:r>
      <w:r>
        <w:t>&lt;0.05) root and nodule proteins comparing control with high W (0.5 mM W, supplied as sodium tungstate) of both nitrogen regimes (N fix: week 2&amp;3 0. 25 mM KNO</w:t>
      </w:r>
      <w:r w:rsidRPr="00F526C6">
        <w:rPr>
          <w:vertAlign w:val="subscript"/>
        </w:rPr>
        <w:t>3</w:t>
      </w:r>
      <w:r>
        <w:t xml:space="preserve"> &amp; week 4-7 zero N; N fed: </w:t>
      </w:r>
      <w:r w:rsidRPr="0099692D">
        <w:rPr>
          <w:rFonts w:cs="Times New Roman"/>
        </w:rPr>
        <w:t>week 2-7 10 mM KNO</w:t>
      </w:r>
      <w:r w:rsidRPr="0099692D">
        <w:rPr>
          <w:rFonts w:cs="Times New Roman"/>
          <w:vertAlign w:val="subscript"/>
        </w:rPr>
        <w:t>3</w:t>
      </w:r>
      <w:r w:rsidRPr="0099692D">
        <w:rPr>
          <w:rFonts w:cs="Times New Roman"/>
        </w:rPr>
        <w:t>).</w:t>
      </w:r>
    </w:p>
    <w:p w14:paraId="0CB3E417" w14:textId="10C2C397" w:rsidR="0099692D" w:rsidRPr="0099692D" w:rsidRDefault="0099692D" w:rsidP="0099692D">
      <w:pPr>
        <w:jc w:val="both"/>
        <w:rPr>
          <w:rFonts w:eastAsia="Times New Roman" w:cs="Times New Roman"/>
          <w:color w:val="000000"/>
        </w:rPr>
      </w:pPr>
      <w:bookmarkStart w:id="2" w:name="_Hlk524528265"/>
      <w:r w:rsidRPr="0099692D">
        <w:rPr>
          <w:rFonts w:cs="Times New Roman"/>
          <w:b/>
        </w:rPr>
        <w:t xml:space="preserve">SI Figure </w:t>
      </w:r>
      <w:r>
        <w:rPr>
          <w:rFonts w:cs="Times New Roman"/>
          <w:b/>
        </w:rPr>
        <w:t>3</w:t>
      </w:r>
      <w:r w:rsidRPr="0099692D">
        <w:rPr>
          <w:rFonts w:cs="Times New Roman"/>
        </w:rPr>
        <w:t xml:space="preserve"> </w:t>
      </w:r>
      <w:r w:rsidRPr="0099692D">
        <w:rPr>
          <w:rFonts w:cs="Times New Roman"/>
          <w:b/>
        </w:rPr>
        <w:t>(A)</w:t>
      </w:r>
      <w:r w:rsidRPr="0099692D">
        <w:rPr>
          <w:rFonts w:cs="Times New Roman"/>
        </w:rPr>
        <w:t xml:space="preserve"> Venn-diagram showing number of significantly changed (</w:t>
      </w:r>
      <w:r w:rsidRPr="0099692D">
        <w:rPr>
          <w:rFonts w:cs="Times New Roman"/>
          <w:i/>
        </w:rPr>
        <w:t>ANOVA, Post Hoc Tukey</w:t>
      </w:r>
      <w:r w:rsidRPr="0099692D">
        <w:rPr>
          <w:rFonts w:cs="Times New Roman"/>
        </w:rPr>
        <w:t xml:space="preserve">, </w:t>
      </w:r>
      <w:r w:rsidRPr="0099692D">
        <w:rPr>
          <w:rFonts w:cs="Times New Roman"/>
          <w:i/>
        </w:rPr>
        <w:t>p</w:t>
      </w:r>
      <w:r w:rsidRPr="0099692D">
        <w:rPr>
          <w:rFonts w:cs="Times New Roman"/>
        </w:rPr>
        <w:t xml:space="preserve">&lt;0.05) root and nodule proteins comparing control with high W (0.5 mM W, supplied as sodium tungstate) of both nitrogen treatments. </w:t>
      </w:r>
      <w:r w:rsidRPr="0099692D">
        <w:rPr>
          <w:rFonts w:cs="Times New Roman"/>
          <w:b/>
        </w:rPr>
        <w:t>(B)</w:t>
      </w:r>
      <w:r w:rsidRPr="0099692D">
        <w:rPr>
          <w:rFonts w:cs="Times New Roman"/>
        </w:rPr>
        <w:t xml:space="preserve"> Functional categories of 57 proteins that significantly changed in both organs. “Misc.” includes categories with only one protein changed each </w:t>
      </w:r>
      <w:r w:rsidRPr="0099692D">
        <w:rPr>
          <w:rFonts w:eastAsia="Times New Roman" w:cs="Times New Roman"/>
          <w:color w:val="000000"/>
        </w:rPr>
        <w:t xml:space="preserve">(Biodegradation of Xenobiotics, Cell, </w:t>
      </w:r>
      <w:proofErr w:type="spellStart"/>
      <w:r w:rsidRPr="0099692D">
        <w:rPr>
          <w:rFonts w:eastAsia="Times New Roman" w:cs="Times New Roman"/>
          <w:color w:val="000000"/>
        </w:rPr>
        <w:t>Gluco</w:t>
      </w:r>
      <w:proofErr w:type="spellEnd"/>
      <w:r w:rsidRPr="0099692D">
        <w:rPr>
          <w:rFonts w:eastAsia="Times New Roman" w:cs="Times New Roman"/>
          <w:color w:val="000000"/>
        </w:rPr>
        <w:t xml:space="preserve">-, </w:t>
      </w:r>
      <w:proofErr w:type="spellStart"/>
      <w:r w:rsidRPr="0099692D">
        <w:rPr>
          <w:rFonts w:eastAsia="Times New Roman" w:cs="Times New Roman"/>
          <w:color w:val="000000"/>
        </w:rPr>
        <w:t>galacto</w:t>
      </w:r>
      <w:proofErr w:type="spellEnd"/>
      <w:r w:rsidRPr="0099692D">
        <w:rPr>
          <w:rFonts w:eastAsia="Times New Roman" w:cs="Times New Roman"/>
          <w:color w:val="000000"/>
        </w:rPr>
        <w:t>- and mannosidases, Hormone metabolism, Lipid metabolism, Nucleotide metabolism, Oxidases - copper, flavone etc., Protein synthesis, Redox, S-assimilation, RNA).</w:t>
      </w:r>
    </w:p>
    <w:bookmarkEnd w:id="2"/>
    <w:p w14:paraId="13B2C432" w14:textId="30BC045F" w:rsidR="009B0BE2" w:rsidRDefault="00327B67" w:rsidP="009B0BE2">
      <w:pPr>
        <w:jc w:val="both"/>
      </w:pPr>
      <w:r>
        <w:rPr>
          <w:b/>
        </w:rPr>
        <w:t xml:space="preserve">SI Figure </w:t>
      </w:r>
      <w:r w:rsidR="0099692D">
        <w:rPr>
          <w:b/>
        </w:rPr>
        <w:t>4</w:t>
      </w:r>
      <w:r>
        <w:rPr>
          <w:b/>
        </w:rPr>
        <w:t xml:space="preserve"> </w:t>
      </w:r>
      <w:r w:rsidR="0099692D">
        <w:rPr>
          <w:b/>
        </w:rPr>
        <w:t>(</w:t>
      </w:r>
      <w:r>
        <w:rPr>
          <w:b/>
        </w:rPr>
        <w:t xml:space="preserve">A) Heatmap with clustering (Euclidean distance) of proteins with functional category stress. </w:t>
      </w:r>
      <w:r>
        <w:t>(N fix: week 2&amp;3 0. 25 mM KNO</w:t>
      </w:r>
      <w:r>
        <w:rPr>
          <w:vertAlign w:val="subscript"/>
        </w:rPr>
        <w:t>3</w:t>
      </w:r>
      <w:r>
        <w:t xml:space="preserve"> &amp; week 4-7 zero N; N fed: week 2-7 10 mM KNO</w:t>
      </w:r>
      <w:r>
        <w:rPr>
          <w:vertAlign w:val="subscript"/>
        </w:rPr>
        <w:t>3</w:t>
      </w:r>
      <w:r>
        <w:t xml:space="preserve">) and control, 0.1 mM W and 0.5 mM W (W supplied as sodium tungstate). Cluster 6 and 5 show selectively accumulating clusters according to N regime. </w:t>
      </w:r>
      <w:r w:rsidR="0099692D" w:rsidRPr="0099692D">
        <w:rPr>
          <w:b/>
        </w:rPr>
        <w:t>(</w:t>
      </w:r>
      <w:r w:rsidRPr="00F74C5F">
        <w:rPr>
          <w:b/>
        </w:rPr>
        <w:t>B) Protein groups above and below the chosen PC1</w:t>
      </w:r>
      <w:r>
        <w:t xml:space="preserve"> cutoff for significantly changed root and nodule proteins assigned to molecular function “stress” that were responsible for the variance (PC1, see Figure </w:t>
      </w:r>
      <w:r w:rsidR="00A304CD">
        <w:t>5A</w:t>
      </w:r>
      <w:r>
        <w:t xml:space="preserve">–roots &amp; Figure </w:t>
      </w:r>
      <w:r w:rsidR="00A304CD">
        <w:t>5B</w:t>
      </w:r>
      <w:r>
        <w:t>-nodules) between</w:t>
      </w:r>
      <w:r w:rsidR="00A304CD">
        <w:t xml:space="preserve"> the two tungsten treatments.</w:t>
      </w:r>
      <w:bookmarkStart w:id="3" w:name="_GoBack"/>
      <w:bookmarkEnd w:id="3"/>
    </w:p>
    <w:p w14:paraId="5D9FD813" w14:textId="77777777" w:rsidR="0099692D" w:rsidRPr="0099692D" w:rsidRDefault="0099692D" w:rsidP="0099692D"/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B0BE2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9B75" w14:textId="77777777" w:rsidR="009D3241" w:rsidRDefault="009D3241" w:rsidP="00117666">
      <w:pPr>
        <w:spacing w:after="0"/>
      </w:pPr>
      <w:r>
        <w:separator/>
      </w:r>
    </w:p>
  </w:endnote>
  <w:endnote w:type="continuationSeparator" w:id="0">
    <w:p w14:paraId="3D904DCB" w14:textId="77777777" w:rsidR="009D3241" w:rsidRDefault="009D324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CC6AAF" w:rsidRPr="00577C4C" w:rsidRDefault="00CC6AAF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CC6AAF" w:rsidRPr="00577C4C" w:rsidRDefault="00CC6AA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CC6AAF" w:rsidRPr="00577C4C" w:rsidRDefault="00CC6AA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CC6AAF" w:rsidRPr="00577C4C" w:rsidRDefault="00CC6AAF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CC6AAF" w:rsidRPr="00577C4C" w:rsidRDefault="00CC6AA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CC6AAF" w:rsidRPr="00577C4C" w:rsidRDefault="00CC6AA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0694" w14:textId="77777777" w:rsidR="009D3241" w:rsidRDefault="009D3241" w:rsidP="00117666">
      <w:pPr>
        <w:spacing w:after="0"/>
      </w:pPr>
      <w:r>
        <w:separator/>
      </w:r>
    </w:p>
  </w:footnote>
  <w:footnote w:type="continuationSeparator" w:id="0">
    <w:p w14:paraId="0F294CDF" w14:textId="77777777" w:rsidR="009D3241" w:rsidRDefault="009D324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CC6AAF" w:rsidRPr="009151AA" w:rsidRDefault="00CC6AAF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CC6AAF" w:rsidRDefault="00CC6AAF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96F28"/>
    <w:rsid w:val="00105FD9"/>
    <w:rsid w:val="001100B6"/>
    <w:rsid w:val="00117666"/>
    <w:rsid w:val="001549D3"/>
    <w:rsid w:val="00160065"/>
    <w:rsid w:val="00177D84"/>
    <w:rsid w:val="002023B2"/>
    <w:rsid w:val="00267D18"/>
    <w:rsid w:val="002868E2"/>
    <w:rsid w:val="002869C3"/>
    <w:rsid w:val="002936E4"/>
    <w:rsid w:val="002B4A57"/>
    <w:rsid w:val="002C74CA"/>
    <w:rsid w:val="00327B67"/>
    <w:rsid w:val="00342401"/>
    <w:rsid w:val="003544FB"/>
    <w:rsid w:val="003A7219"/>
    <w:rsid w:val="003C7F38"/>
    <w:rsid w:val="003D2F2D"/>
    <w:rsid w:val="00401590"/>
    <w:rsid w:val="00447801"/>
    <w:rsid w:val="00452E9C"/>
    <w:rsid w:val="004735C8"/>
    <w:rsid w:val="00476A84"/>
    <w:rsid w:val="004947A6"/>
    <w:rsid w:val="004961FF"/>
    <w:rsid w:val="005072CB"/>
    <w:rsid w:val="005149ED"/>
    <w:rsid w:val="00517A89"/>
    <w:rsid w:val="005250F2"/>
    <w:rsid w:val="00593EEA"/>
    <w:rsid w:val="005A5EEE"/>
    <w:rsid w:val="006176CF"/>
    <w:rsid w:val="006375C7"/>
    <w:rsid w:val="00654E8F"/>
    <w:rsid w:val="006558C6"/>
    <w:rsid w:val="00660D05"/>
    <w:rsid w:val="006820B1"/>
    <w:rsid w:val="006860CC"/>
    <w:rsid w:val="006B7D14"/>
    <w:rsid w:val="00701727"/>
    <w:rsid w:val="0070566C"/>
    <w:rsid w:val="00714C50"/>
    <w:rsid w:val="00725A7D"/>
    <w:rsid w:val="007501BE"/>
    <w:rsid w:val="00790BB3"/>
    <w:rsid w:val="007C206C"/>
    <w:rsid w:val="007C3397"/>
    <w:rsid w:val="00817DD6"/>
    <w:rsid w:val="0083759F"/>
    <w:rsid w:val="00885156"/>
    <w:rsid w:val="008B16E4"/>
    <w:rsid w:val="009151AA"/>
    <w:rsid w:val="0093429D"/>
    <w:rsid w:val="00943573"/>
    <w:rsid w:val="00967A4F"/>
    <w:rsid w:val="00970F7D"/>
    <w:rsid w:val="00994A3D"/>
    <w:rsid w:val="0099692D"/>
    <w:rsid w:val="009A6A92"/>
    <w:rsid w:val="009B0BE2"/>
    <w:rsid w:val="009C2B12"/>
    <w:rsid w:val="009D3241"/>
    <w:rsid w:val="00A06845"/>
    <w:rsid w:val="00A174D9"/>
    <w:rsid w:val="00A304CD"/>
    <w:rsid w:val="00AA4D24"/>
    <w:rsid w:val="00AB3077"/>
    <w:rsid w:val="00AB6715"/>
    <w:rsid w:val="00B1671E"/>
    <w:rsid w:val="00B25EB8"/>
    <w:rsid w:val="00B37F4D"/>
    <w:rsid w:val="00B83956"/>
    <w:rsid w:val="00C52A7B"/>
    <w:rsid w:val="00C56BAF"/>
    <w:rsid w:val="00C56C30"/>
    <w:rsid w:val="00C679AA"/>
    <w:rsid w:val="00C75972"/>
    <w:rsid w:val="00C81691"/>
    <w:rsid w:val="00C84782"/>
    <w:rsid w:val="00CC6AAF"/>
    <w:rsid w:val="00CD066B"/>
    <w:rsid w:val="00CE4FEE"/>
    <w:rsid w:val="00D929C8"/>
    <w:rsid w:val="00DA2A38"/>
    <w:rsid w:val="00DB59C3"/>
    <w:rsid w:val="00DC259A"/>
    <w:rsid w:val="00DE23E8"/>
    <w:rsid w:val="00E22B93"/>
    <w:rsid w:val="00E52377"/>
    <w:rsid w:val="00E64E17"/>
    <w:rsid w:val="00E866C9"/>
    <w:rsid w:val="00EA3D3C"/>
    <w:rsid w:val="00EC090A"/>
    <w:rsid w:val="00ED20B5"/>
    <w:rsid w:val="00F1736D"/>
    <w:rsid w:val="00F46900"/>
    <w:rsid w:val="00F61D89"/>
    <w:rsid w:val="00F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646406C7-A39E-44B2-89A1-C6BD3724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33EE1D-7B12-46B6-AE50-96567D15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Preiner</dc:creator>
  <cp:keywords/>
  <dc:description/>
  <cp:lastModifiedBy>Julian Preiner</cp:lastModifiedBy>
  <cp:revision>2</cp:revision>
  <cp:lastPrinted>2013-10-03T12:51:00Z</cp:lastPrinted>
  <dcterms:created xsi:type="dcterms:W3CDTF">2019-03-21T15:07:00Z</dcterms:created>
  <dcterms:modified xsi:type="dcterms:W3CDTF">2019-03-21T15:07:00Z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http://www.zotero.org/styles/frontiers-in-plant-science</vt:lpwstr>
  </property>
  <property fmtid="{D5CDD505-2E9C-101B-9397-08002B2CF9AE}" pid="11" name="Mendeley Recent Style Name 4_1">
    <vt:lpwstr>Frontiers in Plant Science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http://www.zotero.org/styles/plant-physiology</vt:lpwstr>
  </property>
  <property fmtid="{D5CDD505-2E9C-101B-9397-08002B2CF9AE}" pid="21" name="Mendeley Recent Style Name 9_1">
    <vt:lpwstr>Plant Physiology</vt:lpwstr>
  </property>
</Properties>
</file>