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9D" w:rsidRPr="005E6BCC" w:rsidRDefault="004D739D" w:rsidP="004D739D">
      <w:pPr>
        <w:spacing w:after="0" w:line="360" w:lineRule="auto"/>
        <w:jc w:val="both"/>
        <w:rPr>
          <w:rStyle w:val="ListParagraph1"/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530056379"/>
      <w:bookmarkStart w:id="1" w:name="_Hlk519927028"/>
      <w:r w:rsidRPr="005E6BCC">
        <w:rPr>
          <w:rStyle w:val="ListParagraph1"/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4D739D" w:rsidRPr="005E6BCC" w:rsidRDefault="004D739D" w:rsidP="004D739D">
      <w:pPr>
        <w:spacing w:after="0" w:line="360" w:lineRule="auto"/>
        <w:jc w:val="both"/>
        <w:rPr>
          <w:lang w:val="en-US"/>
        </w:rPr>
      </w:pPr>
      <w:r w:rsidRPr="005E6BCC">
        <w:rPr>
          <w:rStyle w:val="Normal1"/>
          <w:rFonts w:ascii="Times New Roman" w:hAnsi="Times New Roman" w:cs="Times New Roman"/>
          <w:b/>
          <w:sz w:val="24"/>
          <w:szCs w:val="24"/>
          <w:lang w:val="en-US"/>
        </w:rPr>
        <w:t>Community-level pharmaceutical interventions to reduce the risks of polypharmacy in the elderly: overview of systematic reviews and economic evaluations</w:t>
      </w:r>
    </w:p>
    <w:bookmarkEnd w:id="0"/>
    <w:p w:rsidR="004D739D" w:rsidRPr="005E6BCC" w:rsidRDefault="004D739D" w:rsidP="004D7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1"/>
    <w:p w:rsidR="004D739D" w:rsidRPr="005E6BCC" w:rsidRDefault="004D739D" w:rsidP="004D73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E6BCC">
        <w:rPr>
          <w:rStyle w:val="Normal1"/>
          <w:rFonts w:ascii="Times New Roman" w:hAnsi="Times New Roman" w:cs="Times New Roman"/>
          <w:sz w:val="20"/>
          <w:szCs w:val="20"/>
          <w:lang w:val="en-US"/>
        </w:rPr>
        <w:t>Orenzio</w:t>
      </w:r>
      <w:proofErr w:type="spellEnd"/>
      <w:r w:rsidRPr="005E6BCC">
        <w:rPr>
          <w:rStyle w:val="Normal1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E6BCC">
        <w:rPr>
          <w:rStyle w:val="Normal1"/>
          <w:rFonts w:ascii="Times New Roman" w:hAnsi="Times New Roman" w:cs="Times New Roman"/>
          <w:sz w:val="20"/>
          <w:szCs w:val="20"/>
          <w:lang w:val="en-US"/>
        </w:rPr>
        <w:t>Soler</w:t>
      </w:r>
      <w:proofErr w:type="spellEnd"/>
      <w:r w:rsidRPr="005E6BCC">
        <w:rPr>
          <w:rStyle w:val="Normal1"/>
          <w:rFonts w:ascii="Times New Roman" w:hAnsi="Times New Roman" w:cs="Times New Roman"/>
          <w:sz w:val="20"/>
          <w:szCs w:val="20"/>
          <w:lang w:val="en-US"/>
        </w:rPr>
        <w:t xml:space="preserve">*1, Jorge </w:t>
      </w:r>
      <w:proofErr w:type="spellStart"/>
      <w:r w:rsidRPr="005E6BCC">
        <w:rPr>
          <w:rStyle w:val="Normal1"/>
          <w:rFonts w:ascii="Times New Roman" w:hAnsi="Times New Roman" w:cs="Times New Roman"/>
          <w:sz w:val="20"/>
          <w:szCs w:val="20"/>
          <w:lang w:val="en-US"/>
        </w:rPr>
        <w:t>Otávio</w:t>
      </w:r>
      <w:proofErr w:type="spellEnd"/>
      <w:r w:rsidRPr="005E6BCC">
        <w:rPr>
          <w:rStyle w:val="Normal1"/>
          <w:rFonts w:ascii="Times New Roman" w:hAnsi="Times New Roman" w:cs="Times New Roman"/>
          <w:sz w:val="20"/>
          <w:szCs w:val="20"/>
          <w:lang w:val="en-US"/>
        </w:rPr>
        <w:t xml:space="preserve"> Maia Barreto2.</w:t>
      </w:r>
    </w:p>
    <w:p w:rsidR="004D739D" w:rsidRPr="005E6BCC" w:rsidRDefault="004D739D" w:rsidP="004D73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BCC">
        <w:rPr>
          <w:rStyle w:val="Normal1"/>
          <w:rFonts w:ascii="Times New Roman" w:hAnsi="Times New Roman" w:cs="Times New Roman"/>
          <w:sz w:val="20"/>
          <w:szCs w:val="20"/>
          <w:lang w:val="en-US"/>
        </w:rPr>
        <w:t>1 School of Pharmacy. Health Science Institute. Federal University of Pará. Belém. Pará. Brazil.</w:t>
      </w:r>
    </w:p>
    <w:p w:rsidR="004D739D" w:rsidRPr="005E6BCC" w:rsidRDefault="004D739D" w:rsidP="004D73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BCC">
        <w:rPr>
          <w:rStyle w:val="Normal1"/>
          <w:rFonts w:ascii="Times New Roman" w:hAnsi="Times New Roman" w:cs="Times New Roman"/>
          <w:sz w:val="20"/>
          <w:szCs w:val="20"/>
          <w:lang w:val="en-US"/>
        </w:rPr>
        <w:t xml:space="preserve">2 </w:t>
      </w:r>
      <w:proofErr w:type="spellStart"/>
      <w:r w:rsidRPr="005E6BCC">
        <w:rPr>
          <w:rStyle w:val="Normal1"/>
          <w:rFonts w:ascii="Times New Roman" w:hAnsi="Times New Roman" w:cs="Times New Roman"/>
          <w:sz w:val="20"/>
          <w:szCs w:val="20"/>
          <w:lang w:val="en-US"/>
        </w:rPr>
        <w:t>Fiocruz</w:t>
      </w:r>
      <w:proofErr w:type="spellEnd"/>
      <w:r w:rsidRPr="005E6BCC">
        <w:rPr>
          <w:rStyle w:val="Normal1"/>
          <w:rFonts w:ascii="Times New Roman" w:hAnsi="Times New Roman" w:cs="Times New Roman"/>
          <w:sz w:val="20"/>
          <w:szCs w:val="20"/>
          <w:lang w:val="en-US"/>
        </w:rPr>
        <w:t xml:space="preserve"> School of Government. </w:t>
      </w:r>
      <w:proofErr w:type="spellStart"/>
      <w:r w:rsidRPr="005E6BCC">
        <w:rPr>
          <w:rStyle w:val="Normal1"/>
          <w:rFonts w:ascii="Times New Roman" w:hAnsi="Times New Roman" w:cs="Times New Roman"/>
          <w:sz w:val="20"/>
          <w:szCs w:val="20"/>
          <w:lang w:val="en-US"/>
        </w:rPr>
        <w:t>Fiocruz</w:t>
      </w:r>
      <w:proofErr w:type="spellEnd"/>
      <w:r w:rsidRPr="005E6BCC">
        <w:rPr>
          <w:rStyle w:val="Normal1"/>
          <w:rFonts w:ascii="Times New Roman" w:hAnsi="Times New Roman" w:cs="Times New Roman"/>
          <w:sz w:val="20"/>
          <w:szCs w:val="20"/>
          <w:lang w:val="en-US"/>
        </w:rPr>
        <w:t xml:space="preserve"> Brasília. Osvaldo Cruz Foundation. Brasília. Federal District. Brazil.</w:t>
      </w:r>
    </w:p>
    <w:p w:rsidR="004D739D" w:rsidRPr="005E6BCC" w:rsidRDefault="004D739D" w:rsidP="004D73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E6BCC">
        <w:rPr>
          <w:rFonts w:ascii="Times New Roman" w:hAnsi="Times New Roman" w:cs="Times New Roman"/>
          <w:sz w:val="20"/>
          <w:szCs w:val="20"/>
          <w:lang w:val="en-US"/>
        </w:rPr>
        <w:t xml:space="preserve">* E-mail: </w:t>
      </w:r>
      <w:hyperlink r:id="rId4" w:history="1">
        <w:r w:rsidRPr="005E6BCC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orenziosoler@ufpa.br</w:t>
        </w:r>
      </w:hyperlink>
    </w:p>
    <w:p w:rsidR="004D739D" w:rsidRPr="005E6BCC" w:rsidRDefault="004D739D" w:rsidP="004D739D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739D" w:rsidRPr="005E6BCC" w:rsidRDefault="004D739D" w:rsidP="004D73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6BCC">
        <w:rPr>
          <w:rStyle w:val="ListParagraph1"/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Supplementary Material 7 | </w:t>
      </w:r>
      <w:r w:rsidRPr="005E6BCC">
        <w:rPr>
          <w:rFonts w:ascii="Times New Roman" w:hAnsi="Times New Roman" w:cs="Times New Roman"/>
          <w:sz w:val="24"/>
          <w:szCs w:val="24"/>
          <w:lang w:val="en-US"/>
        </w:rPr>
        <w:t>Distribution of studies by country and continent</w:t>
      </w:r>
    </w:p>
    <w:p w:rsidR="004D739D" w:rsidRPr="005E6BCC" w:rsidRDefault="004D739D" w:rsidP="004D73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BCC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4D739D" w:rsidRDefault="004D739D" w:rsidP="004D739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E6BCC">
        <w:rPr>
          <w:rStyle w:val="ListParagraph1"/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Material 7 | </w:t>
      </w:r>
      <w:r w:rsidRPr="005E6BCC">
        <w:rPr>
          <w:rFonts w:ascii="Times New Roman" w:hAnsi="Times New Roman" w:cs="Times New Roman"/>
          <w:sz w:val="24"/>
          <w:szCs w:val="24"/>
          <w:lang w:val="en-US"/>
        </w:rPr>
        <w:t>Distribution of s</w:t>
      </w:r>
      <w:r w:rsidR="00287299">
        <w:rPr>
          <w:rFonts w:ascii="Times New Roman" w:hAnsi="Times New Roman" w:cs="Times New Roman"/>
          <w:sz w:val="24"/>
          <w:szCs w:val="24"/>
          <w:lang w:val="en-US"/>
        </w:rPr>
        <w:t>tudies by country and continent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9"/>
        <w:gridCol w:w="1120"/>
        <w:gridCol w:w="1559"/>
        <w:gridCol w:w="1040"/>
        <w:gridCol w:w="1023"/>
        <w:gridCol w:w="983"/>
      </w:tblGrid>
      <w:tr w:rsidR="00287299" w:rsidRPr="00CD5C11" w:rsidTr="00CD5C11">
        <w:tc>
          <w:tcPr>
            <w:tcW w:w="0" w:type="auto"/>
            <w:vAlign w:val="center"/>
          </w:tcPr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0" w:type="auto"/>
            <w:vAlign w:val="center"/>
          </w:tcPr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America</w:t>
            </w:r>
          </w:p>
        </w:tc>
        <w:tc>
          <w:tcPr>
            <w:tcW w:w="0" w:type="auto"/>
            <w:vAlign w:val="center"/>
          </w:tcPr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Europe</w:t>
            </w:r>
          </w:p>
        </w:tc>
        <w:tc>
          <w:tcPr>
            <w:tcW w:w="0" w:type="auto"/>
            <w:vAlign w:val="center"/>
          </w:tcPr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Asia</w:t>
            </w:r>
          </w:p>
        </w:tc>
        <w:tc>
          <w:tcPr>
            <w:tcW w:w="0" w:type="auto"/>
            <w:vAlign w:val="center"/>
          </w:tcPr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Africa</w:t>
            </w:r>
          </w:p>
        </w:tc>
        <w:tc>
          <w:tcPr>
            <w:tcW w:w="0" w:type="auto"/>
            <w:vAlign w:val="center"/>
          </w:tcPr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Oceania</w:t>
            </w:r>
          </w:p>
        </w:tc>
      </w:tr>
      <w:tr w:rsidR="00287299" w:rsidRPr="00CD5C11" w:rsidTr="00CD5C11">
        <w:trPr>
          <w:trHeight w:val="6232"/>
        </w:trPr>
        <w:tc>
          <w:tcPr>
            <w:tcW w:w="0" w:type="auto"/>
            <w:vAlign w:val="center"/>
          </w:tcPr>
          <w:p w:rsidR="00287299" w:rsidRPr="00CD5C11" w:rsidRDefault="00287299" w:rsidP="00CD5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Khalil  et al. 2017 (1); Babar  et al. 2017 (2); </w:t>
            </w:r>
            <w:proofErr w:type="spellStart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Loh</w:t>
            </w:r>
            <w:proofErr w:type="spellEnd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 et al. 2016 (3); Cooper et al. 2015 (4); </w:t>
            </w:r>
            <w:proofErr w:type="spellStart"/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Jokanovic</w:t>
            </w:r>
            <w:proofErr w:type="spellEnd"/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et al. 2015 </w:t>
            </w:r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(5); </w:t>
            </w:r>
            <w:proofErr w:type="spellStart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Jórdan</w:t>
            </w:r>
            <w:proofErr w:type="spellEnd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-Sánchez  et al. 2015 (6); </w:t>
            </w:r>
            <w:proofErr w:type="spellStart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Olaniyan</w:t>
            </w:r>
            <w:proofErr w:type="spellEnd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 et al. 2015 (7); </w:t>
            </w:r>
            <w:proofErr w:type="spellStart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Alldred</w:t>
            </w:r>
            <w:proofErr w:type="spellEnd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 et al. 2013 (8); Lee et al. 2013 (9) </w:t>
            </w:r>
            <w:proofErr w:type="spellStart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Sáez</w:t>
            </w:r>
            <w:proofErr w:type="spellEnd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-Benito et al. 2013 (10) Patterson et al. 2012 (11) </w:t>
            </w:r>
            <w:proofErr w:type="spellStart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Desborougha</w:t>
            </w:r>
            <w:proofErr w:type="spellEnd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 et al. 2011 (12); </w:t>
            </w:r>
            <w:proofErr w:type="spellStart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Mathumalar</w:t>
            </w:r>
            <w:proofErr w:type="spellEnd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 et al. 2011 (13) </w:t>
            </w:r>
            <w:proofErr w:type="spellStart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Bojke</w:t>
            </w:r>
            <w:proofErr w:type="spellEnd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et al. 2010 (14) Kaur et al. 2009 (15) </w:t>
            </w:r>
            <w:proofErr w:type="spellStart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Hajjar</w:t>
            </w:r>
            <w:proofErr w:type="spellEnd"/>
            <w:r w:rsidRPr="00CD5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et al. 2007 (16).</w:t>
            </w:r>
          </w:p>
        </w:tc>
        <w:tc>
          <w:tcPr>
            <w:tcW w:w="0" w:type="auto"/>
            <w:vAlign w:val="center"/>
          </w:tcPr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Brazil (4), Canada (21), Colombia (1),</w:t>
            </w:r>
          </w:p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United States of America (USA)</w:t>
            </w:r>
            <w:r w:rsidR="00CD5C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(126).</w:t>
            </w:r>
          </w:p>
        </w:tc>
        <w:tc>
          <w:tcPr>
            <w:tcW w:w="0" w:type="auto"/>
            <w:vAlign w:val="center"/>
          </w:tcPr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Belgium (8), Czech Republic (12), Denmark (8), Finland (6), France (4), Germany (12),</w:t>
            </w:r>
          </w:p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 (13), Northern Ireland (2), Norway (5), Poland (1), Portugal (4), Republic of Ireland (11), Scotland (1),</w:t>
            </w:r>
          </w:p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 (10), Sweden (9),</w:t>
            </w:r>
            <w:r w:rsidRPr="00CD5C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Switzerland</w:t>
            </w: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(5),</w:t>
            </w:r>
          </w:p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Netherlands (14), United Kingdom (UK) (54</w:t>
            </w:r>
            <w:r w:rsid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0" w:type="auto"/>
            <w:vAlign w:val="center"/>
          </w:tcPr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China (5),</w:t>
            </w:r>
          </w:p>
          <w:p w:rsidR="00287299" w:rsidRPr="00CD5C11" w:rsidRDefault="00287299" w:rsidP="00CD5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 (1),</w:t>
            </w:r>
          </w:p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Malaysia (4),</w:t>
            </w:r>
          </w:p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Singapore 1),</w:t>
            </w:r>
          </w:p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Taiwan (2),</w:t>
            </w:r>
          </w:p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Thailand (1),</w:t>
            </w:r>
          </w:p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 (1)</w:t>
            </w:r>
            <w:r w:rsid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287299" w:rsidRPr="00CD5C11" w:rsidRDefault="00287299" w:rsidP="00CD5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Bahrain (2),</w:t>
            </w:r>
          </w:p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Egypt (1),</w:t>
            </w:r>
          </w:p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Iraq (1),</w:t>
            </w:r>
          </w:p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 (11),</w:t>
            </w:r>
          </w:p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Jordan (1),</w:t>
            </w:r>
          </w:p>
          <w:p w:rsidR="00287299" w:rsidRPr="00CD5C11" w:rsidRDefault="00287299" w:rsidP="00CD5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Saudi Arabia (1),</w:t>
            </w:r>
          </w:p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Sudan (1),</w:t>
            </w:r>
          </w:p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United Arab Emirates (UAE) (1).</w:t>
            </w:r>
          </w:p>
        </w:tc>
        <w:tc>
          <w:tcPr>
            <w:tcW w:w="0" w:type="auto"/>
            <w:vAlign w:val="center"/>
          </w:tcPr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Australia (36),</w:t>
            </w:r>
          </w:p>
          <w:p w:rsidR="00287299" w:rsidRPr="00CD5C11" w:rsidRDefault="00287299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Zealand (2</w:t>
            </w:r>
            <w:r w:rsidR="00CD5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</w:tr>
      <w:tr w:rsidR="00CD5C11" w:rsidRPr="00CD5C11" w:rsidTr="00CD5C11">
        <w:trPr>
          <w:trHeight w:val="282"/>
        </w:trPr>
        <w:tc>
          <w:tcPr>
            <w:tcW w:w="0" w:type="auto"/>
            <w:vAlign w:val="center"/>
          </w:tcPr>
          <w:p w:rsidR="00CD5C11" w:rsidRPr="00CD5C11" w:rsidRDefault="00CD5C11" w:rsidP="00CD5C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Total</w:t>
            </w:r>
          </w:p>
        </w:tc>
        <w:tc>
          <w:tcPr>
            <w:tcW w:w="0" w:type="auto"/>
            <w:vAlign w:val="center"/>
          </w:tcPr>
          <w:p w:rsidR="00CD5C11" w:rsidRPr="00CD5C11" w:rsidRDefault="00CD5C11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0" w:type="auto"/>
            <w:vAlign w:val="center"/>
          </w:tcPr>
          <w:p w:rsidR="00CD5C11" w:rsidRPr="00CD5C11" w:rsidRDefault="00CD5C11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0" w:type="auto"/>
            <w:vAlign w:val="center"/>
          </w:tcPr>
          <w:p w:rsidR="00CD5C11" w:rsidRPr="00CD5C11" w:rsidRDefault="00CD5C11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CD5C11" w:rsidRPr="00CD5C11" w:rsidRDefault="00CD5C11" w:rsidP="00CD5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CD5C11" w:rsidRPr="00CD5C11" w:rsidRDefault="00CD5C11" w:rsidP="00CD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</w:tbl>
    <w:p w:rsidR="004D739D" w:rsidRDefault="005E6BCC" w:rsidP="00DB2B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</w:pPr>
      <w:r w:rsidRPr="005E6BC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Note: The same article is likely to be in more than one systematic review.</w:t>
      </w:r>
    </w:p>
    <w:p w:rsidR="00BE5FCB" w:rsidRDefault="00BE5FCB" w:rsidP="00DB2B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</w:pPr>
    </w:p>
    <w:p w:rsidR="00BE5FCB" w:rsidRPr="00CD5C11" w:rsidRDefault="00BE5FCB" w:rsidP="00BE5F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5C11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BE5FCB" w:rsidRPr="00CD5C11" w:rsidRDefault="00BE5FCB" w:rsidP="00BE5F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1. Khalil H, Bell B, Chambers H, Sheikh A, Avery AJ. Professional, structural and organizational interventions in primary care for reducing medication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erros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Cochrane Database of Systematic Reviews (2017) 10. Art. No.: CD003942. DOI: 10.1002/14651858.CD003942.pub3</w:t>
      </w:r>
    </w:p>
    <w:p w:rsidR="00BE5FCB" w:rsidRPr="00CD5C11" w:rsidRDefault="00BE5FCB" w:rsidP="00BE5F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2. Babar ZD,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Kousar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Murtaza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G,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Azhar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S, Khan SA, Curley L. Randomized controlled trials covering pharmaceutical care and medicines management: A systematic review of literature. Research in Social and Administrative Pharmacy xxx (2017) 1:19. </w:t>
      </w:r>
      <w:r w:rsidRPr="00CD5C11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pt-BR"/>
        </w:rPr>
        <w:t>http://dx.doi.org/10.1016/j.sapharm.2017.06.008</w:t>
      </w:r>
    </w:p>
    <w:p w:rsidR="00BE5FCB" w:rsidRPr="00CD5C11" w:rsidRDefault="00BE5FCB" w:rsidP="00BE5F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3.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Loh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Z,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Cheen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M, Wee H. Humanistic and economic outcomes of pharmacist-provided medication review in the community-dwelling elderly: A systematic review and meta-analysis. Journal of Clinical Pharmacy and Therapeutics (2016) 41(6):621-633.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Doi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 10.1111/jcpt.12453</w:t>
      </w:r>
    </w:p>
    <w:p w:rsidR="00BE5FCB" w:rsidRPr="00CD5C11" w:rsidRDefault="00BE5FCB" w:rsidP="00BE5F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4. Cooper JA,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Cadogan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CA, Patterson SM,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Kerse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N, Bradley MC, Ryan C, Hughes CM. Interventions to improve the appropriate use of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polypharmacy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 older people: a Cochrane systematic review. BMJ Open (2015) 5:e009235. </w:t>
      </w:r>
      <w:proofErr w:type="gram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doi:</w:t>
      </w:r>
      <w:proofErr w:type="gram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10.1136/bmjopen-2015-009235</w:t>
      </w:r>
    </w:p>
    <w:p w:rsidR="00BE5FCB" w:rsidRPr="00CD5C11" w:rsidRDefault="00BE5FCB" w:rsidP="00BE5F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1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</w:t>
      </w:r>
      <w:proofErr w:type="spellStart"/>
      <w:r w:rsidRPr="00CD5C11">
        <w:rPr>
          <w:rFonts w:ascii="Times New Roman" w:hAnsi="Times New Roman" w:cs="Times New Roman"/>
          <w:sz w:val="24"/>
          <w:szCs w:val="24"/>
          <w:lang w:val="en-US"/>
        </w:rPr>
        <w:t>Jokanovic</w:t>
      </w:r>
      <w:proofErr w:type="spellEnd"/>
      <w:r w:rsidRPr="00CD5C11">
        <w:rPr>
          <w:rFonts w:ascii="Times New Roman" w:hAnsi="Times New Roman" w:cs="Times New Roman"/>
          <w:sz w:val="24"/>
          <w:szCs w:val="24"/>
          <w:lang w:val="en-US"/>
        </w:rPr>
        <w:t xml:space="preserve"> N, Tan ECK, Dooley MJ, Kirkpatrick CM, Bell JS</w:t>
      </w: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Prevalence and Factors Associated with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Polypharmacy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 Long-Term Care Facilities: A Systematic Review. JAMDA (2015) 16:</w:t>
      </w:r>
      <w:r w:rsidRPr="00CD5C11">
        <w:rPr>
          <w:rFonts w:ascii="Times New Roman" w:hAnsi="Times New Roman" w:cs="Times New Roman"/>
          <w:sz w:val="24"/>
          <w:szCs w:val="24"/>
          <w:lang w:val="en-US"/>
        </w:rPr>
        <w:t>535.e11.</w:t>
      </w: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CD5C11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http://dx.doi.org/10.1016/j.jamda.2015.03.003</w:t>
      </w:r>
    </w:p>
    <w:p w:rsidR="00BE5FCB" w:rsidRPr="00CD5C11" w:rsidRDefault="00BE5FCB" w:rsidP="00BE5F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6.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Jórdan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-Sánchez F,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Malet-Larrea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A, Martín J,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García-Mochón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López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del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Amo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Martínez-Martínez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Gastelurrutia-Garralda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García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-Cárdenas V,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Sabater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-Hernández D,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Sáez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-Benito L,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Benrimoj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S. Cost-Utility Analysis of a Medication Review with Follow-Up Service for Older Adults with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Polypharmacy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 Community Pharmacies in Spain: The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conSIGUE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Program.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PharmacoEconomics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(2015) 33:599-610. DOI 10.1007/s40273-015-0270-2</w:t>
      </w:r>
    </w:p>
    <w:p w:rsidR="00BE5FCB" w:rsidRPr="00CD5C11" w:rsidRDefault="00BE5FCB" w:rsidP="00BE5F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7.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Olaniyan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JO,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Ghaleb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Dhillon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S, Robinson P. Safety of medication use in primary care. International Journal of Pharmacy Practice (2015) 23:3-20. DOI: 10.1111/ijpp.12120</w:t>
      </w:r>
    </w:p>
    <w:p w:rsidR="00BE5FCB" w:rsidRPr="00CD5C11" w:rsidRDefault="00BE5FCB" w:rsidP="00BE5F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8.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Alldred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DP,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Raynor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DK, Hughes C, Barber N, Chen TF, </w:t>
      </w:r>
      <w:proofErr w:type="gram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Spoor</w:t>
      </w:r>
      <w:proofErr w:type="gram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P. Interventions to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optimise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prescribing for older people in care homes (Review). Cochrane Database of Systematic Reviews (2013) 2. Art. </w:t>
      </w:r>
      <w:proofErr w:type="gram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</w:t>
      </w:r>
      <w:proofErr w:type="gram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º: CD009095. DOI: 10.1002/14651858.CD009095.pub2.</w:t>
      </w:r>
    </w:p>
    <w:p w:rsidR="00BE5FCB" w:rsidRPr="00CD5C11" w:rsidRDefault="00BE5FCB" w:rsidP="00BE5F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9. Lee JK, Slack MK, Martin J,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Ehrman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C, Chisholm-Burns M. Geriatric Patient Care by U.S. Pharmacists in Healthcare Teams: Systematic Review and Meta-Analyses. Journal of the American Geriatrics Society (2013) 61(7)</w:t>
      </w:r>
      <w:r w:rsidRPr="00CD5C11">
        <w:rPr>
          <w:rFonts w:ascii="Times New Roman" w:hAnsi="Times New Roman" w:cs="Times New Roman"/>
          <w:sz w:val="24"/>
          <w:szCs w:val="24"/>
          <w:lang w:val="en-US"/>
        </w:rPr>
        <w:t xml:space="preserve">:1119-1127. </w:t>
      </w: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DOI:10.1111/jgs.12323</w:t>
      </w:r>
    </w:p>
    <w:p w:rsidR="00BE5FCB" w:rsidRPr="00CD5C11" w:rsidRDefault="00BE5FCB" w:rsidP="00BE5F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10.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Sáez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-Benito L, Fernandez-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Llimos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Feletto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Gastelurrutia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MA, Martinez-Martinez F,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Benrimo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S. Evidence of the clinical effectiveness of cognitive pharmaceutical services for aged patients. Age and Ageing (2013) 42:442-449. DOI: 10.1093/ageing/aft045</w:t>
      </w:r>
    </w:p>
    <w:p w:rsidR="00BE5FCB" w:rsidRPr="00CD5C11" w:rsidRDefault="00BE5FCB" w:rsidP="00BE5F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11. Patterson SM, Hughes C,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Kerse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N, Cardwell CR, Bradley MC. Interventions to improve the appropriate use of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polypharmacy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for older people. Cochrane Database of Systematic Reviews (2012) 5. Art. </w:t>
      </w:r>
      <w:proofErr w:type="gram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</w:t>
      </w:r>
      <w:proofErr w:type="gram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º: CD008165. DOI: 10.1002/14651858.CD008165.pub2.</w:t>
      </w:r>
    </w:p>
    <w:p w:rsidR="00BE5FCB" w:rsidRPr="00CD5C11" w:rsidRDefault="00BE5FCB" w:rsidP="00BE5F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12.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Desborougha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JA,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Sachb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T, Bhattacharya D, Holland RC, Wright DJ. A cost-consequences analysis of an adherence focused pharmacist-led medication review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servisse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International Journal of Pharmacy Practice (2011) 20:41-49. DOI: 10.1111/j.2042-</w:t>
      </w:r>
      <w:bookmarkStart w:id="2" w:name="_GoBack"/>
      <w:bookmarkEnd w:id="2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7174.2011.00161.x</w:t>
      </w:r>
    </w:p>
    <w:p w:rsidR="00BE5FCB" w:rsidRPr="00CD5C11" w:rsidRDefault="00BE5FCB" w:rsidP="00BE5F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13.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Mathumalar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Shonella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S, Dean FB, Bottle </w:t>
      </w:r>
      <w:proofErr w:type="gram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</w:t>
      </w:r>
      <w:proofErr w:type="gram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Azeem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M. Interventions to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optimise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prescribing in care homes: systematic review. Age and Ageing (2011) 40:150–162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doi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 10.1093/ageing/afq161</w:t>
      </w:r>
    </w:p>
    <w:p w:rsidR="00BE5FCB" w:rsidRPr="00CD5C11" w:rsidRDefault="00BE5FCB" w:rsidP="00BE5F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14.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Bojke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Sculpher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M, Campion P,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Chrystyn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Coulton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S, Cross B, Richmond S,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Farrin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A, Hill G, Hilton A, </w:t>
      </w:r>
      <w:proofErr w:type="gram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Miles</w:t>
      </w:r>
      <w:proofErr w:type="gram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J, Russell I, Chi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KeiWong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I. Cost-effectiveness of shared Pharmaceutical care for older patients: RESPECT trial findings. Br J Gen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Pract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</w:t>
      </w:r>
      <w:r w:rsidRPr="00CD5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2010) January: </w:t>
      </w: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21-27. DOI: 10.3399/bjgp09X482312.</w:t>
      </w:r>
    </w:p>
    <w:p w:rsidR="00BE5FCB" w:rsidRPr="00CD5C11" w:rsidRDefault="00BE5FCB" w:rsidP="00BE5F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15. Kaur S, Mitchell G,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Vitetta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L, Roberts MS. Interventions that can Reduce Inappropriate Prescribing in the Elderly - A Systematic Review. Drugs Aging (2009</w:t>
      </w:r>
      <w:proofErr w:type="gram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  26</w:t>
      </w:r>
      <w:proofErr w:type="gram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(12):1013-1028 DOI: 1170-229X/09/0012-1013/$49.95/0</w:t>
      </w:r>
    </w:p>
    <w:p w:rsidR="00BE5FCB" w:rsidRPr="00CD5C11" w:rsidRDefault="00BE5FCB" w:rsidP="00BE5FCB">
      <w:pPr>
        <w:spacing w:before="120" w:after="120" w:line="276" w:lineRule="auto"/>
        <w:jc w:val="both"/>
        <w:rPr>
          <w:sz w:val="24"/>
          <w:szCs w:val="24"/>
          <w:lang w:val="en-US" w:eastAsia="pt-BR"/>
        </w:rPr>
      </w:pPr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 xml:space="preserve">16.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Hajjar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ER,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Cafiero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AC, Hanlon JT. </w:t>
      </w:r>
      <w:proofErr w:type="spellStart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Polypharmacy</w:t>
      </w:r>
      <w:proofErr w:type="spellEnd"/>
      <w:r w:rsidRPr="00CD5C1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 Elderly Patients. The American Journal of Geriatric Pharmacotherapy (2007) 5(4):341-355. </w:t>
      </w:r>
      <w:proofErr w:type="gramStart"/>
      <w:r w:rsidRPr="00CD5C11">
        <w:rPr>
          <w:rFonts w:ascii="Times New Roman" w:hAnsi="Times New Roman" w:cs="Times New Roman"/>
          <w:sz w:val="24"/>
          <w:szCs w:val="24"/>
          <w:lang w:val="en-US"/>
        </w:rPr>
        <w:t>doi:</w:t>
      </w:r>
      <w:proofErr w:type="gramEnd"/>
      <w:r w:rsidRPr="00CD5C11">
        <w:rPr>
          <w:rFonts w:ascii="Times New Roman" w:hAnsi="Times New Roman" w:cs="Times New Roman"/>
          <w:sz w:val="24"/>
          <w:szCs w:val="24"/>
          <w:lang w:val="en-US"/>
        </w:rPr>
        <w:t>10,1016/</w:t>
      </w:r>
      <w:proofErr w:type="spellStart"/>
      <w:r w:rsidRPr="00CD5C11">
        <w:rPr>
          <w:rFonts w:ascii="Times New Roman" w:hAnsi="Times New Roman" w:cs="Times New Roman"/>
          <w:sz w:val="24"/>
          <w:szCs w:val="24"/>
          <w:lang w:val="en-US"/>
        </w:rPr>
        <w:t>j,amj</w:t>
      </w:r>
      <w:proofErr w:type="spellEnd"/>
      <w:r w:rsidRPr="00CD5C11">
        <w:rPr>
          <w:rFonts w:ascii="Times New Roman" w:hAnsi="Times New Roman" w:cs="Times New Roman"/>
          <w:sz w:val="24"/>
          <w:szCs w:val="24"/>
          <w:lang w:val="en-US"/>
        </w:rPr>
        <w:t xml:space="preserve"> opharm,2007,12,002</w:t>
      </w:r>
    </w:p>
    <w:p w:rsidR="00BE5FCB" w:rsidRPr="00CD5C11" w:rsidRDefault="00BE5FCB" w:rsidP="00BE5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</w:p>
    <w:p w:rsidR="00BE5FCB" w:rsidRPr="00CD5C11" w:rsidRDefault="00BE5FCB" w:rsidP="00DB2BEC">
      <w:pPr>
        <w:spacing w:before="120" w:after="120" w:line="240" w:lineRule="auto"/>
        <w:jc w:val="both"/>
        <w:rPr>
          <w:sz w:val="24"/>
          <w:szCs w:val="24"/>
          <w:lang w:val="en-US"/>
        </w:rPr>
      </w:pPr>
    </w:p>
    <w:sectPr w:rsidR="00BE5FCB" w:rsidRPr="00CD5C11" w:rsidSect="00213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9D"/>
    <w:rsid w:val="00213254"/>
    <w:rsid w:val="00287299"/>
    <w:rsid w:val="004D739D"/>
    <w:rsid w:val="005E6BCC"/>
    <w:rsid w:val="00A63495"/>
    <w:rsid w:val="00AD5F38"/>
    <w:rsid w:val="00BE5FCB"/>
    <w:rsid w:val="00CD5C11"/>
    <w:rsid w:val="00D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1BEB7-1FC5-4929-818A-CB4544EF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D739D"/>
    <w:rPr>
      <w:b/>
      <w:bCs/>
    </w:rPr>
  </w:style>
  <w:style w:type="character" w:styleId="Hyperlink">
    <w:name w:val="Hyperlink"/>
    <w:basedOn w:val="Fontepargpadro"/>
    <w:uiPriority w:val="99"/>
    <w:unhideWhenUsed/>
    <w:rsid w:val="004D739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D739D"/>
    <w:pPr>
      <w:ind w:left="720"/>
      <w:contextualSpacing/>
    </w:pPr>
  </w:style>
  <w:style w:type="character" w:customStyle="1" w:styleId="ListParagraph1">
    <w:name w:val="List Paragraph1"/>
    <w:basedOn w:val="Fontepargpadro"/>
    <w:rsid w:val="004D739D"/>
  </w:style>
  <w:style w:type="character" w:customStyle="1" w:styleId="Normal1">
    <w:name w:val="Normal1"/>
    <w:basedOn w:val="Fontepargpadro"/>
    <w:qFormat/>
    <w:rsid w:val="004D739D"/>
    <w:rPr>
      <w:lang w:val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enziosoler@ufp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Orenzio Soler</dc:creator>
  <cp:keywords/>
  <dc:description/>
  <cp:lastModifiedBy>Usuário do Windows</cp:lastModifiedBy>
  <cp:revision>3</cp:revision>
  <dcterms:created xsi:type="dcterms:W3CDTF">2019-02-12T13:33:00Z</dcterms:created>
  <dcterms:modified xsi:type="dcterms:W3CDTF">2019-02-12T13:42:00Z</dcterms:modified>
</cp:coreProperties>
</file>