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AA" w:rsidRDefault="005C79AF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Default="00676987"/>
    <w:p w:rsidR="00676987" w:rsidRPr="00676987" w:rsidRDefault="00676987" w:rsidP="00676987">
      <w:pPr>
        <w:pStyle w:val="Title"/>
        <w:jc w:val="center"/>
        <w:rPr>
          <w:sz w:val="44"/>
        </w:rPr>
      </w:pPr>
      <w:r w:rsidRPr="00676987">
        <w:rPr>
          <w:sz w:val="44"/>
        </w:rPr>
        <w:t xml:space="preserve">Supplementary material to Draxler et al: </w:t>
      </w:r>
      <w:r>
        <w:rPr>
          <w:sz w:val="44"/>
        </w:rPr>
        <w:br/>
      </w:r>
      <w:r w:rsidRPr="00676987">
        <w:rPr>
          <w:sz w:val="44"/>
        </w:rPr>
        <w:t>“t-PA suppresses the immune response and aggravates neurological de</w:t>
      </w:r>
      <w:r w:rsidR="00FB77B3">
        <w:rPr>
          <w:sz w:val="44"/>
        </w:rPr>
        <w:t>ficit in a murine model of isch</w:t>
      </w:r>
      <w:r w:rsidRPr="00676987">
        <w:rPr>
          <w:sz w:val="44"/>
        </w:rPr>
        <w:t>emic stroke</w:t>
      </w:r>
      <w:r>
        <w:rPr>
          <w:sz w:val="44"/>
        </w:rPr>
        <w:t>”</w:t>
      </w:r>
    </w:p>
    <w:p w:rsidR="00676987" w:rsidRDefault="00676987" w:rsidP="00676987">
      <w:pPr>
        <w:jc w:val="both"/>
      </w:pPr>
      <w:r>
        <w:t>”</w:t>
      </w:r>
    </w:p>
    <w:p w:rsidR="00676987" w:rsidRDefault="00676987"/>
    <w:p w:rsidR="00676987" w:rsidRDefault="00676987"/>
    <w:p w:rsidR="00676987" w:rsidRDefault="00676987"/>
    <w:p w:rsidR="00676987" w:rsidRDefault="00676987"/>
    <w:p w:rsidR="00676987" w:rsidRPr="00FB77B3" w:rsidRDefault="007B79DA" w:rsidP="00FB77B3">
      <w:r>
        <w:br w:type="page"/>
      </w:r>
    </w:p>
    <w:p w:rsidR="007B79DA" w:rsidRDefault="00990301" w:rsidP="00990301">
      <w:r w:rsidRPr="006F4678">
        <w:rPr>
          <w:b/>
          <w:sz w:val="24"/>
          <w:szCs w:val="24"/>
        </w:rPr>
        <w:lastRenderedPageBreak/>
        <w:t>Supplementary table 1. Antibody panels used for flow</w:t>
      </w:r>
      <w:r>
        <w:rPr>
          <w:b/>
          <w:sz w:val="24"/>
          <w:szCs w:val="24"/>
        </w:rPr>
        <w:t xml:space="preserve"> </w:t>
      </w:r>
      <w:r w:rsidRPr="006F4678">
        <w:rPr>
          <w:b/>
          <w:sz w:val="24"/>
          <w:szCs w:val="24"/>
        </w:rPr>
        <w:t>cytometry</w:t>
      </w:r>
    </w:p>
    <w:p w:rsidR="00676987" w:rsidRPr="009F2408" w:rsidRDefault="00676987" w:rsidP="00676987">
      <w:pPr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678"/>
        <w:gridCol w:w="2500"/>
      </w:tblGrid>
      <w:tr w:rsidR="00676987" w:rsidTr="008038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76987" w:rsidRDefault="00676987" w:rsidP="0080383B">
            <w:pPr>
              <w:jc w:val="center"/>
              <w:rPr>
                <w:b/>
              </w:rPr>
            </w:pPr>
            <w:r>
              <w:rPr>
                <w:b/>
              </w:rPr>
              <w:t>antibody cocktail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76987" w:rsidRDefault="00676987" w:rsidP="0080383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fluorochrome</w:t>
            </w:r>
            <w:proofErr w:type="spellEnd"/>
            <w:r>
              <w:rPr>
                <w:b/>
              </w:rPr>
              <w:t>-labelled antibody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987" w:rsidRDefault="00676987" w:rsidP="0080383B">
            <w:pPr>
              <w:jc w:val="center"/>
              <w:rPr>
                <w:b/>
              </w:rPr>
            </w:pPr>
            <w:r>
              <w:rPr>
                <w:b/>
              </w:rPr>
              <w:t>supplier</w:t>
            </w:r>
          </w:p>
        </w:tc>
      </w:tr>
      <w:tr w:rsidR="00676987" w:rsidTr="008038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CD11c V450, MHC class II APCeFluor780, B220 AF700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BD Biosciences,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76987" w:rsidRDefault="00676987" w:rsidP="0080383B">
            <w:pPr>
              <w:rPr>
                <w:b/>
              </w:rPr>
            </w:pPr>
            <w:r>
              <w:rPr>
                <w:b/>
              </w:rPr>
              <w:t>myeloid subsets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CD103 AF647, F4/80 PerCPCy5.5, CD8 BV650 and CD80 biotin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  <w:r>
              <w:rPr>
                <w:sz w:val="24"/>
                <w:szCs w:val="24"/>
              </w:rPr>
              <w:t>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CD11b PECy7, Gr1 FITC, CD86 PE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proofErr w:type="spellStart"/>
            <w:r>
              <w:rPr>
                <w:sz w:val="24"/>
                <w:szCs w:val="24"/>
              </w:rPr>
              <w:t>eBiosciences</w:t>
            </w:r>
            <w:proofErr w:type="spellEnd"/>
            <w:r>
              <w:rPr>
                <w:sz w:val="24"/>
                <w:szCs w:val="24"/>
              </w:rPr>
              <w:t>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76987" w:rsidRDefault="00676987" w:rsidP="00803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LIVE/DEAD™ Fixable Aqua Dead Cell Stain Kit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987" w:rsidRDefault="00676987" w:rsidP="00803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Technologies, USA</w:t>
            </w:r>
          </w:p>
        </w:tc>
      </w:tr>
      <w:tr w:rsidR="00676987" w:rsidTr="008038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 xml:space="preserve">CD4 BV605, B220 AF700 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BD Biosciences,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CD8 BV650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proofErr w:type="spellStart"/>
            <w:r>
              <w:rPr>
                <w:sz w:val="24"/>
                <w:szCs w:val="24"/>
              </w:rPr>
              <w:t>BioLegend</w:t>
            </w:r>
            <w:proofErr w:type="spellEnd"/>
            <w:r>
              <w:rPr>
                <w:sz w:val="24"/>
                <w:szCs w:val="24"/>
              </w:rPr>
              <w:t>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676987" w:rsidRDefault="00676987" w:rsidP="0080383B">
            <w:pPr>
              <w:rPr>
                <w:b/>
              </w:rPr>
            </w:pPr>
            <w:r>
              <w:rPr>
                <w:b/>
              </w:rPr>
              <w:t>lymphoid subsets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Default="00676987" w:rsidP="0080383B">
            <w:r>
              <w:rPr>
                <w:sz w:val="24"/>
                <w:szCs w:val="24"/>
              </w:rPr>
              <w:t>CD3 APCeFluor780, CD69 V450, NK1.1 PE, CD19 FITC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76987" w:rsidRDefault="00676987" w:rsidP="0080383B">
            <w:proofErr w:type="spellStart"/>
            <w:r>
              <w:rPr>
                <w:sz w:val="24"/>
                <w:szCs w:val="24"/>
              </w:rPr>
              <w:t>eBiosciences</w:t>
            </w:r>
            <w:proofErr w:type="spellEnd"/>
            <w:r>
              <w:rPr>
                <w:sz w:val="24"/>
                <w:szCs w:val="24"/>
              </w:rPr>
              <w:t>, USA</w:t>
            </w:r>
          </w:p>
        </w:tc>
      </w:tr>
      <w:tr w:rsidR="00676987" w:rsidTr="0080383B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76987" w:rsidRDefault="00676987" w:rsidP="0080383B">
            <w:pPr>
              <w:rPr>
                <w:b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76987" w:rsidRDefault="00676987" w:rsidP="00803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LIVE/DEAD™ Fixable Aqua Dead Cell Stain Kit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6987" w:rsidRDefault="00676987" w:rsidP="00803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Technologies, USA</w:t>
            </w:r>
          </w:p>
        </w:tc>
      </w:tr>
    </w:tbl>
    <w:p w:rsidR="00676987" w:rsidRDefault="00676987" w:rsidP="00676987"/>
    <w:p w:rsidR="00676987" w:rsidRPr="000268DF" w:rsidRDefault="00676987" w:rsidP="00676987">
      <w:pPr>
        <w:rPr>
          <w:b/>
          <w:sz w:val="24"/>
          <w:szCs w:val="24"/>
        </w:rPr>
      </w:pPr>
      <w:r w:rsidRPr="006F4678">
        <w:rPr>
          <w:sz w:val="24"/>
          <w:szCs w:val="24"/>
        </w:rPr>
        <w:br w:type="page"/>
      </w:r>
    </w:p>
    <w:p w:rsidR="00FB77B3" w:rsidRDefault="00990301" w:rsidP="00F5409B">
      <w:pPr>
        <w:rPr>
          <w:rFonts w:cstheme="minorHAnsi"/>
          <w:b/>
          <w:sz w:val="24"/>
          <w:szCs w:val="24"/>
        </w:rPr>
      </w:pPr>
      <w:r w:rsidRPr="006F4678">
        <w:rPr>
          <w:b/>
          <w:sz w:val="24"/>
          <w:szCs w:val="24"/>
        </w:rPr>
        <w:lastRenderedPageBreak/>
        <w:t xml:space="preserve">Supplementary </w:t>
      </w:r>
      <w:r w:rsidR="002042EF">
        <w:rPr>
          <w:b/>
          <w:sz w:val="24"/>
          <w:szCs w:val="24"/>
        </w:rPr>
        <w:t>Figure</w:t>
      </w:r>
      <w:r w:rsidRPr="006F4678">
        <w:rPr>
          <w:rFonts w:cstheme="minorHAnsi"/>
          <w:b/>
          <w:sz w:val="24"/>
          <w:szCs w:val="24"/>
        </w:rPr>
        <w:t xml:space="preserve"> </w:t>
      </w:r>
      <w:r w:rsidR="00F5409B">
        <w:rPr>
          <w:rFonts w:cstheme="minorHAnsi"/>
          <w:b/>
          <w:sz w:val="24"/>
          <w:szCs w:val="24"/>
        </w:rPr>
        <w:t>1</w:t>
      </w:r>
      <w:r w:rsidRPr="006F4678">
        <w:rPr>
          <w:rFonts w:cstheme="minorHAnsi"/>
          <w:b/>
          <w:sz w:val="24"/>
          <w:szCs w:val="24"/>
        </w:rPr>
        <w:t>. Gating strategy used to identify leukocyte ph</w:t>
      </w:r>
      <w:r>
        <w:rPr>
          <w:rFonts w:cstheme="minorHAnsi"/>
          <w:b/>
          <w:sz w:val="24"/>
          <w:szCs w:val="24"/>
        </w:rPr>
        <w:t>enotypes and functional markers</w:t>
      </w:r>
    </w:p>
    <w:p w:rsidR="00990301" w:rsidRDefault="008363C0" w:rsidP="005C79AF">
      <w:r>
        <w:t xml:space="preserve">A summary table of leukocyte markers used for gating </w:t>
      </w:r>
      <w:r w:rsidRPr="008363C0">
        <w:rPr>
          <w:b/>
          <w:bCs/>
        </w:rPr>
        <w:t>(A)</w:t>
      </w:r>
      <w:r>
        <w:t xml:space="preserve"> and representative flow cytometer panels exemplifying the gating strategy for identification of myeloid cell subsets </w:t>
      </w:r>
      <w:r w:rsidRPr="008363C0">
        <w:rPr>
          <w:b/>
          <w:bCs/>
        </w:rPr>
        <w:t>(B)</w:t>
      </w:r>
      <w:r>
        <w:t xml:space="preserve"> and lymphoid cell subsets </w:t>
      </w:r>
      <w:r w:rsidRPr="008363C0">
        <w:rPr>
          <w:b/>
          <w:bCs/>
        </w:rPr>
        <w:t>(C)</w:t>
      </w:r>
      <w:r>
        <w:t xml:space="preserve">. </w:t>
      </w:r>
      <w:r w:rsidRPr="008363C0">
        <w:t xml:space="preserve">The </w:t>
      </w:r>
      <w:r w:rsidR="005C79AF">
        <w:t>panels</w:t>
      </w:r>
      <w:r w:rsidRPr="008363C0">
        <w:t xml:space="preserve"> shown </w:t>
      </w:r>
      <w:r>
        <w:t xml:space="preserve">in </w:t>
      </w:r>
      <w:r w:rsidRPr="008363C0">
        <w:rPr>
          <w:b/>
          <w:bCs/>
        </w:rPr>
        <w:t>(B)</w:t>
      </w:r>
      <w:r>
        <w:t xml:space="preserve"> and </w:t>
      </w:r>
      <w:r w:rsidRPr="008363C0">
        <w:rPr>
          <w:b/>
          <w:bCs/>
        </w:rPr>
        <w:t>(C)</w:t>
      </w:r>
      <w:r>
        <w:t xml:space="preserve"> are from </w:t>
      </w:r>
      <w:r w:rsidR="005C79AF">
        <w:t xml:space="preserve">a </w:t>
      </w:r>
      <w:bookmarkStart w:id="0" w:name="_GoBack"/>
      <w:bookmarkEnd w:id="0"/>
      <w:r>
        <w:t>cervical lymph nodes (</w:t>
      </w:r>
      <w:proofErr w:type="spellStart"/>
      <w:r>
        <w:t>cLN</w:t>
      </w:r>
      <w:proofErr w:type="spellEnd"/>
      <w:r>
        <w:t xml:space="preserve">) sample of </w:t>
      </w:r>
      <w:r w:rsidRPr="008363C0">
        <w:t>a sham mouse. Spleen samples were gated equivalently.</w:t>
      </w:r>
    </w:p>
    <w:p w:rsidR="008363C0" w:rsidRDefault="008363C0" w:rsidP="00B4782D">
      <w:pPr>
        <w:rPr>
          <w:b/>
          <w:bCs/>
        </w:rPr>
      </w:pPr>
    </w:p>
    <w:p w:rsidR="00B4782D" w:rsidRPr="00B4782D" w:rsidRDefault="00B4782D" w:rsidP="00B4782D">
      <w:pPr>
        <w:rPr>
          <w:b/>
          <w:bCs/>
        </w:rPr>
      </w:pPr>
      <w:r w:rsidRPr="00B4782D">
        <w:rPr>
          <w:b/>
          <w:bCs/>
        </w:rPr>
        <w:t xml:space="preserve">(A) A summary table of </w:t>
      </w:r>
      <w:r w:rsidR="00F5409B">
        <w:rPr>
          <w:b/>
          <w:bCs/>
        </w:rPr>
        <w:t>l</w:t>
      </w:r>
      <w:r w:rsidR="00F5409B" w:rsidRPr="00F5409B">
        <w:rPr>
          <w:b/>
          <w:bCs/>
        </w:rPr>
        <w:t>eukocyte</w:t>
      </w:r>
      <w:r w:rsidR="00F5409B">
        <w:rPr>
          <w:b/>
          <w:bCs/>
        </w:rPr>
        <w:t xml:space="preserve"> </w:t>
      </w:r>
      <w:r w:rsidRPr="00B4782D">
        <w:rPr>
          <w:b/>
          <w:bCs/>
        </w:rPr>
        <w:t>markers used for gating</w:t>
      </w:r>
    </w:p>
    <w:p w:rsidR="00B4782D" w:rsidRPr="00B4782D" w:rsidRDefault="00B4782D" w:rsidP="00B4782D">
      <w:pPr>
        <w:rPr>
          <w:b/>
          <w:bCs/>
          <w:sz w:val="24"/>
          <w:szCs w:val="24"/>
        </w:rPr>
      </w:pPr>
    </w:p>
    <w:tbl>
      <w:tblPr>
        <w:tblStyle w:val="TableGrid"/>
        <w:tblW w:w="9741" w:type="dxa"/>
        <w:jc w:val="center"/>
        <w:tblLayout w:type="fixed"/>
        <w:tblLook w:val="04A0" w:firstRow="1" w:lastRow="0" w:firstColumn="1" w:lastColumn="0" w:noHBand="0" w:noVBand="1"/>
      </w:tblPr>
      <w:tblGrid>
        <w:gridCol w:w="2257"/>
        <w:gridCol w:w="1027"/>
        <w:gridCol w:w="954"/>
        <w:gridCol w:w="1134"/>
        <w:gridCol w:w="1089"/>
        <w:gridCol w:w="1093"/>
        <w:gridCol w:w="86"/>
        <w:gridCol w:w="1007"/>
        <w:gridCol w:w="127"/>
        <w:gridCol w:w="967"/>
      </w:tblGrid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6987" w:rsidRPr="00AC2C4C" w:rsidRDefault="00676987" w:rsidP="0080383B">
            <w:pPr>
              <w:jc w:val="center"/>
              <w:rPr>
                <w:b/>
              </w:rPr>
            </w:pPr>
            <w:r w:rsidRPr="00AC2C4C">
              <w:rPr>
                <w:b/>
              </w:rPr>
              <w:t>Myeloid cell phenotypes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proofErr w:type="spellStart"/>
            <w:r w:rsidRPr="003B0DFC">
              <w:rPr>
                <w:b/>
              </w:rPr>
              <w:t>cDC</w:t>
            </w:r>
            <w:proofErr w:type="spellEnd"/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low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B220-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F4/80-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MHCII+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CD11c+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6987" w:rsidRPr="00AC2C4C" w:rsidRDefault="00676987" w:rsidP="0080383B">
            <w:pPr>
              <w:jc w:val="center"/>
            </w:pPr>
            <w:r>
              <w:t>CD11b-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676987" w:rsidRPr="00AA739F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monocytes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med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F4/80+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MHCII-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CD11c-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AA739F" w:rsidRDefault="00676987" w:rsidP="0080383B">
            <w:pPr>
              <w:jc w:val="center"/>
            </w:pPr>
            <w:r>
              <w:t>CD11b+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  <w:r>
              <w:t>Gr-1-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macrophages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med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F4/80+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MHCII+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AA739F" w:rsidRDefault="00676987" w:rsidP="0080383B">
            <w:pPr>
              <w:jc w:val="center"/>
            </w:pPr>
            <w:r>
              <w:t>CD11b+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  <w:r>
              <w:t>Gr-1-</w:t>
            </w: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76987" w:rsidRPr="003B0DFC" w:rsidRDefault="00676987" w:rsidP="0080383B">
            <w:pPr>
              <w:jc w:val="center"/>
              <w:rPr>
                <w:b/>
              </w:rPr>
            </w:pP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Myeloid cells – functional markers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activation/maturation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CD80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CD86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MHCII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viability</w:t>
            </w:r>
          </w:p>
        </w:tc>
        <w:tc>
          <w:tcPr>
            <w:tcW w:w="7484" w:type="dxa"/>
            <w:gridSpan w:val="9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Live/Dead stain</w:t>
            </w: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Lymphoid cell phenotypes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CD4+ T cells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low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B220-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CD3+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CD4+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CD8-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CD8+ T cells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low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B220-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CD3+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CD4-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CD8+</w:t>
            </w: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B cells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low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B220+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CD3-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CD19+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NK cells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SSC low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B220-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CD3+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NK1.1+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76987" w:rsidRPr="003B0DFC" w:rsidRDefault="00676987" w:rsidP="0080383B">
            <w:pPr>
              <w:jc w:val="center"/>
            </w:pPr>
          </w:p>
        </w:tc>
      </w:tr>
      <w:tr w:rsidR="00676987" w:rsidRPr="003B0DFC" w:rsidTr="0080383B">
        <w:trPr>
          <w:jc w:val="center"/>
        </w:trPr>
        <w:tc>
          <w:tcPr>
            <w:tcW w:w="9741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rPr>
                <w:b/>
              </w:rPr>
              <w:t>Lymphoid cells – functional markers</w:t>
            </w:r>
          </w:p>
        </w:tc>
      </w:tr>
      <w:tr w:rsidR="00676987" w:rsidRPr="003B0DFC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activation</w:t>
            </w:r>
          </w:p>
        </w:tc>
        <w:tc>
          <w:tcPr>
            <w:tcW w:w="7484" w:type="dxa"/>
            <w:gridSpan w:val="9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676987" w:rsidRPr="003B0DFC" w:rsidRDefault="00676987" w:rsidP="0080383B">
            <w:pPr>
              <w:jc w:val="center"/>
            </w:pPr>
            <w:r w:rsidRPr="003B0DFC">
              <w:t>CD69</w:t>
            </w:r>
          </w:p>
        </w:tc>
      </w:tr>
      <w:tr w:rsidR="00676987" w:rsidTr="0080383B">
        <w:trPr>
          <w:jc w:val="center"/>
        </w:trPr>
        <w:tc>
          <w:tcPr>
            <w:tcW w:w="22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676987" w:rsidRPr="003B0DFC" w:rsidRDefault="00676987" w:rsidP="0080383B">
            <w:pPr>
              <w:jc w:val="center"/>
              <w:rPr>
                <w:b/>
              </w:rPr>
            </w:pPr>
            <w:r w:rsidRPr="003B0DFC">
              <w:rPr>
                <w:b/>
              </w:rPr>
              <w:t>viability</w:t>
            </w:r>
          </w:p>
        </w:tc>
        <w:tc>
          <w:tcPr>
            <w:tcW w:w="7484" w:type="dxa"/>
            <w:gridSpan w:val="9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676987" w:rsidRDefault="00676987" w:rsidP="0080383B">
            <w:pPr>
              <w:jc w:val="center"/>
            </w:pPr>
            <w:r w:rsidRPr="003B0DFC">
              <w:t>Live/Dead stain</w:t>
            </w:r>
          </w:p>
        </w:tc>
      </w:tr>
    </w:tbl>
    <w:p w:rsidR="0040654D" w:rsidRDefault="0040654D">
      <w:pPr>
        <w:rPr>
          <w:rFonts w:cstheme="minorHAnsi"/>
          <w:b/>
          <w:sz w:val="24"/>
          <w:szCs w:val="24"/>
        </w:rPr>
      </w:pPr>
    </w:p>
    <w:p w:rsidR="0040654D" w:rsidRDefault="004065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2042EF" w:rsidRDefault="002042EF" w:rsidP="002042EF">
      <w:pPr>
        <w:jc w:val="both"/>
        <w:rPr>
          <w:b/>
        </w:rPr>
      </w:pPr>
      <w:r>
        <w:rPr>
          <w:b/>
        </w:rPr>
        <w:lastRenderedPageBreak/>
        <w:t xml:space="preserve">(B) </w:t>
      </w:r>
      <w:r w:rsidRPr="00A00CAE">
        <w:rPr>
          <w:b/>
        </w:rPr>
        <w:t xml:space="preserve">Gating strategy used for </w:t>
      </w:r>
      <w:proofErr w:type="spellStart"/>
      <w:r w:rsidRPr="00A00CAE">
        <w:rPr>
          <w:b/>
        </w:rPr>
        <w:t>flowcytometric</w:t>
      </w:r>
      <w:proofErr w:type="spellEnd"/>
      <w:r w:rsidRPr="00A00CAE">
        <w:rPr>
          <w:b/>
        </w:rPr>
        <w:t xml:space="preserve"> </w:t>
      </w:r>
      <w:r>
        <w:rPr>
          <w:b/>
        </w:rPr>
        <w:t>characteriz</w:t>
      </w:r>
      <w:r w:rsidRPr="00A00CAE">
        <w:rPr>
          <w:b/>
        </w:rPr>
        <w:t xml:space="preserve">ation of myeloid cell subsets in </w:t>
      </w:r>
      <w:proofErr w:type="spellStart"/>
      <w:r w:rsidRPr="00A00CAE">
        <w:rPr>
          <w:b/>
        </w:rPr>
        <w:t>cLN</w:t>
      </w:r>
      <w:proofErr w:type="spellEnd"/>
      <w:r w:rsidRPr="00A00CAE">
        <w:rPr>
          <w:b/>
        </w:rPr>
        <w:t xml:space="preserve"> and spleen samples</w:t>
      </w: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3CF33165" wp14:editId="58BAB35A">
            <wp:simplePos x="0" y="0"/>
            <wp:positionH relativeFrom="column">
              <wp:posOffset>-88900</wp:posOffset>
            </wp:positionH>
            <wp:positionV relativeFrom="paragraph">
              <wp:posOffset>615950</wp:posOffset>
            </wp:positionV>
            <wp:extent cx="5731510" cy="5662295"/>
            <wp:effectExtent l="0" t="0" r="254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oke gating strategy layouts-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.</w:t>
      </w:r>
    </w:p>
    <w:p w:rsidR="002042EF" w:rsidRPr="002042EF" w:rsidRDefault="002042EF" w:rsidP="002042EF"/>
    <w:p w:rsidR="002042EF" w:rsidRPr="002042EF" w:rsidRDefault="002042EF" w:rsidP="002042EF"/>
    <w:p w:rsidR="002042EF" w:rsidRPr="002042EF" w:rsidRDefault="002042EF" w:rsidP="002042EF"/>
    <w:p w:rsidR="002042EF" w:rsidRPr="002042EF" w:rsidRDefault="002042EF" w:rsidP="002042EF"/>
    <w:p w:rsidR="002042EF" w:rsidRPr="002042EF" w:rsidRDefault="002042EF" w:rsidP="002042EF"/>
    <w:p w:rsidR="002042EF" w:rsidRPr="002042EF" w:rsidRDefault="002042EF" w:rsidP="002042EF"/>
    <w:p w:rsidR="002042EF" w:rsidRPr="002042EF" w:rsidRDefault="002042EF" w:rsidP="002042EF"/>
    <w:p w:rsidR="002042EF" w:rsidRDefault="002042EF" w:rsidP="002042EF">
      <w:pPr>
        <w:tabs>
          <w:tab w:val="left" w:pos="1710"/>
        </w:tabs>
        <w:jc w:val="both"/>
      </w:pPr>
      <w:r>
        <w:tab/>
      </w:r>
    </w:p>
    <w:p w:rsidR="002042EF" w:rsidRDefault="002042EF">
      <w:r>
        <w:br w:type="page"/>
      </w:r>
    </w:p>
    <w:p w:rsidR="00676987" w:rsidRPr="00676987" w:rsidRDefault="002042EF" w:rsidP="002042EF">
      <w:pPr>
        <w:rPr>
          <w:rFonts w:cstheme="minorHAnsi"/>
          <w:b/>
          <w:sz w:val="24"/>
          <w:szCs w:val="24"/>
        </w:rPr>
      </w:pPr>
      <w:r>
        <w:rPr>
          <w:b/>
          <w:noProof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654050</wp:posOffset>
            </wp:positionV>
            <wp:extent cx="5731510" cy="5589270"/>
            <wp:effectExtent l="0" t="0" r="2540" b="0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oke gating strategy layouts-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(C) </w:t>
      </w:r>
      <w:r w:rsidRPr="00A00CAE">
        <w:rPr>
          <w:b/>
        </w:rPr>
        <w:t xml:space="preserve">Gating strategy used for </w:t>
      </w:r>
      <w:proofErr w:type="spellStart"/>
      <w:r w:rsidRPr="00A00CAE">
        <w:rPr>
          <w:b/>
        </w:rPr>
        <w:t>flowcytometric</w:t>
      </w:r>
      <w:proofErr w:type="spellEnd"/>
      <w:r w:rsidRPr="00A00CAE">
        <w:rPr>
          <w:b/>
        </w:rPr>
        <w:t xml:space="preserve"> </w:t>
      </w:r>
      <w:r>
        <w:rPr>
          <w:b/>
        </w:rPr>
        <w:t>characteriz</w:t>
      </w:r>
      <w:r w:rsidRPr="00A00CAE">
        <w:rPr>
          <w:b/>
        </w:rPr>
        <w:t xml:space="preserve">ation of </w:t>
      </w:r>
      <w:r>
        <w:rPr>
          <w:b/>
        </w:rPr>
        <w:t>lymphoid</w:t>
      </w:r>
      <w:r w:rsidRPr="00A00CAE">
        <w:rPr>
          <w:b/>
        </w:rPr>
        <w:t xml:space="preserve"> cell subsets in </w:t>
      </w:r>
      <w:proofErr w:type="spellStart"/>
      <w:r w:rsidRPr="00A00CAE">
        <w:rPr>
          <w:b/>
        </w:rPr>
        <w:t>cLN</w:t>
      </w:r>
      <w:proofErr w:type="spellEnd"/>
      <w:r w:rsidRPr="00A00CAE">
        <w:rPr>
          <w:b/>
        </w:rPr>
        <w:t xml:space="preserve"> and spleen samples</w:t>
      </w:r>
      <w:r>
        <w:rPr>
          <w:b/>
        </w:rPr>
        <w:t>.</w:t>
      </w:r>
    </w:p>
    <w:sectPr w:rsidR="00676987" w:rsidRPr="006769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30888"/>
    <w:multiLevelType w:val="hybridMultilevel"/>
    <w:tmpl w:val="3C2A8DB4"/>
    <w:lvl w:ilvl="0" w:tplc="78DE81A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Strok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5ef2evi9d52uerx2k5ztwa20w9fxps0w0w&quot;&gt;My EndNote Library&lt;record-ids&gt;&lt;item&gt;597&lt;/item&gt;&lt;/record-ids&gt;&lt;/item&gt;&lt;/Libraries&gt;"/>
  </w:docVars>
  <w:rsids>
    <w:rsidRoot w:val="00676987"/>
    <w:rsid w:val="002042EF"/>
    <w:rsid w:val="00217352"/>
    <w:rsid w:val="0040654D"/>
    <w:rsid w:val="005C79AF"/>
    <w:rsid w:val="006243CC"/>
    <w:rsid w:val="00676987"/>
    <w:rsid w:val="007B79DA"/>
    <w:rsid w:val="008363C0"/>
    <w:rsid w:val="00990301"/>
    <w:rsid w:val="009C2DEF"/>
    <w:rsid w:val="00A87F48"/>
    <w:rsid w:val="00B4782D"/>
    <w:rsid w:val="00DC0FE5"/>
    <w:rsid w:val="00EB3B28"/>
    <w:rsid w:val="00F154EA"/>
    <w:rsid w:val="00F5409B"/>
    <w:rsid w:val="00F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9F880"/>
  <w15:chartTrackingRefBased/>
  <w15:docId w15:val="{B954CF3D-6D79-4E31-97FB-DFD73A8F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9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79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6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769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B79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79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7B79D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B79D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B79D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B79DA"/>
    <w:rPr>
      <w:rFonts w:ascii="Calibri" w:hAnsi="Calibri" w:cs="Calibri"/>
      <w:noProof/>
      <w:lang w:val="en-US"/>
    </w:rPr>
  </w:style>
  <w:style w:type="paragraph" w:styleId="ListParagraph">
    <w:name w:val="List Paragraph"/>
    <w:basedOn w:val="Normal"/>
    <w:uiPriority w:val="34"/>
    <w:qFormat/>
    <w:rsid w:val="00B47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E0E10-B4DD-4A73-9D67-702B19DD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Draxler</dc:creator>
  <cp:keywords/>
  <dc:description/>
  <cp:lastModifiedBy>Be'Eri Niego</cp:lastModifiedBy>
  <cp:revision>4</cp:revision>
  <dcterms:created xsi:type="dcterms:W3CDTF">2019-02-08T06:31:00Z</dcterms:created>
  <dcterms:modified xsi:type="dcterms:W3CDTF">2019-02-08T06:54:00Z</dcterms:modified>
</cp:coreProperties>
</file>