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FC40C1">
      <w:pPr>
        <w:pStyle w:val="SupplementaryMaterial"/>
        <w:rPr>
          <w:b w:val="0"/>
        </w:rPr>
      </w:pPr>
      <w:r w:rsidRPr="001549D3">
        <w:t>Supplementary Material</w:t>
      </w:r>
    </w:p>
    <w:p w14:paraId="754EBB0B" w14:textId="77777777" w:rsidR="00FC40C1" w:rsidRPr="004354F7" w:rsidRDefault="00FC40C1" w:rsidP="00FC40C1">
      <w:pPr>
        <w:jc w:val="center"/>
        <w:rPr>
          <w:rFonts w:cs="Times New Roman"/>
          <w:b/>
          <w:bCs/>
          <w:sz w:val="32"/>
          <w:szCs w:val="24"/>
        </w:rPr>
      </w:pPr>
      <w:r w:rsidRPr="004354F7">
        <w:rPr>
          <w:rFonts w:cs="Times New Roman"/>
          <w:b/>
          <w:bCs/>
          <w:sz w:val="32"/>
          <w:szCs w:val="24"/>
        </w:rPr>
        <w:t xml:space="preserve">A Novel Screening Test for </w:t>
      </w:r>
      <w:r w:rsidRPr="004354F7">
        <w:rPr>
          <w:rFonts w:cs="Times New Roman"/>
          <w:b/>
          <w:bCs/>
          <w:i/>
          <w:sz w:val="32"/>
          <w:szCs w:val="24"/>
        </w:rPr>
        <w:t>HLA-B*15:02</w:t>
      </w:r>
      <w:r w:rsidRPr="004354F7">
        <w:rPr>
          <w:rFonts w:cs="Times New Roman"/>
          <w:b/>
          <w:bCs/>
          <w:sz w:val="32"/>
          <w:szCs w:val="24"/>
        </w:rPr>
        <w:t xml:space="preserve"> in a Large US Patient Cohort Identifies Broader Risk of Carbamazepine-Induced Adverse Events</w:t>
      </w:r>
    </w:p>
    <w:p w14:paraId="0787157E" w14:textId="5E1AB932" w:rsidR="00FC40C1" w:rsidRDefault="00FC40C1" w:rsidP="00FC40C1">
      <w:pPr>
        <w:spacing w:after="0"/>
        <w:contextualSpacing/>
        <w:rPr>
          <w:rFonts w:cs="Times New Roman"/>
          <w:b/>
          <w:szCs w:val="24"/>
        </w:rPr>
      </w:pPr>
      <w:r w:rsidRPr="004354F7">
        <w:rPr>
          <w:rFonts w:cs="Times New Roman"/>
          <w:b/>
          <w:szCs w:val="24"/>
        </w:rPr>
        <w:t xml:space="preserve">Hua Fang, PhD, </w:t>
      </w:r>
      <w:proofErr w:type="spellStart"/>
      <w:r w:rsidRPr="004354F7">
        <w:rPr>
          <w:rFonts w:cs="Times New Roman"/>
          <w:b/>
          <w:szCs w:val="24"/>
        </w:rPr>
        <w:t>Xiequn</w:t>
      </w:r>
      <w:proofErr w:type="spellEnd"/>
      <w:r w:rsidRPr="004354F7">
        <w:rPr>
          <w:rFonts w:cs="Times New Roman"/>
          <w:b/>
          <w:szCs w:val="24"/>
        </w:rPr>
        <w:t xml:space="preserve"> Xu, PhD, </w:t>
      </w:r>
      <w:proofErr w:type="spellStart"/>
      <w:r w:rsidRPr="004354F7">
        <w:rPr>
          <w:rFonts w:cs="Times New Roman"/>
          <w:b/>
          <w:szCs w:val="24"/>
        </w:rPr>
        <w:t>Kulvinder</w:t>
      </w:r>
      <w:proofErr w:type="spellEnd"/>
      <w:r w:rsidRPr="004354F7">
        <w:rPr>
          <w:rFonts w:cs="Times New Roman"/>
          <w:b/>
          <w:szCs w:val="24"/>
        </w:rPr>
        <w:t xml:space="preserve"> Kaur, DPhil, Matthew </w:t>
      </w:r>
      <w:proofErr w:type="spellStart"/>
      <w:r w:rsidRPr="004354F7">
        <w:rPr>
          <w:rFonts w:cs="Times New Roman"/>
          <w:b/>
          <w:szCs w:val="24"/>
        </w:rPr>
        <w:t>Dedek</w:t>
      </w:r>
      <w:proofErr w:type="spellEnd"/>
      <w:r w:rsidRPr="004354F7">
        <w:rPr>
          <w:rFonts w:cs="Times New Roman"/>
          <w:b/>
          <w:szCs w:val="24"/>
        </w:rPr>
        <w:t xml:space="preserve">, MS, </w:t>
      </w:r>
      <w:proofErr w:type="spellStart"/>
      <w:r w:rsidRPr="004354F7">
        <w:rPr>
          <w:rFonts w:cs="Times New Roman"/>
          <w:b/>
          <w:szCs w:val="24"/>
        </w:rPr>
        <w:t>Guang</w:t>
      </w:r>
      <w:proofErr w:type="spellEnd"/>
      <w:r w:rsidRPr="004354F7">
        <w:rPr>
          <w:rFonts w:cs="Times New Roman"/>
          <w:b/>
          <w:szCs w:val="24"/>
        </w:rPr>
        <w:t>-dan Zhu, PhD, Bae J. Riley, CGMBS, Frank G. Espin, CGMBS, Andria L. Del Tredici, PhD, and Tanya A. Moreno, PhD*</w:t>
      </w:r>
    </w:p>
    <w:p w14:paraId="423FAD99" w14:textId="77777777" w:rsidR="00FC40C1" w:rsidRPr="004354F7" w:rsidRDefault="00FC40C1" w:rsidP="00FC40C1">
      <w:pPr>
        <w:spacing w:after="0"/>
        <w:contextualSpacing/>
        <w:rPr>
          <w:rFonts w:cs="Times New Roman"/>
          <w:b/>
          <w:szCs w:val="24"/>
        </w:rPr>
      </w:pPr>
    </w:p>
    <w:p w14:paraId="1656A8CA" w14:textId="2F334CEC" w:rsidR="00FC40C1" w:rsidRPr="00FC40C1" w:rsidRDefault="002868E2" w:rsidP="00FC40C1">
      <w:pPr>
        <w:pStyle w:val="Plain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0C1">
        <w:rPr>
          <w:rFonts w:ascii="Times New Roman" w:hAnsi="Times New Roman" w:cs="Times New Roman"/>
          <w:b/>
        </w:rPr>
        <w:t xml:space="preserve">* Correspondence: </w:t>
      </w:r>
      <w:r w:rsidR="00FC40C1" w:rsidRPr="00F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Tanya A. Moreno, PhD, </w:t>
      </w:r>
      <w:hyperlink r:id="rId8" w:history="1">
        <w:r w:rsidR="00FC40C1" w:rsidRPr="00FC40C1">
          <w:rPr>
            <w:rStyle w:val="Hyperlink"/>
            <w:rFonts w:ascii="Times New Roman" w:hAnsi="Times New Roman" w:cs="Times New Roman"/>
            <w:sz w:val="24"/>
            <w:szCs w:val="24"/>
          </w:rPr>
          <w:t>tanya.moreno@millenniumhealth.com</w:t>
        </w:r>
      </w:hyperlink>
    </w:p>
    <w:p w14:paraId="20DD98A1" w14:textId="77777777" w:rsidR="00FC40C1" w:rsidRDefault="00FC40C1" w:rsidP="00FC40C1">
      <w:pPr>
        <w:pStyle w:val="EndNoteBibliography"/>
        <w:spacing w:line="48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6C111191" w14:textId="1A982D2B" w:rsidR="00FC40C1" w:rsidRPr="00FC40C1" w:rsidRDefault="00FC40C1" w:rsidP="00FC40C1">
      <w:pPr>
        <w:pStyle w:val="EndNoteBibliography"/>
        <w:ind w:left="630" w:hanging="630"/>
        <w:rPr>
          <w:rFonts w:ascii="Times New Roman" w:hAnsi="Times New Roman" w:cs="Times New Roman"/>
          <w:sz w:val="24"/>
          <w:szCs w:val="24"/>
        </w:rPr>
      </w:pPr>
      <w:r w:rsidRPr="00FC40C1">
        <w:rPr>
          <w:rFonts w:ascii="Times New Roman" w:hAnsi="Times New Roman" w:cs="Times New Roman"/>
          <w:b/>
          <w:sz w:val="24"/>
          <w:szCs w:val="24"/>
        </w:rPr>
        <w:t>List of Supplementary Content</w:t>
      </w:r>
      <w:r w:rsidRPr="00FC40C1">
        <w:rPr>
          <w:rFonts w:ascii="Times New Roman" w:hAnsi="Times New Roman" w:cs="Times New Roman"/>
          <w:sz w:val="24"/>
          <w:szCs w:val="24"/>
        </w:rPr>
        <w:t>:</w:t>
      </w:r>
    </w:p>
    <w:p w14:paraId="65DBE5C7" w14:textId="77777777" w:rsidR="00FC40C1" w:rsidRPr="00FC40C1" w:rsidRDefault="00FC40C1" w:rsidP="00FC40C1">
      <w:pPr>
        <w:pStyle w:val="EndNoteBibliography"/>
        <w:spacing w:after="0"/>
        <w:ind w:left="634" w:hanging="634"/>
        <w:rPr>
          <w:rFonts w:ascii="Times New Roman" w:hAnsi="Times New Roman" w:cs="Times New Roman"/>
          <w:sz w:val="24"/>
          <w:szCs w:val="24"/>
        </w:rPr>
      </w:pPr>
      <w:r w:rsidRPr="00FC40C1">
        <w:rPr>
          <w:rFonts w:ascii="Times New Roman" w:hAnsi="Times New Roman" w:cs="Times New Roman"/>
          <w:sz w:val="24"/>
          <w:szCs w:val="24"/>
        </w:rPr>
        <w:t>Table S1: Supplementary Table 1.xlsx</w:t>
      </w:r>
    </w:p>
    <w:p w14:paraId="400AF81B" w14:textId="77777777" w:rsidR="00FC40C1" w:rsidRPr="00FC40C1" w:rsidRDefault="00FC40C1" w:rsidP="00FC40C1">
      <w:pPr>
        <w:pStyle w:val="EndNoteBibliography"/>
        <w:spacing w:after="0"/>
        <w:ind w:left="634" w:hanging="634"/>
        <w:rPr>
          <w:rFonts w:ascii="Times New Roman" w:hAnsi="Times New Roman" w:cs="Times New Roman"/>
          <w:sz w:val="24"/>
          <w:szCs w:val="24"/>
        </w:rPr>
      </w:pPr>
      <w:r w:rsidRPr="00FC40C1">
        <w:rPr>
          <w:rFonts w:ascii="Times New Roman" w:hAnsi="Times New Roman" w:cs="Times New Roman"/>
          <w:sz w:val="24"/>
          <w:szCs w:val="24"/>
        </w:rPr>
        <w:t>Table S2: Supplementary Table 2.xlsx</w:t>
      </w:r>
    </w:p>
    <w:p w14:paraId="7FDD0476" w14:textId="77777777" w:rsidR="00FC40C1" w:rsidRPr="00FC40C1" w:rsidRDefault="00FC40C1" w:rsidP="00FC40C1">
      <w:pPr>
        <w:pStyle w:val="EndNoteBibliography"/>
        <w:spacing w:after="0"/>
        <w:ind w:left="634" w:hanging="634"/>
        <w:rPr>
          <w:rFonts w:ascii="Times New Roman" w:hAnsi="Times New Roman" w:cs="Times New Roman"/>
          <w:sz w:val="24"/>
          <w:szCs w:val="24"/>
        </w:rPr>
      </w:pPr>
      <w:r w:rsidRPr="00FC40C1">
        <w:rPr>
          <w:rFonts w:ascii="Times New Roman" w:hAnsi="Times New Roman" w:cs="Times New Roman"/>
          <w:sz w:val="24"/>
          <w:szCs w:val="24"/>
        </w:rPr>
        <w:t>Figure S1: Supplementary Figure 1.ppt</w:t>
      </w:r>
    </w:p>
    <w:p w14:paraId="5D012F35" w14:textId="77777777" w:rsidR="00FC40C1" w:rsidRPr="00FC40C1" w:rsidRDefault="00FC40C1" w:rsidP="00FC40C1">
      <w:pPr>
        <w:pStyle w:val="EndNoteBibliography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117CE657" w14:textId="77777777" w:rsidR="00FC40C1" w:rsidRPr="00FC40C1" w:rsidRDefault="00FC40C1" w:rsidP="00FC40C1">
      <w:pPr>
        <w:pStyle w:val="EndNoteBibliography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 w:rsidRPr="00FC40C1">
        <w:rPr>
          <w:rFonts w:ascii="Times New Roman" w:hAnsi="Times New Roman" w:cs="Times New Roman"/>
          <w:b/>
          <w:sz w:val="24"/>
          <w:szCs w:val="24"/>
        </w:rPr>
        <w:t>Supplementary Figure Legends:</w:t>
      </w:r>
    </w:p>
    <w:p w14:paraId="7F9D4229" w14:textId="77777777" w:rsidR="00FC40C1" w:rsidRPr="00FC40C1" w:rsidRDefault="00FC40C1" w:rsidP="00FC40C1">
      <w:pPr>
        <w:rPr>
          <w:rFonts w:cs="Times New Roman"/>
          <w:noProof/>
          <w:szCs w:val="24"/>
        </w:rPr>
      </w:pPr>
      <w:r w:rsidRPr="00FC40C1">
        <w:rPr>
          <w:rFonts w:cs="Times New Roman"/>
          <w:b/>
          <w:noProof/>
          <w:szCs w:val="24"/>
        </w:rPr>
        <w:t>Table S1</w:t>
      </w:r>
      <w:r w:rsidRPr="00FC40C1">
        <w:rPr>
          <w:rFonts w:cs="Times New Roman"/>
          <w:noProof/>
          <w:szCs w:val="24"/>
        </w:rPr>
        <w:t xml:space="preserve">: 955 samples from 1000 Genomes project with full </w:t>
      </w:r>
      <w:r w:rsidRPr="00FC40C1">
        <w:rPr>
          <w:rFonts w:cs="Times New Roman"/>
          <w:i/>
          <w:noProof/>
          <w:szCs w:val="24"/>
        </w:rPr>
        <w:t>HLA-B</w:t>
      </w:r>
      <w:r w:rsidRPr="00FC40C1">
        <w:rPr>
          <w:rFonts w:cs="Times New Roman"/>
          <w:noProof/>
          <w:szCs w:val="24"/>
        </w:rPr>
        <w:t xml:space="preserve"> typing results and rs144012689 genotypes.  Sample ID and gender are listed in column 1. Population from which each sample was derived is indicated. </w:t>
      </w:r>
      <w:r w:rsidRPr="00FC40C1">
        <w:rPr>
          <w:rFonts w:cs="Times New Roman"/>
          <w:i/>
          <w:noProof/>
          <w:szCs w:val="24"/>
        </w:rPr>
        <w:t>HLA-B</w:t>
      </w:r>
      <w:r w:rsidRPr="00FC40C1">
        <w:rPr>
          <w:rFonts w:cs="Times New Roman"/>
          <w:noProof/>
          <w:szCs w:val="24"/>
        </w:rPr>
        <w:t xml:space="preserve"> alleles shown (allele 1 and allele 2) were typed as described in Gourraud et al, 2017 (manuscript ref 18).</w:t>
      </w:r>
    </w:p>
    <w:p w14:paraId="4F0025B1" w14:textId="77777777" w:rsidR="00FC40C1" w:rsidRPr="00FC40C1" w:rsidRDefault="00FC40C1" w:rsidP="00FC40C1">
      <w:pPr>
        <w:rPr>
          <w:rFonts w:cs="Times New Roman"/>
          <w:noProof/>
          <w:szCs w:val="24"/>
        </w:rPr>
      </w:pPr>
      <w:r w:rsidRPr="00FC40C1">
        <w:rPr>
          <w:rFonts w:cs="Times New Roman"/>
          <w:b/>
          <w:noProof/>
          <w:szCs w:val="24"/>
        </w:rPr>
        <w:t>Table S2</w:t>
      </w:r>
      <w:r w:rsidRPr="00FC40C1">
        <w:rPr>
          <w:rFonts w:cs="Times New Roman"/>
          <w:noProof/>
          <w:szCs w:val="24"/>
        </w:rPr>
        <w:t xml:space="preserve">: </w:t>
      </w:r>
      <w:r w:rsidRPr="00FC40C1">
        <w:rPr>
          <w:rFonts w:cs="Times New Roman"/>
          <w:i/>
          <w:noProof/>
          <w:szCs w:val="24"/>
        </w:rPr>
        <w:t>HLA-B</w:t>
      </w:r>
      <w:r w:rsidRPr="00FC40C1">
        <w:rPr>
          <w:rFonts w:cs="Times New Roman"/>
          <w:noProof/>
          <w:szCs w:val="24"/>
        </w:rPr>
        <w:t xml:space="preserve"> alleles and rs144012689 genotypes for 32 positive samples selected for the PCR vs sequencing study.  </w:t>
      </w:r>
      <w:r w:rsidRPr="00FC40C1">
        <w:rPr>
          <w:rFonts w:cs="Times New Roman"/>
          <w:i/>
          <w:noProof/>
          <w:szCs w:val="24"/>
        </w:rPr>
        <w:t>HLA-B</w:t>
      </w:r>
      <w:r w:rsidRPr="00FC40C1">
        <w:rPr>
          <w:rFonts w:cs="Times New Roman"/>
          <w:noProof/>
          <w:szCs w:val="24"/>
        </w:rPr>
        <w:t xml:space="preserve"> alleles shown were typed by Histogenetics; PCR genotypes were derived in this study.</w:t>
      </w:r>
    </w:p>
    <w:p w14:paraId="53B2C872" w14:textId="499B621F" w:rsidR="00FC40C1" w:rsidRPr="00FC40C1" w:rsidRDefault="00FC40C1" w:rsidP="00FC40C1">
      <w:pPr>
        <w:rPr>
          <w:rFonts w:cs="Times New Roman"/>
          <w:noProof/>
          <w:szCs w:val="24"/>
        </w:rPr>
      </w:pPr>
      <w:r w:rsidRPr="00FC40C1">
        <w:rPr>
          <w:rFonts w:cs="Times New Roman"/>
          <w:b/>
          <w:noProof/>
          <w:szCs w:val="24"/>
        </w:rPr>
        <w:t>Figure S1</w:t>
      </w:r>
      <w:r w:rsidRPr="00FC40C1">
        <w:rPr>
          <w:rFonts w:cs="Times New Roman"/>
          <w:noProof/>
          <w:szCs w:val="24"/>
        </w:rPr>
        <w:t>: Representative scatter plot of rs144012689</w:t>
      </w:r>
      <w:r w:rsidR="00966D69">
        <w:rPr>
          <w:rFonts w:cs="Times New Roman"/>
          <w:noProof/>
          <w:szCs w:val="24"/>
        </w:rPr>
        <w:t xml:space="preserve"> </w:t>
      </w:r>
      <w:r w:rsidR="00966D69" w:rsidRPr="005A6FA4">
        <w:rPr>
          <w:rFonts w:cs="Times New Roman"/>
          <w:noProof/>
          <w:szCs w:val="24"/>
        </w:rPr>
        <w:t>(Fang et al., 2015)</w:t>
      </w:r>
      <w:r w:rsidRPr="005A6FA4">
        <w:rPr>
          <w:rFonts w:cs="Times New Roman"/>
          <w:noProof/>
          <w:szCs w:val="24"/>
        </w:rPr>
        <w:t>.</w:t>
      </w:r>
      <w:r w:rsidRPr="00FC40C1">
        <w:rPr>
          <w:rFonts w:cs="Times New Roman"/>
          <w:noProof/>
          <w:szCs w:val="24"/>
        </w:rPr>
        <w:t xml:space="preserve">   X axis = VIC, Y axis = FAM. NTC =  no template control. Clusters indicated by color and </w:t>
      </w:r>
      <w:r w:rsidRPr="00FC40C1">
        <w:rPr>
          <w:rFonts w:cs="Times New Roman"/>
          <w:i/>
          <w:noProof/>
          <w:szCs w:val="24"/>
        </w:rPr>
        <w:t>HLA-B*15:02</w:t>
      </w:r>
      <w:r w:rsidRPr="00FC40C1">
        <w:rPr>
          <w:rFonts w:cs="Times New Roman"/>
          <w:noProof/>
          <w:szCs w:val="24"/>
        </w:rPr>
        <w:t xml:space="preserve"> status. In this example run, 32 </w:t>
      </w:r>
      <w:r w:rsidRPr="00FC40C1">
        <w:rPr>
          <w:rFonts w:cs="Times New Roman"/>
          <w:i/>
          <w:noProof/>
          <w:szCs w:val="24"/>
        </w:rPr>
        <w:t>HLA-B*15:02</w:t>
      </w:r>
      <w:r w:rsidRPr="00FC40C1">
        <w:rPr>
          <w:rFonts w:cs="Times New Roman"/>
          <w:noProof/>
          <w:szCs w:val="24"/>
        </w:rPr>
        <w:t xml:space="preserve">-positive cell line control samples plus 56 </w:t>
      </w:r>
      <w:r w:rsidRPr="00FC40C1">
        <w:rPr>
          <w:rFonts w:cs="Times New Roman"/>
          <w:i/>
          <w:noProof/>
          <w:szCs w:val="24"/>
        </w:rPr>
        <w:t>HLA-B*15:02-</w:t>
      </w:r>
      <w:r w:rsidRPr="00FC40C1">
        <w:rPr>
          <w:rFonts w:cs="Times New Roman"/>
          <w:noProof/>
          <w:szCs w:val="24"/>
        </w:rPr>
        <w:t xml:space="preserve">negative patient samples were tested. Three positive homozygote samples (NA23093 with genotype of </w:t>
      </w:r>
      <w:r w:rsidRPr="00FC40C1">
        <w:rPr>
          <w:rFonts w:cs="Times New Roman"/>
          <w:i/>
          <w:noProof/>
          <w:szCs w:val="24"/>
        </w:rPr>
        <w:t>HLA-B*15:02/15:02</w:t>
      </w:r>
      <w:r w:rsidRPr="00FC40C1">
        <w:rPr>
          <w:rFonts w:cs="Times New Roman"/>
          <w:noProof/>
          <w:szCs w:val="24"/>
        </w:rPr>
        <w:t>, NA18122 with genotype of HLA-</w:t>
      </w:r>
      <w:r w:rsidRPr="00FC40C1">
        <w:rPr>
          <w:rFonts w:cs="Times New Roman"/>
          <w:i/>
          <w:noProof/>
          <w:szCs w:val="24"/>
        </w:rPr>
        <w:t>B*15:02/15:02</w:t>
      </w:r>
      <w:r w:rsidRPr="00FC40C1">
        <w:rPr>
          <w:rFonts w:cs="Times New Roman"/>
          <w:noProof/>
          <w:szCs w:val="24"/>
        </w:rPr>
        <w:t xml:space="preserve">, and IHW09199 with genotype of </w:t>
      </w:r>
      <w:r w:rsidRPr="00FC40C1">
        <w:rPr>
          <w:rFonts w:cs="Times New Roman"/>
          <w:i/>
          <w:noProof/>
          <w:szCs w:val="24"/>
        </w:rPr>
        <w:t>HLA-B*15:02/15:13</w:t>
      </w:r>
      <w:r w:rsidRPr="00FC40C1">
        <w:rPr>
          <w:rFonts w:cs="Times New Roman"/>
          <w:noProof/>
          <w:szCs w:val="24"/>
        </w:rPr>
        <w:t xml:space="preserve">) clustered as homozygous for minor allele ‘T’. All remaining </w:t>
      </w:r>
      <w:r w:rsidRPr="00FC40C1">
        <w:rPr>
          <w:rFonts w:cs="Times New Roman"/>
          <w:i/>
          <w:noProof/>
          <w:szCs w:val="24"/>
        </w:rPr>
        <w:t>HLA-B*15:02</w:t>
      </w:r>
      <w:r w:rsidRPr="00FC40C1">
        <w:rPr>
          <w:rFonts w:cs="Times New Roman"/>
          <w:noProof/>
          <w:szCs w:val="24"/>
        </w:rPr>
        <w:t xml:space="preserve">-positive samples were in the heterozygous cluster, and all the </w:t>
      </w:r>
      <w:r w:rsidRPr="00FC40C1">
        <w:rPr>
          <w:rFonts w:cs="Times New Roman"/>
          <w:i/>
          <w:noProof/>
          <w:szCs w:val="24"/>
        </w:rPr>
        <w:t>HLA-B*15:02</w:t>
      </w:r>
      <w:r w:rsidRPr="00FC40C1">
        <w:rPr>
          <w:rFonts w:cs="Times New Roman"/>
          <w:noProof/>
          <w:szCs w:val="24"/>
        </w:rPr>
        <w:t xml:space="preserve"> negative samples clustered in the major allele homozygote.</w:t>
      </w:r>
    </w:p>
    <w:p w14:paraId="7B65BC41" w14:textId="77777777" w:rsidR="00DE23E8" w:rsidRPr="00FC40C1" w:rsidRDefault="00DE23E8" w:rsidP="00FC40C1">
      <w:pPr>
        <w:spacing w:before="240"/>
        <w:rPr>
          <w:rFonts w:cs="Times New Roman"/>
        </w:rPr>
      </w:pPr>
      <w:bookmarkStart w:id="0" w:name="_GoBack"/>
      <w:bookmarkEnd w:id="0"/>
    </w:p>
    <w:sectPr w:rsidR="00DE23E8" w:rsidRPr="00FC40C1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E605F" w14:textId="77777777" w:rsidR="00932A01" w:rsidRDefault="00932A01" w:rsidP="00117666">
      <w:pPr>
        <w:spacing w:after="0"/>
      </w:pPr>
      <w:r>
        <w:separator/>
      </w:r>
    </w:p>
  </w:endnote>
  <w:endnote w:type="continuationSeparator" w:id="0">
    <w:p w14:paraId="1B313F9F" w14:textId="77777777" w:rsidR="00932A01" w:rsidRDefault="00932A0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A273BB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C40C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A273BB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C40C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5BEA1" w14:textId="77777777" w:rsidR="00932A01" w:rsidRDefault="00932A01" w:rsidP="00117666">
      <w:pPr>
        <w:spacing w:after="0"/>
      </w:pPr>
      <w:r>
        <w:separator/>
      </w:r>
    </w:p>
  </w:footnote>
  <w:footnote w:type="continuationSeparator" w:id="0">
    <w:p w14:paraId="15F7E36C" w14:textId="77777777" w:rsidR="00932A01" w:rsidRDefault="00932A0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47A6"/>
    <w:rsid w:val="004961FF"/>
    <w:rsid w:val="004A5988"/>
    <w:rsid w:val="00517A89"/>
    <w:rsid w:val="005250F2"/>
    <w:rsid w:val="00593EEA"/>
    <w:rsid w:val="005A5EEE"/>
    <w:rsid w:val="005A6FA4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94014"/>
    <w:rsid w:val="007C206C"/>
    <w:rsid w:val="00817DD6"/>
    <w:rsid w:val="0083759F"/>
    <w:rsid w:val="00885156"/>
    <w:rsid w:val="009151AA"/>
    <w:rsid w:val="00932A01"/>
    <w:rsid w:val="0093429D"/>
    <w:rsid w:val="00943573"/>
    <w:rsid w:val="00966D69"/>
    <w:rsid w:val="00970F7D"/>
    <w:rsid w:val="00994A3D"/>
    <w:rsid w:val="009C23BA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46900"/>
    <w:rsid w:val="00F61D89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FC40C1"/>
    <w:pPr>
      <w:spacing w:before="0" w:after="0"/>
    </w:pPr>
    <w:rPr>
      <w:rFonts w:ascii="Calibri" w:eastAsiaTheme="minorEastAsia" w:hAnsi="Calibr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C40C1"/>
    <w:rPr>
      <w:rFonts w:ascii="Calibri" w:eastAsiaTheme="minorEastAsia" w:hAnsi="Calibri"/>
      <w:szCs w:val="21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FC40C1"/>
    <w:pPr>
      <w:spacing w:before="0" w:after="160"/>
    </w:pPr>
    <w:rPr>
      <w:rFonts w:ascii="Calibri" w:eastAsiaTheme="minorEastAsia" w:hAnsi="Calibri"/>
      <w:noProof/>
      <w:sz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FC40C1"/>
    <w:rPr>
      <w:rFonts w:ascii="Calibri" w:eastAsiaTheme="minorEastAsia" w:hAnsi="Calibri"/>
      <w:noProof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moreno@millenniumhealth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BDCDD1-A28D-4D0A-8FF6-2B346B2F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Moreno, PhD, MB(ASCP)CM</dc:creator>
  <cp:lastModifiedBy>Ana Parra Munoz</cp:lastModifiedBy>
  <cp:revision>4</cp:revision>
  <cp:lastPrinted>2013-10-03T12:51:00Z</cp:lastPrinted>
  <dcterms:created xsi:type="dcterms:W3CDTF">2019-01-18T00:48:00Z</dcterms:created>
  <dcterms:modified xsi:type="dcterms:W3CDTF">2019-02-22T09:32:00Z</dcterms:modified>
</cp:coreProperties>
</file>