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CEDDF" w14:textId="77777777" w:rsidR="002A3918" w:rsidRPr="00303346" w:rsidRDefault="002A3918" w:rsidP="00796275">
      <w:pPr>
        <w:spacing w:line="360" w:lineRule="auto"/>
        <w:rPr>
          <w:b/>
          <w:sz w:val="32"/>
          <w:szCs w:val="32"/>
        </w:rPr>
      </w:pPr>
      <w:bookmarkStart w:id="0" w:name="_Hlk519772219"/>
      <w:r w:rsidRPr="00303346">
        <w:rPr>
          <w:rFonts w:hint="eastAsia"/>
          <w:b/>
          <w:sz w:val="32"/>
          <w:szCs w:val="32"/>
        </w:rPr>
        <w:t>T</w:t>
      </w:r>
      <w:r>
        <w:rPr>
          <w:rFonts w:hint="eastAsia"/>
          <w:b/>
          <w:sz w:val="32"/>
          <w:szCs w:val="32"/>
        </w:rPr>
        <w:t>itle</w:t>
      </w:r>
      <w:r w:rsidRPr="00303346">
        <w:rPr>
          <w:b/>
          <w:sz w:val="32"/>
          <w:szCs w:val="32"/>
        </w:rPr>
        <w:t>:</w:t>
      </w:r>
    </w:p>
    <w:p w14:paraId="0E5E50D1" w14:textId="77777777" w:rsidR="002A3918" w:rsidRPr="00EA0631" w:rsidRDefault="002A3918" w:rsidP="00EA0631">
      <w:pPr>
        <w:spacing w:line="360" w:lineRule="auto"/>
        <w:jc w:val="left"/>
        <w:rPr>
          <w:b/>
          <w:sz w:val="24"/>
        </w:rPr>
      </w:pPr>
      <w:r w:rsidRPr="00EA0631">
        <w:rPr>
          <w:b/>
          <w:i/>
          <w:sz w:val="24"/>
        </w:rPr>
        <w:t xml:space="preserve">Schistosoma japonicum </w:t>
      </w:r>
      <w:r w:rsidRPr="00EA0631">
        <w:rPr>
          <w:b/>
          <w:sz w:val="24"/>
        </w:rPr>
        <w:t>MiRNA-7-5p Inhibits the Growth and Migration of Hepatoma Cells via Cross-species Regulation of S-phase Kinase-associated Protein 2</w:t>
      </w:r>
    </w:p>
    <w:p w14:paraId="534F1C5E" w14:textId="77777777" w:rsidR="002A3918" w:rsidRDefault="002A3918" w:rsidP="00796275">
      <w:pPr>
        <w:spacing w:line="360" w:lineRule="auto"/>
        <w:rPr>
          <w:sz w:val="24"/>
        </w:rPr>
      </w:pPr>
    </w:p>
    <w:p w14:paraId="1D003611" w14:textId="77777777" w:rsidR="002A3918" w:rsidRPr="00AA2B25" w:rsidRDefault="002A3918" w:rsidP="00796275">
      <w:pPr>
        <w:spacing w:line="360" w:lineRule="auto"/>
        <w:rPr>
          <w:b/>
          <w:sz w:val="32"/>
          <w:szCs w:val="32"/>
        </w:rPr>
      </w:pPr>
      <w:r w:rsidRPr="00AA2B25">
        <w:rPr>
          <w:rFonts w:hint="eastAsia"/>
          <w:b/>
          <w:sz w:val="32"/>
          <w:szCs w:val="32"/>
        </w:rPr>
        <w:t>A</w:t>
      </w:r>
      <w:r w:rsidRPr="00AA2B25">
        <w:rPr>
          <w:b/>
          <w:sz w:val="32"/>
          <w:szCs w:val="32"/>
        </w:rPr>
        <w:t>uthor</w:t>
      </w:r>
      <w:r>
        <w:rPr>
          <w:b/>
          <w:sz w:val="32"/>
          <w:szCs w:val="32"/>
        </w:rPr>
        <w:t>s</w:t>
      </w:r>
      <w:r w:rsidRPr="00AA2B25">
        <w:rPr>
          <w:b/>
          <w:sz w:val="32"/>
          <w:szCs w:val="32"/>
        </w:rPr>
        <w:t>:</w:t>
      </w:r>
    </w:p>
    <w:p w14:paraId="2C26DD94" w14:textId="77777777" w:rsidR="002A3918" w:rsidRPr="007A157A" w:rsidRDefault="002A3918" w:rsidP="00796275">
      <w:pPr>
        <w:spacing w:line="360" w:lineRule="auto"/>
        <w:rPr>
          <w:sz w:val="28"/>
          <w:szCs w:val="28"/>
          <w:vertAlign w:val="superscript"/>
        </w:rPr>
      </w:pPr>
      <w:r>
        <w:rPr>
          <w:sz w:val="24"/>
        </w:rPr>
        <w:t>Chao Hu</w:t>
      </w:r>
      <w:r>
        <w:rPr>
          <w:sz w:val="24"/>
          <w:vertAlign w:val="superscript"/>
        </w:rPr>
        <w:t>1</w:t>
      </w:r>
      <w:r>
        <w:rPr>
          <w:sz w:val="24"/>
        </w:rPr>
        <w:t xml:space="preserve">, </w:t>
      </w:r>
      <w:proofErr w:type="spellStart"/>
      <w:r>
        <w:rPr>
          <w:sz w:val="24"/>
        </w:rPr>
        <w:t>Shanli</w:t>
      </w:r>
      <w:proofErr w:type="spellEnd"/>
      <w:r>
        <w:rPr>
          <w:sz w:val="24"/>
        </w:rPr>
        <w:t xml:space="preserve"> Zhu</w:t>
      </w:r>
      <w:r>
        <w:rPr>
          <w:sz w:val="24"/>
          <w:vertAlign w:val="superscript"/>
        </w:rPr>
        <w:t>1</w:t>
      </w:r>
      <w:r>
        <w:rPr>
          <w:sz w:val="24"/>
        </w:rPr>
        <w:t xml:space="preserve">, </w:t>
      </w:r>
      <w:r>
        <w:rPr>
          <w:rFonts w:hint="eastAsia"/>
          <w:sz w:val="24"/>
        </w:rPr>
        <w:t>Jing</w:t>
      </w:r>
      <w:r>
        <w:rPr>
          <w:sz w:val="24"/>
        </w:rPr>
        <w:t xml:space="preserve"> Wang</w:t>
      </w:r>
      <w:r>
        <w:rPr>
          <w:sz w:val="24"/>
          <w:vertAlign w:val="superscript"/>
        </w:rPr>
        <w:t>1</w:t>
      </w:r>
      <w:r>
        <w:rPr>
          <w:sz w:val="24"/>
        </w:rPr>
        <w:t>, Yu Lin</w:t>
      </w:r>
      <w:r>
        <w:rPr>
          <w:sz w:val="24"/>
          <w:vertAlign w:val="superscript"/>
        </w:rPr>
        <w:t>1</w:t>
      </w:r>
      <w:r>
        <w:rPr>
          <w:sz w:val="24"/>
        </w:rPr>
        <w:t>, li Ma</w:t>
      </w:r>
      <w:r>
        <w:rPr>
          <w:sz w:val="24"/>
          <w:vertAlign w:val="superscript"/>
        </w:rPr>
        <w:t>1</w:t>
      </w:r>
      <w:r>
        <w:rPr>
          <w:sz w:val="24"/>
        </w:rPr>
        <w:t xml:space="preserve">, </w:t>
      </w:r>
      <w:proofErr w:type="spellStart"/>
      <w:r>
        <w:rPr>
          <w:sz w:val="24"/>
        </w:rPr>
        <w:t>Liufang</w:t>
      </w:r>
      <w:proofErr w:type="spellEnd"/>
      <w:r>
        <w:rPr>
          <w:sz w:val="24"/>
        </w:rPr>
        <w:t xml:space="preserve"> Zhu</w:t>
      </w:r>
      <w:r>
        <w:rPr>
          <w:sz w:val="24"/>
          <w:vertAlign w:val="superscript"/>
        </w:rPr>
        <w:t>1</w:t>
      </w:r>
      <w:r>
        <w:rPr>
          <w:sz w:val="24"/>
        </w:rPr>
        <w:t xml:space="preserve">, </w:t>
      </w:r>
      <w:proofErr w:type="spellStart"/>
      <w:r>
        <w:rPr>
          <w:sz w:val="24"/>
        </w:rPr>
        <w:t>Pengyue</w:t>
      </w:r>
      <w:proofErr w:type="spellEnd"/>
      <w:r>
        <w:rPr>
          <w:sz w:val="24"/>
        </w:rPr>
        <w:t xml:space="preserve"> Jiang</w:t>
      </w:r>
      <w:r>
        <w:rPr>
          <w:sz w:val="24"/>
          <w:vertAlign w:val="superscript"/>
        </w:rPr>
        <w:t>1</w:t>
      </w:r>
      <w:r>
        <w:rPr>
          <w:sz w:val="24"/>
        </w:rPr>
        <w:t xml:space="preserve">, </w:t>
      </w:r>
      <w:proofErr w:type="spellStart"/>
      <w:r>
        <w:rPr>
          <w:sz w:val="24"/>
        </w:rPr>
        <w:t>Zhengli</w:t>
      </w:r>
      <w:proofErr w:type="spellEnd"/>
      <w:r>
        <w:rPr>
          <w:sz w:val="24"/>
        </w:rPr>
        <w:t xml:space="preserve"> Li</w:t>
      </w:r>
      <w:r>
        <w:rPr>
          <w:sz w:val="24"/>
          <w:vertAlign w:val="superscript"/>
        </w:rPr>
        <w:t>1</w:t>
      </w:r>
      <w:r>
        <w:rPr>
          <w:sz w:val="24"/>
        </w:rPr>
        <w:t xml:space="preserve">, </w:t>
      </w:r>
      <w:proofErr w:type="spellStart"/>
      <w:r>
        <w:rPr>
          <w:sz w:val="24"/>
        </w:rPr>
        <w:t>Weiqing</w:t>
      </w:r>
      <w:proofErr w:type="spellEnd"/>
      <w:r>
        <w:rPr>
          <w:sz w:val="24"/>
        </w:rPr>
        <w:t xml:space="preserve"> Pan</w:t>
      </w:r>
      <w:r>
        <w:rPr>
          <w:sz w:val="24"/>
          <w:vertAlign w:val="superscript"/>
        </w:rPr>
        <w:t>1,2*</w:t>
      </w:r>
    </w:p>
    <w:p w14:paraId="6A0F4178" w14:textId="77777777" w:rsidR="002A3918" w:rsidRDefault="002A3918" w:rsidP="00796275">
      <w:pPr>
        <w:pStyle w:val="Default"/>
        <w:spacing w:line="360" w:lineRule="auto"/>
        <w:jc w:val="both"/>
        <w:rPr>
          <w:rFonts w:eastAsia="仿宋"/>
          <w:b/>
          <w:color w:val="auto"/>
          <w:lang w:eastAsia="zh-CN"/>
        </w:rPr>
      </w:pPr>
    </w:p>
    <w:p w14:paraId="664F761A" w14:textId="77777777" w:rsidR="002A3918" w:rsidRPr="00AA2B25" w:rsidRDefault="002A3918" w:rsidP="00796275">
      <w:pPr>
        <w:spacing w:line="360" w:lineRule="auto"/>
        <w:jc w:val="left"/>
        <w:outlineLvl w:val="0"/>
        <w:rPr>
          <w:b/>
          <w:sz w:val="32"/>
          <w:szCs w:val="32"/>
        </w:rPr>
      </w:pPr>
      <w:r w:rsidRPr="00AA2B25">
        <w:rPr>
          <w:b/>
          <w:sz w:val="32"/>
          <w:szCs w:val="32"/>
        </w:rPr>
        <w:t xml:space="preserve">Authors’ </w:t>
      </w:r>
      <w:r>
        <w:rPr>
          <w:b/>
          <w:sz w:val="32"/>
          <w:szCs w:val="32"/>
        </w:rPr>
        <w:t>a</w:t>
      </w:r>
      <w:r w:rsidRPr="00AA2B25">
        <w:rPr>
          <w:b/>
          <w:sz w:val="32"/>
          <w:szCs w:val="32"/>
        </w:rPr>
        <w:t>ffiliations:</w:t>
      </w:r>
    </w:p>
    <w:p w14:paraId="1172B7AA" w14:textId="77777777" w:rsidR="002A3918" w:rsidRDefault="002A3918" w:rsidP="00796275">
      <w:pPr>
        <w:spacing w:line="360" w:lineRule="auto"/>
        <w:rPr>
          <w:sz w:val="24"/>
        </w:rPr>
      </w:pPr>
      <w:r>
        <w:rPr>
          <w:sz w:val="24"/>
          <w:vertAlign w:val="superscript"/>
        </w:rPr>
        <w:t>1</w:t>
      </w:r>
      <w:r>
        <w:rPr>
          <w:sz w:val="24"/>
        </w:rPr>
        <w:t xml:space="preserve"> Institute for Infectious Diseases and Vaccine Development, Tongji University</w:t>
      </w:r>
      <w:r>
        <w:rPr>
          <w:rFonts w:hint="eastAsia"/>
          <w:sz w:val="24"/>
        </w:rPr>
        <w:t xml:space="preserve"> </w:t>
      </w:r>
      <w:r>
        <w:rPr>
          <w:sz w:val="24"/>
        </w:rPr>
        <w:t xml:space="preserve">School of Medicine, 1239 </w:t>
      </w:r>
      <w:proofErr w:type="spellStart"/>
      <w:r>
        <w:rPr>
          <w:sz w:val="24"/>
        </w:rPr>
        <w:t>Siping</w:t>
      </w:r>
      <w:proofErr w:type="spellEnd"/>
      <w:r>
        <w:rPr>
          <w:sz w:val="24"/>
        </w:rPr>
        <w:t xml:space="preserve"> Road,</w:t>
      </w:r>
      <w:r>
        <w:rPr>
          <w:rFonts w:hint="eastAsia"/>
          <w:sz w:val="24"/>
        </w:rPr>
        <w:t xml:space="preserve"> </w:t>
      </w:r>
      <w:r>
        <w:rPr>
          <w:sz w:val="24"/>
        </w:rPr>
        <w:t>Shanghai 200092, China</w:t>
      </w:r>
    </w:p>
    <w:p w14:paraId="78FC9DAA" w14:textId="77777777" w:rsidR="002A3918" w:rsidRDefault="002A3918" w:rsidP="00796275">
      <w:pPr>
        <w:pStyle w:val="Default"/>
        <w:spacing w:line="360" w:lineRule="auto"/>
        <w:jc w:val="both"/>
        <w:rPr>
          <w:rFonts w:eastAsia="仿宋"/>
          <w:b/>
          <w:color w:val="auto"/>
          <w:lang w:val="en-US" w:eastAsia="zh-CN"/>
        </w:rPr>
      </w:pPr>
      <w:r>
        <w:rPr>
          <w:vertAlign w:val="superscript"/>
        </w:rPr>
        <w:t>2</w:t>
      </w:r>
      <w:r>
        <w:t xml:space="preserve"> Department of Tropical Diseases, Second Military Medical</w:t>
      </w:r>
      <w:r>
        <w:rPr>
          <w:rFonts w:hint="eastAsia"/>
          <w:lang w:eastAsia="zh-CN"/>
        </w:rPr>
        <w:t xml:space="preserve"> </w:t>
      </w:r>
      <w:r>
        <w:t>University, 800 Xiang Yin Road,</w:t>
      </w:r>
      <w:r>
        <w:rPr>
          <w:rFonts w:hint="eastAsia"/>
          <w:lang w:eastAsia="zh-CN"/>
        </w:rPr>
        <w:t xml:space="preserve"> </w:t>
      </w:r>
      <w:r>
        <w:t>Shanghai 200433, China</w:t>
      </w:r>
      <w:r>
        <w:rPr>
          <w:rFonts w:hint="eastAsia"/>
          <w:lang w:val="en-US" w:eastAsia="zh-CN"/>
        </w:rPr>
        <w:t xml:space="preserve">  </w:t>
      </w:r>
    </w:p>
    <w:p w14:paraId="0E3989B5" w14:textId="77777777" w:rsidR="002A3918" w:rsidRDefault="002A3918" w:rsidP="00796275">
      <w:pPr>
        <w:pStyle w:val="Default"/>
        <w:spacing w:line="360" w:lineRule="auto"/>
        <w:jc w:val="both"/>
        <w:rPr>
          <w:rFonts w:eastAsia="仿宋"/>
          <w:b/>
          <w:color w:val="auto"/>
          <w:lang w:val="en-US" w:eastAsia="zh-CN"/>
        </w:rPr>
      </w:pPr>
    </w:p>
    <w:p w14:paraId="50649D79" w14:textId="77777777" w:rsidR="002A3918" w:rsidRPr="00AA2B25" w:rsidRDefault="002A3918" w:rsidP="00796275">
      <w:pPr>
        <w:spacing w:line="360" w:lineRule="auto"/>
        <w:jc w:val="left"/>
        <w:rPr>
          <w:b/>
          <w:sz w:val="32"/>
          <w:szCs w:val="32"/>
        </w:rPr>
      </w:pPr>
      <w:r w:rsidRPr="00AA2B25">
        <w:rPr>
          <w:b/>
          <w:sz w:val="32"/>
          <w:szCs w:val="32"/>
          <w:vertAlign w:val="superscript"/>
        </w:rPr>
        <w:t>*</w:t>
      </w:r>
      <w:r w:rsidRPr="00AA2B25">
        <w:rPr>
          <w:b/>
          <w:sz w:val="32"/>
          <w:szCs w:val="32"/>
        </w:rPr>
        <w:t xml:space="preserve"> Corresponding author:</w:t>
      </w:r>
    </w:p>
    <w:p w14:paraId="3EFA180E" w14:textId="77777777" w:rsidR="002A3918" w:rsidRDefault="002A3918" w:rsidP="00796275">
      <w:pPr>
        <w:spacing w:line="360" w:lineRule="auto"/>
      </w:pPr>
      <w:proofErr w:type="spellStart"/>
      <w:r w:rsidRPr="00A40DBE">
        <w:rPr>
          <w:sz w:val="24"/>
        </w:rPr>
        <w:t>Weiqing</w:t>
      </w:r>
      <w:proofErr w:type="spellEnd"/>
      <w:r w:rsidRPr="00A40DBE">
        <w:rPr>
          <w:sz w:val="24"/>
        </w:rPr>
        <w:t xml:space="preserve"> Pan</w:t>
      </w:r>
      <w:r w:rsidRPr="00A40DBE">
        <w:rPr>
          <w:rFonts w:hint="eastAsia"/>
          <w:sz w:val="24"/>
        </w:rPr>
        <w:t xml:space="preserve">, Ph.D., </w:t>
      </w:r>
      <w:r>
        <w:rPr>
          <w:sz w:val="24"/>
        </w:rPr>
        <w:t>Institute for Infectious Diseases and Vaccine Development</w:t>
      </w:r>
      <w:r w:rsidRPr="00A40DBE">
        <w:rPr>
          <w:rFonts w:hint="eastAsia"/>
          <w:sz w:val="24"/>
        </w:rPr>
        <w:t>,</w:t>
      </w:r>
      <w:r w:rsidRPr="00A40DBE">
        <w:rPr>
          <w:sz w:val="24"/>
        </w:rPr>
        <w:t xml:space="preserve"> </w:t>
      </w:r>
      <w:r>
        <w:rPr>
          <w:sz w:val="24"/>
        </w:rPr>
        <w:t>Tongji University</w:t>
      </w:r>
      <w:r>
        <w:rPr>
          <w:rFonts w:hint="eastAsia"/>
          <w:sz w:val="24"/>
        </w:rPr>
        <w:t xml:space="preserve"> </w:t>
      </w:r>
      <w:r>
        <w:rPr>
          <w:sz w:val="24"/>
        </w:rPr>
        <w:t xml:space="preserve">School of Medicine, 1239 </w:t>
      </w:r>
      <w:proofErr w:type="spellStart"/>
      <w:r>
        <w:rPr>
          <w:sz w:val="24"/>
        </w:rPr>
        <w:t>Siping</w:t>
      </w:r>
      <w:proofErr w:type="spellEnd"/>
      <w:r>
        <w:rPr>
          <w:sz w:val="24"/>
        </w:rPr>
        <w:t xml:space="preserve"> Road,</w:t>
      </w:r>
      <w:r>
        <w:rPr>
          <w:rFonts w:hint="eastAsia"/>
          <w:sz w:val="24"/>
        </w:rPr>
        <w:t xml:space="preserve"> </w:t>
      </w:r>
      <w:r>
        <w:rPr>
          <w:sz w:val="24"/>
        </w:rPr>
        <w:t xml:space="preserve">Shanghai 200092, China, </w:t>
      </w:r>
      <w:r w:rsidRPr="00A40DBE">
        <w:rPr>
          <w:rFonts w:hint="eastAsia"/>
          <w:sz w:val="24"/>
        </w:rPr>
        <w:t>Work phone: 86-21-6598</w:t>
      </w:r>
      <w:r w:rsidRPr="00A40DBE">
        <w:rPr>
          <w:sz w:val="24"/>
        </w:rPr>
        <w:t xml:space="preserve"> </w:t>
      </w:r>
      <w:r w:rsidRPr="00A40DBE">
        <w:rPr>
          <w:rFonts w:hint="eastAsia"/>
          <w:sz w:val="24"/>
        </w:rPr>
        <w:t xml:space="preserve">5905; E-mail: </w:t>
      </w:r>
      <w:r w:rsidRPr="00A40DBE">
        <w:rPr>
          <w:sz w:val="24"/>
        </w:rPr>
        <w:t>wqpan0912@aliyun.com (W.P.)</w:t>
      </w:r>
      <w:r w:rsidRPr="00A40DBE">
        <w:rPr>
          <w:rFonts w:hint="eastAsia"/>
          <w:sz w:val="24"/>
        </w:rPr>
        <w:t>; fax: 86-21-</w:t>
      </w:r>
      <w:r w:rsidRPr="00A40DBE">
        <w:rPr>
          <w:sz w:val="24"/>
        </w:rPr>
        <w:t>6598 5903</w:t>
      </w:r>
      <w:r w:rsidRPr="00A40DBE">
        <w:rPr>
          <w:rFonts w:hint="eastAsia"/>
          <w:sz w:val="24"/>
        </w:rPr>
        <w:t>.</w:t>
      </w:r>
    </w:p>
    <w:p w14:paraId="1B79968C" w14:textId="77777777" w:rsidR="002A3918" w:rsidRPr="0074478C" w:rsidRDefault="002A3918" w:rsidP="00796275">
      <w:pPr>
        <w:spacing w:line="360" w:lineRule="auto"/>
        <w:jc w:val="left"/>
        <w:rPr>
          <w:sz w:val="24"/>
        </w:rPr>
      </w:pPr>
    </w:p>
    <w:p w14:paraId="22913AF3" w14:textId="77777777" w:rsidR="002A3918" w:rsidRDefault="002A3918" w:rsidP="00796275">
      <w:pPr>
        <w:pStyle w:val="2"/>
        <w:spacing w:afterLines="0"/>
        <w:jc w:val="both"/>
      </w:pPr>
    </w:p>
    <w:p w14:paraId="388F37B2" w14:textId="77777777" w:rsidR="002A3918" w:rsidRDefault="002A3918" w:rsidP="00796275">
      <w:pPr>
        <w:pStyle w:val="2"/>
        <w:spacing w:afterLines="0"/>
        <w:jc w:val="both"/>
      </w:pPr>
    </w:p>
    <w:p w14:paraId="69588313" w14:textId="77777777" w:rsidR="002A3918" w:rsidRDefault="002A3918" w:rsidP="00796275">
      <w:pPr>
        <w:pStyle w:val="2"/>
        <w:spacing w:afterLines="0"/>
        <w:jc w:val="both"/>
      </w:pPr>
    </w:p>
    <w:p w14:paraId="03A960D3" w14:textId="7034DE20" w:rsidR="002A3918" w:rsidRDefault="002A3918" w:rsidP="00796275">
      <w:pPr>
        <w:pStyle w:val="2"/>
        <w:spacing w:afterLines="0"/>
        <w:jc w:val="both"/>
      </w:pPr>
    </w:p>
    <w:p w14:paraId="373A5834" w14:textId="54568FFE" w:rsidR="00710E14" w:rsidRDefault="00710E14" w:rsidP="00796275">
      <w:pPr>
        <w:pStyle w:val="2"/>
        <w:spacing w:afterLines="0"/>
        <w:jc w:val="both"/>
      </w:pPr>
    </w:p>
    <w:bookmarkEnd w:id="0"/>
    <w:p w14:paraId="18AA1F61" w14:textId="30B63D57" w:rsidR="002A3918" w:rsidRDefault="002A3918" w:rsidP="00796275">
      <w:pPr>
        <w:spacing w:line="360" w:lineRule="auto"/>
        <w:rPr>
          <w:b/>
          <w:sz w:val="32"/>
          <w:szCs w:val="32"/>
        </w:rPr>
      </w:pPr>
    </w:p>
    <w:p w14:paraId="5A5C083F" w14:textId="77777777" w:rsidR="00084832" w:rsidRDefault="00084832" w:rsidP="00796275">
      <w:pPr>
        <w:spacing w:line="360" w:lineRule="auto"/>
        <w:rPr>
          <w:b/>
          <w:sz w:val="32"/>
          <w:szCs w:val="32"/>
        </w:rPr>
      </w:pPr>
    </w:p>
    <w:p w14:paraId="66790889" w14:textId="325E80F8" w:rsidR="00D366AC" w:rsidRPr="00DE2FE5" w:rsidRDefault="002073D8" w:rsidP="00796275">
      <w:pPr>
        <w:pStyle w:val="A3"/>
        <w:spacing w:line="360" w:lineRule="auto"/>
        <w:rPr>
          <w:rFonts w:ascii="Times New Roman" w:eastAsia="Times New Roman" w:hAnsi="Times New Roman" w:cs="Times New Roman"/>
          <w:b/>
          <w:bCs/>
          <w:i/>
          <w:iCs/>
          <w:kern w:val="0"/>
          <w:sz w:val="32"/>
          <w:szCs w:val="32"/>
        </w:rPr>
      </w:pPr>
      <w:r w:rsidRPr="00DE2FE5">
        <w:rPr>
          <w:rStyle w:val="apple-converted-space"/>
          <w:rFonts w:ascii="Times New Roman" w:hAnsi="Times New Roman" w:cs="Times New Roman"/>
          <w:b/>
          <w:bCs/>
          <w:sz w:val="32"/>
          <w:szCs w:val="32"/>
        </w:rPr>
        <w:lastRenderedPageBreak/>
        <w:t>SUPPLEMENTARY MATERIALS AND METHODS</w:t>
      </w:r>
    </w:p>
    <w:p w14:paraId="4C496D93" w14:textId="3732F402" w:rsidR="00D366AC" w:rsidRPr="00DE2FE5" w:rsidRDefault="00D366AC" w:rsidP="00796275">
      <w:pPr>
        <w:spacing w:line="360" w:lineRule="auto"/>
        <w:rPr>
          <w:b/>
          <w:sz w:val="24"/>
        </w:rPr>
      </w:pPr>
      <w:r w:rsidRPr="00DA3E74">
        <w:rPr>
          <w:b/>
          <w:sz w:val="24"/>
        </w:rPr>
        <w:t xml:space="preserve">Cell </w:t>
      </w:r>
      <w:r w:rsidR="002073D8">
        <w:rPr>
          <w:b/>
          <w:sz w:val="24"/>
        </w:rPr>
        <w:t>C</w:t>
      </w:r>
      <w:r w:rsidR="002073D8" w:rsidRPr="00DA3E74">
        <w:rPr>
          <w:b/>
          <w:sz w:val="24"/>
        </w:rPr>
        <w:t xml:space="preserve">ulture </w:t>
      </w:r>
      <w:r w:rsidRPr="00DA3E74">
        <w:rPr>
          <w:b/>
          <w:sz w:val="24"/>
        </w:rPr>
        <w:t>and</w:t>
      </w:r>
      <w:r w:rsidRPr="00DA3E74">
        <w:rPr>
          <w:b/>
          <w:color w:val="FF0000"/>
          <w:sz w:val="24"/>
        </w:rPr>
        <w:t xml:space="preserve"> </w:t>
      </w:r>
      <w:r w:rsidR="002073D8">
        <w:rPr>
          <w:b/>
          <w:sz w:val="24"/>
        </w:rPr>
        <w:t>T</w:t>
      </w:r>
      <w:r w:rsidRPr="00DE2FE5">
        <w:rPr>
          <w:b/>
          <w:sz w:val="24"/>
        </w:rPr>
        <w:t>ransfection</w:t>
      </w:r>
    </w:p>
    <w:p w14:paraId="33CBD15C" w14:textId="5D3E594A" w:rsidR="00A764E0" w:rsidRPr="00D366AC" w:rsidRDefault="00D366AC" w:rsidP="00796275">
      <w:pPr>
        <w:spacing w:line="360" w:lineRule="auto"/>
        <w:rPr>
          <w:sz w:val="24"/>
        </w:rPr>
      </w:pPr>
      <w:r>
        <w:rPr>
          <w:rFonts w:eastAsia="MinionPro-Regular"/>
          <w:kern w:val="0"/>
          <w:sz w:val="24"/>
        </w:rPr>
        <w:t>Hepa1-6</w:t>
      </w:r>
      <w:r w:rsidR="00EE06C4">
        <w:rPr>
          <w:rFonts w:eastAsia="MinionPro-Regular"/>
          <w:kern w:val="0"/>
          <w:sz w:val="24"/>
        </w:rPr>
        <w:t xml:space="preserve"> </w:t>
      </w:r>
      <w:r w:rsidR="00EE06C4">
        <w:rPr>
          <w:rFonts w:eastAsia="MinionPro-Regular" w:hint="eastAsia"/>
          <w:kern w:val="0"/>
          <w:sz w:val="24"/>
        </w:rPr>
        <w:t>and</w:t>
      </w:r>
      <w:r w:rsidR="00EE06C4">
        <w:rPr>
          <w:rFonts w:eastAsia="MinionPro-Regular"/>
          <w:kern w:val="0"/>
          <w:sz w:val="24"/>
        </w:rPr>
        <w:t xml:space="preserve"> </w:t>
      </w:r>
      <w:r>
        <w:rPr>
          <w:rFonts w:eastAsia="MinionPro-Regular"/>
          <w:kern w:val="0"/>
          <w:sz w:val="24"/>
        </w:rPr>
        <w:t>HepG2 cell lines</w:t>
      </w:r>
      <w:r>
        <w:rPr>
          <w:sz w:val="24"/>
        </w:rPr>
        <w:t xml:space="preserve"> were purchased from American Type Culture Collection(ATCC)</w:t>
      </w:r>
      <w:r>
        <w:rPr>
          <w:color w:val="FF0000"/>
          <w:sz w:val="24"/>
        </w:rPr>
        <w:t xml:space="preserve"> </w:t>
      </w:r>
      <w:r>
        <w:rPr>
          <w:sz w:val="24"/>
        </w:rPr>
        <w:t>and grown in Dulbecco's modified Eagle's medium(</w:t>
      </w:r>
      <w:r w:rsidR="00450A44">
        <w:rPr>
          <w:rFonts w:eastAsia="MinionPro-Regular"/>
          <w:kern w:val="0"/>
          <w:sz w:val="24"/>
        </w:rPr>
        <w:t>DMEM, Life Technologies</w:t>
      </w:r>
      <w:r w:rsidR="00450A44">
        <w:rPr>
          <w:rFonts w:hint="eastAsia"/>
          <w:kern w:val="0"/>
          <w:sz w:val="24"/>
        </w:rPr>
        <w:t>, USA</w:t>
      </w:r>
      <w:r>
        <w:rPr>
          <w:sz w:val="24"/>
        </w:rPr>
        <w:t xml:space="preserve">) supplemented with 10 %(v/v) fetal bovine serum(Invitrogen, USA), 100 U/ml penicillin, and 100 </w:t>
      </w:r>
      <w:proofErr w:type="spellStart"/>
      <w:r>
        <w:rPr>
          <w:sz w:val="24"/>
        </w:rPr>
        <w:t>μg</w:t>
      </w:r>
      <w:proofErr w:type="spellEnd"/>
      <w:r>
        <w:rPr>
          <w:sz w:val="24"/>
        </w:rPr>
        <w:t>/ml streptomycin(Invitrogen, USA) at 37</w:t>
      </w:r>
      <w:r w:rsidR="00B557AB">
        <w:rPr>
          <w:sz w:val="24"/>
        </w:rPr>
        <w:t xml:space="preserve"> </w:t>
      </w:r>
      <w:r>
        <w:rPr>
          <w:sz w:val="24"/>
        </w:rPr>
        <w:t xml:space="preserve">°C in a 5 % CO2 incubator. Exponential growing cells were seeded in the culture plate overnight and transfected with 60 </w:t>
      </w:r>
      <w:proofErr w:type="spellStart"/>
      <w:r>
        <w:rPr>
          <w:sz w:val="24"/>
        </w:rPr>
        <w:t>nM</w:t>
      </w:r>
      <w:proofErr w:type="spellEnd"/>
      <w:r>
        <w:rPr>
          <w:sz w:val="24"/>
        </w:rPr>
        <w:t xml:space="preserve"> sja-miR-7-5p mimics, </w:t>
      </w:r>
      <w:r w:rsidR="00B557AB" w:rsidRPr="00B557AB">
        <w:rPr>
          <w:rFonts w:hint="eastAsia"/>
          <w:sz w:val="24"/>
          <w:lang w:val="en-GB"/>
        </w:rPr>
        <w:t>small interfering RNA</w:t>
      </w:r>
      <w:r>
        <w:rPr>
          <w:sz w:val="24"/>
        </w:rPr>
        <w:t xml:space="preserve">(siRNAs) or </w:t>
      </w:r>
      <w:r w:rsidR="00732E0B">
        <w:rPr>
          <w:sz w:val="24"/>
        </w:rPr>
        <w:t>negative</w:t>
      </w:r>
      <w:r w:rsidR="00717C35">
        <w:rPr>
          <w:sz w:val="24"/>
        </w:rPr>
        <w:t xml:space="preserve"> </w:t>
      </w:r>
      <w:r>
        <w:rPr>
          <w:sz w:val="24"/>
        </w:rPr>
        <w:t>control mimics(NC)(</w:t>
      </w:r>
      <w:proofErr w:type="spellStart"/>
      <w:r>
        <w:rPr>
          <w:sz w:val="24"/>
        </w:rPr>
        <w:t>Genepharma</w:t>
      </w:r>
      <w:proofErr w:type="spellEnd"/>
      <w:r>
        <w:rPr>
          <w:sz w:val="24"/>
        </w:rPr>
        <w:t>, Shanghai, China) using Lipofectamine 3000(Invitrogen, Carlsbad, CA, USA), sja-miR-7-5p mimics: sense 5’-UGG AAG ACU GGU GAU AUG UUG UU-3’; anti-sense 5’-CAA CAU AUC ACC AGU CUU CCA UU -3’. SKP2 siRNA-786: sense 5’-GGU GAA AGC UUC AGC UCU UTT -3’; anti-sense 5’- AAG AGC UGA AGC UUU CAC CTT -3’. SKP2 siRNA-1291: sense 5’-GCC GGU GCU AUG AUA UAA UTT-3’; anti-sense 5’-AUU AUA UCA UAG CAC CGG CTT -3’. NC mimics: sense 5’-UUC UCC GAA CGU GUC ACG UTT-3’; anti-sense 5’-ACG UGA CAC GUU CGG AGA ATT-3’. The cells were incubated at the indicated time, and then subjected to further analysis as described under this section.</w:t>
      </w:r>
    </w:p>
    <w:p w14:paraId="7773183D" w14:textId="77777777" w:rsidR="00A764E0" w:rsidRDefault="00A764E0" w:rsidP="00796275">
      <w:pPr>
        <w:spacing w:line="360" w:lineRule="auto"/>
        <w:rPr>
          <w:sz w:val="24"/>
        </w:rPr>
      </w:pPr>
    </w:p>
    <w:p w14:paraId="5FBCA0D2" w14:textId="1449F51E" w:rsidR="000F3AC6" w:rsidRPr="00DA3E74" w:rsidRDefault="000F3AC6" w:rsidP="00796275">
      <w:pPr>
        <w:spacing w:line="360" w:lineRule="auto"/>
        <w:rPr>
          <w:b/>
          <w:sz w:val="24"/>
        </w:rPr>
      </w:pPr>
      <w:r w:rsidRPr="00DA3E74">
        <w:rPr>
          <w:b/>
          <w:sz w:val="24"/>
        </w:rPr>
        <w:t xml:space="preserve">In </w:t>
      </w:r>
      <w:r w:rsidR="00F17031">
        <w:rPr>
          <w:b/>
          <w:sz w:val="24"/>
        </w:rPr>
        <w:t>V</w:t>
      </w:r>
      <w:r w:rsidR="00F17031" w:rsidRPr="00DA3E74">
        <w:rPr>
          <w:b/>
          <w:sz w:val="24"/>
        </w:rPr>
        <w:t xml:space="preserve">itro </w:t>
      </w:r>
      <w:r w:rsidR="00F17031">
        <w:rPr>
          <w:b/>
          <w:sz w:val="24"/>
        </w:rPr>
        <w:t>M</w:t>
      </w:r>
      <w:r w:rsidR="00F17031" w:rsidRPr="00DA3E74">
        <w:rPr>
          <w:b/>
          <w:sz w:val="24"/>
        </w:rPr>
        <w:t xml:space="preserve">igration </w:t>
      </w:r>
      <w:r w:rsidR="00F17031">
        <w:rPr>
          <w:b/>
          <w:sz w:val="24"/>
        </w:rPr>
        <w:t>A</w:t>
      </w:r>
      <w:r w:rsidR="00F17031" w:rsidRPr="00DA3E74">
        <w:rPr>
          <w:b/>
          <w:sz w:val="24"/>
        </w:rPr>
        <w:t>ssay</w:t>
      </w:r>
    </w:p>
    <w:p w14:paraId="627286CE" w14:textId="7640C909" w:rsidR="000F3AC6" w:rsidRDefault="000F3AC6" w:rsidP="00796275">
      <w:pPr>
        <w:spacing w:line="360" w:lineRule="auto"/>
        <w:rPr>
          <w:sz w:val="24"/>
        </w:rPr>
      </w:pPr>
      <w:r>
        <w:rPr>
          <w:sz w:val="24"/>
        </w:rPr>
        <w:t xml:space="preserve">Cell migration was measured by both the </w:t>
      </w:r>
      <w:proofErr w:type="spellStart"/>
      <w:r w:rsidR="006E1571">
        <w:rPr>
          <w:sz w:val="24"/>
        </w:rPr>
        <w:t>T</w:t>
      </w:r>
      <w:r>
        <w:rPr>
          <w:sz w:val="24"/>
        </w:rPr>
        <w:t>ranswell</w:t>
      </w:r>
      <w:proofErr w:type="spellEnd"/>
      <w:r>
        <w:rPr>
          <w:sz w:val="24"/>
        </w:rPr>
        <w:t xml:space="preserve"> migration and wound healing assay. For </w:t>
      </w:r>
      <w:proofErr w:type="spellStart"/>
      <w:r w:rsidR="006E1571">
        <w:rPr>
          <w:sz w:val="24"/>
        </w:rPr>
        <w:t>T</w:t>
      </w:r>
      <w:r>
        <w:rPr>
          <w:sz w:val="24"/>
        </w:rPr>
        <w:t>ranswell</w:t>
      </w:r>
      <w:proofErr w:type="spellEnd"/>
      <w:r>
        <w:rPr>
          <w:sz w:val="24"/>
        </w:rPr>
        <w:t xml:space="preserve"> migration assay, cells(2×10</w:t>
      </w:r>
      <w:r>
        <w:rPr>
          <w:sz w:val="24"/>
          <w:vertAlign w:val="superscript"/>
        </w:rPr>
        <w:t>5</w:t>
      </w:r>
      <w:r>
        <w:rPr>
          <w:sz w:val="24"/>
        </w:rPr>
        <w:t>) were seeded in a 6-well plate overnight, then cells were transfected with sja-miR-7-5p mimics or NC mimics, respectively. And 24 h later, cells were digested and 2×10</w:t>
      </w:r>
      <w:r>
        <w:rPr>
          <w:sz w:val="24"/>
          <w:vertAlign w:val="superscript"/>
        </w:rPr>
        <w:t>4</w:t>
      </w:r>
      <w:r>
        <w:rPr>
          <w:sz w:val="24"/>
        </w:rPr>
        <w:t xml:space="preserve"> cells were transferred into the upper chamber in 100 </w:t>
      </w:r>
      <w:proofErr w:type="spellStart"/>
      <w:r>
        <w:rPr>
          <w:sz w:val="24"/>
        </w:rPr>
        <w:t>μL</w:t>
      </w:r>
      <w:proofErr w:type="spellEnd"/>
      <w:r>
        <w:rPr>
          <w:sz w:val="24"/>
        </w:rPr>
        <w:t xml:space="preserve"> of serum-free medium, and 500 </w:t>
      </w:r>
      <w:proofErr w:type="spellStart"/>
      <w:r>
        <w:rPr>
          <w:sz w:val="24"/>
        </w:rPr>
        <w:t>μL</w:t>
      </w:r>
      <w:proofErr w:type="spellEnd"/>
      <w:r>
        <w:rPr>
          <w:sz w:val="24"/>
        </w:rPr>
        <w:t xml:space="preserve"> compete medium with 10 %(v/v) fetal bovine serum was added into the lower chamber, three replicates per group. And 24 h later, the upper chambers were fixed in methanol for 30 minutes, followed by staining in crystal violet for 15 minutes. After stained, cells on the upper surface of the membrane were wiped out lightly by using the small cotton ball, </w:t>
      </w:r>
      <w:r>
        <w:rPr>
          <w:rFonts w:ascii="AdvAGaramond-R" w:hAnsi="AdvAGaramond-R"/>
          <w:color w:val="231F20"/>
          <w:sz w:val="24"/>
        </w:rPr>
        <w:t xml:space="preserve">cells on the lower </w:t>
      </w:r>
      <w:r>
        <w:rPr>
          <w:rFonts w:ascii="AdvAGaramond-R" w:hAnsi="AdvAGaramond-R"/>
          <w:color w:val="231F20"/>
          <w:sz w:val="24"/>
        </w:rPr>
        <w:lastRenderedPageBreak/>
        <w:t>surface of the membrane were photographed and counted under a light microscope</w:t>
      </w:r>
      <w:r>
        <w:rPr>
          <w:rFonts w:ascii="AdvAGaramond-R" w:hAnsi="AdvAGaramond-R"/>
          <w:sz w:val="24"/>
        </w:rPr>
        <w:t xml:space="preserve"> i</w:t>
      </w:r>
      <w:r>
        <w:rPr>
          <w:rFonts w:ascii="AdvAGaramond-R" w:hAnsi="AdvAGaramond-R"/>
          <w:color w:val="231F20"/>
          <w:sz w:val="24"/>
        </w:rPr>
        <w:t>n five fields.</w:t>
      </w:r>
      <w:r>
        <w:rPr>
          <w:sz w:val="24"/>
        </w:rPr>
        <w:t xml:space="preserve"> For wound healing assay, cells(3×10</w:t>
      </w:r>
      <w:r>
        <w:rPr>
          <w:sz w:val="24"/>
          <w:vertAlign w:val="superscript"/>
        </w:rPr>
        <w:t>5</w:t>
      </w:r>
      <w:r>
        <w:rPr>
          <w:sz w:val="24"/>
        </w:rPr>
        <w:t xml:space="preserve">) cells were seeded in a 6-well plate overnight and then transfected with miRNA mimics as above description. Once conﬂuent, cells were scratched in a straight line using a 200 </w:t>
      </w:r>
      <w:proofErr w:type="spellStart"/>
      <w:r>
        <w:rPr>
          <w:sz w:val="24"/>
        </w:rPr>
        <w:t>μL</w:t>
      </w:r>
      <w:proofErr w:type="spellEnd"/>
      <w:r>
        <w:rPr>
          <w:sz w:val="24"/>
        </w:rPr>
        <w:t xml:space="preserve"> sterile pipette tip.</w:t>
      </w:r>
      <w:r w:rsidRPr="004A4227">
        <w:rPr>
          <w:color w:val="FF0000"/>
          <w:sz w:val="24"/>
        </w:rPr>
        <w:t xml:space="preserve"> </w:t>
      </w:r>
      <w:r w:rsidR="00FD3523" w:rsidRPr="004A4227">
        <w:rPr>
          <w:color w:val="FF0000"/>
          <w:sz w:val="24"/>
        </w:rPr>
        <w:t>Then, suspended cells were washed off with PBS and cultured in DMEM with 1%(v/v) fetal bovine serum culture</w:t>
      </w:r>
      <w:r w:rsidR="00C21858">
        <w:rPr>
          <w:sz w:val="24"/>
        </w:rPr>
        <w:t xml:space="preserve">. </w:t>
      </w:r>
      <w:r>
        <w:rPr>
          <w:sz w:val="24"/>
        </w:rPr>
        <w:t>The scratched area was photographed at 0</w:t>
      </w:r>
      <w:r w:rsidR="00BB396B">
        <w:rPr>
          <w:sz w:val="24"/>
        </w:rPr>
        <w:t xml:space="preserve"> </w:t>
      </w:r>
      <w:r>
        <w:rPr>
          <w:sz w:val="24"/>
        </w:rPr>
        <w:t xml:space="preserve">and 48 h, respectively. The relative area of migration formula = A/B(Where A is the area of migrated cells in experimental group after 48 h; where B is the area of migrated cells in control group after 48 h). The area of migrated cells is evaluated by the ImageJ 1.42q(ImageJ software, Way </w:t>
      </w:r>
      <w:proofErr w:type="spellStart"/>
      <w:r>
        <w:rPr>
          <w:sz w:val="24"/>
        </w:rPr>
        <w:t>Rasband</w:t>
      </w:r>
      <w:proofErr w:type="spellEnd"/>
      <w:r>
        <w:rPr>
          <w:sz w:val="24"/>
        </w:rPr>
        <w:t>, National Institutes of Health, USA).</w:t>
      </w:r>
    </w:p>
    <w:p w14:paraId="74D1ECDA" w14:textId="77777777" w:rsidR="000F3AC6" w:rsidRPr="000F3AC6" w:rsidRDefault="000F3AC6" w:rsidP="00796275">
      <w:pPr>
        <w:spacing w:line="360" w:lineRule="auto"/>
        <w:rPr>
          <w:sz w:val="24"/>
        </w:rPr>
      </w:pPr>
    </w:p>
    <w:p w14:paraId="0905E1A7" w14:textId="398C9CF2" w:rsidR="00445D79" w:rsidRPr="00DA3E74" w:rsidRDefault="00445D79" w:rsidP="00796275">
      <w:pPr>
        <w:spacing w:line="360" w:lineRule="auto"/>
        <w:rPr>
          <w:b/>
          <w:sz w:val="24"/>
        </w:rPr>
      </w:pPr>
      <w:r w:rsidRPr="00DA3E74">
        <w:rPr>
          <w:b/>
          <w:sz w:val="24"/>
        </w:rPr>
        <w:t xml:space="preserve">RNA </w:t>
      </w:r>
      <w:r w:rsidR="00E9251A">
        <w:rPr>
          <w:b/>
          <w:sz w:val="24"/>
        </w:rPr>
        <w:t>P</w:t>
      </w:r>
      <w:r w:rsidR="00E9251A" w:rsidRPr="00DA3E74">
        <w:rPr>
          <w:b/>
          <w:sz w:val="24"/>
        </w:rPr>
        <w:t>reparation</w:t>
      </w:r>
      <w:r w:rsidRPr="00DA3E74">
        <w:rPr>
          <w:b/>
          <w:sz w:val="24"/>
        </w:rPr>
        <w:t xml:space="preserve">, </w:t>
      </w:r>
      <w:r w:rsidR="00E9251A">
        <w:rPr>
          <w:b/>
          <w:sz w:val="24"/>
        </w:rPr>
        <w:t>R</w:t>
      </w:r>
      <w:r w:rsidR="00E9251A" w:rsidRPr="00DA3E74">
        <w:rPr>
          <w:b/>
          <w:sz w:val="24"/>
        </w:rPr>
        <w:t xml:space="preserve">everse </w:t>
      </w:r>
      <w:r w:rsidR="00E9251A">
        <w:rPr>
          <w:b/>
          <w:sz w:val="24"/>
        </w:rPr>
        <w:t>T</w:t>
      </w:r>
      <w:r w:rsidR="00E9251A" w:rsidRPr="00DA3E74">
        <w:rPr>
          <w:b/>
          <w:sz w:val="24"/>
        </w:rPr>
        <w:t>ranscription</w:t>
      </w:r>
      <w:r w:rsidRPr="00DA3E74">
        <w:rPr>
          <w:b/>
          <w:sz w:val="24"/>
        </w:rPr>
        <w:t xml:space="preserve">, </w:t>
      </w:r>
      <w:r w:rsidR="00E9251A">
        <w:rPr>
          <w:b/>
          <w:sz w:val="24"/>
        </w:rPr>
        <w:t>P</w:t>
      </w:r>
      <w:r w:rsidR="00E9251A" w:rsidRPr="00DA3E74">
        <w:rPr>
          <w:b/>
          <w:sz w:val="24"/>
        </w:rPr>
        <w:t xml:space="preserve">olymerase </w:t>
      </w:r>
      <w:r w:rsidR="00E9251A">
        <w:rPr>
          <w:b/>
          <w:sz w:val="24"/>
        </w:rPr>
        <w:t>C</w:t>
      </w:r>
      <w:r w:rsidR="00E9251A" w:rsidRPr="00DA3E74">
        <w:rPr>
          <w:b/>
          <w:sz w:val="24"/>
        </w:rPr>
        <w:t xml:space="preserve">hain </w:t>
      </w:r>
      <w:r w:rsidR="00E9251A">
        <w:rPr>
          <w:b/>
          <w:sz w:val="24"/>
        </w:rPr>
        <w:t>R</w:t>
      </w:r>
      <w:r w:rsidR="00E9251A" w:rsidRPr="00DA3E74">
        <w:rPr>
          <w:b/>
          <w:sz w:val="24"/>
        </w:rPr>
        <w:t>eaction</w:t>
      </w:r>
      <w:r w:rsidRPr="00DA3E74">
        <w:rPr>
          <w:b/>
          <w:sz w:val="24"/>
        </w:rPr>
        <w:t>(PCR),</w:t>
      </w:r>
      <w:r w:rsidR="00842DA8" w:rsidRPr="00DA3E74">
        <w:rPr>
          <w:b/>
          <w:sz w:val="24"/>
        </w:rPr>
        <w:t xml:space="preserve"> </w:t>
      </w:r>
      <w:r w:rsidR="00E9251A">
        <w:rPr>
          <w:b/>
          <w:sz w:val="24"/>
        </w:rPr>
        <w:t>Q</w:t>
      </w:r>
      <w:r w:rsidR="00E9251A" w:rsidRPr="00DA3E74">
        <w:rPr>
          <w:b/>
          <w:sz w:val="24"/>
        </w:rPr>
        <w:t xml:space="preserve">uantitative </w:t>
      </w:r>
      <w:r w:rsidR="00E9251A">
        <w:rPr>
          <w:b/>
          <w:sz w:val="24"/>
        </w:rPr>
        <w:t>R</w:t>
      </w:r>
      <w:r w:rsidR="00E9251A" w:rsidRPr="00DA3E74">
        <w:rPr>
          <w:b/>
          <w:sz w:val="24"/>
        </w:rPr>
        <w:t>eal</w:t>
      </w:r>
      <w:r w:rsidR="00842DA8" w:rsidRPr="00DA3E74">
        <w:rPr>
          <w:b/>
          <w:sz w:val="24"/>
        </w:rPr>
        <w:t xml:space="preserve">-time </w:t>
      </w:r>
      <w:r w:rsidR="00E9251A">
        <w:rPr>
          <w:b/>
          <w:sz w:val="24"/>
        </w:rPr>
        <w:t>R</w:t>
      </w:r>
      <w:r w:rsidR="00E9251A" w:rsidRPr="00DA3E74">
        <w:rPr>
          <w:b/>
          <w:sz w:val="24"/>
        </w:rPr>
        <w:t xml:space="preserve">everse </w:t>
      </w:r>
      <w:r w:rsidR="00E9251A">
        <w:rPr>
          <w:b/>
          <w:sz w:val="24"/>
        </w:rPr>
        <w:t>T</w:t>
      </w:r>
      <w:r w:rsidR="00E9251A" w:rsidRPr="00DA3E74">
        <w:rPr>
          <w:b/>
          <w:sz w:val="24"/>
        </w:rPr>
        <w:t xml:space="preserve">ranscription </w:t>
      </w:r>
      <w:r w:rsidR="00842DA8" w:rsidRPr="00DA3E74">
        <w:rPr>
          <w:b/>
          <w:sz w:val="24"/>
        </w:rPr>
        <w:t>PCR(</w:t>
      </w:r>
      <w:proofErr w:type="spellStart"/>
      <w:r w:rsidR="00842DA8" w:rsidRPr="00DA3E74">
        <w:rPr>
          <w:b/>
          <w:sz w:val="24"/>
        </w:rPr>
        <w:t>qRT</w:t>
      </w:r>
      <w:proofErr w:type="spellEnd"/>
      <w:r w:rsidR="00842DA8" w:rsidRPr="00DA3E74">
        <w:rPr>
          <w:b/>
          <w:sz w:val="24"/>
        </w:rPr>
        <w:t>-PCR)</w:t>
      </w:r>
    </w:p>
    <w:p w14:paraId="0BE81901" w14:textId="77B146DD" w:rsidR="00EB4B7C" w:rsidRPr="00DF1A55" w:rsidRDefault="00CD0F3F" w:rsidP="00796275">
      <w:pPr>
        <w:spacing w:line="360" w:lineRule="auto"/>
        <w:rPr>
          <w:i/>
          <w:sz w:val="24"/>
        </w:rPr>
      </w:pPr>
      <w:r>
        <w:rPr>
          <w:sz w:val="24"/>
        </w:rPr>
        <w:t xml:space="preserve">For RNA extraction, total RNA was extracted from cells, tumor samples or </w:t>
      </w:r>
      <w:r>
        <w:rPr>
          <w:i/>
          <w:sz w:val="24"/>
        </w:rPr>
        <w:t>Schistosoma japonicum</w:t>
      </w:r>
      <w:r>
        <w:rPr>
          <w:sz w:val="24"/>
        </w:rPr>
        <w:t xml:space="preserve"> </w:t>
      </w:r>
      <w:r w:rsidR="0023226C">
        <w:rPr>
          <w:sz w:val="24"/>
        </w:rPr>
        <w:t xml:space="preserve">by </w:t>
      </w:r>
      <w:r>
        <w:rPr>
          <w:sz w:val="24"/>
        </w:rPr>
        <w:t xml:space="preserve">using </w:t>
      </w:r>
      <w:proofErr w:type="spellStart"/>
      <w:r>
        <w:rPr>
          <w:sz w:val="24"/>
        </w:rPr>
        <w:t>Trizol</w:t>
      </w:r>
      <w:proofErr w:type="spellEnd"/>
      <w:r>
        <w:rPr>
          <w:sz w:val="24"/>
        </w:rPr>
        <w:t xml:space="preserve"> reagent(Life technologies, Carlsbad, CA, USA) according to the manufacturer's instructions, while the RNA of </w:t>
      </w:r>
      <w:r>
        <w:rPr>
          <w:bCs/>
          <w:iCs/>
          <w:sz w:val="24"/>
        </w:rPr>
        <w:t xml:space="preserve">primary mouse hepatocytes from </w:t>
      </w:r>
      <w:r>
        <w:rPr>
          <w:i/>
          <w:sz w:val="24"/>
        </w:rPr>
        <w:t>Schistosoma japonicum</w:t>
      </w:r>
      <w:r>
        <w:rPr>
          <w:sz w:val="24"/>
        </w:rPr>
        <w:t xml:space="preserve"> infected mouse was extracted by using </w:t>
      </w:r>
      <w:proofErr w:type="spellStart"/>
      <w:r>
        <w:rPr>
          <w:sz w:val="24"/>
        </w:rPr>
        <w:t>miRNeasy</w:t>
      </w:r>
      <w:proofErr w:type="spellEnd"/>
      <w:r>
        <w:rPr>
          <w:sz w:val="24"/>
        </w:rPr>
        <w:t xml:space="preserve"> Mini kit(Qi</w:t>
      </w:r>
      <w:r w:rsidR="0081129A">
        <w:rPr>
          <w:sz w:val="24"/>
        </w:rPr>
        <w:t>a</w:t>
      </w:r>
      <w:r>
        <w:rPr>
          <w:sz w:val="24"/>
        </w:rPr>
        <w:t>gen, Germany) according to the manufacturer's instructions. For RNA</w:t>
      </w:r>
      <w:r>
        <w:rPr>
          <w:color w:val="FF0000"/>
          <w:sz w:val="24"/>
        </w:rPr>
        <w:t xml:space="preserve"> </w:t>
      </w:r>
      <w:r>
        <w:rPr>
          <w:sz w:val="24"/>
        </w:rPr>
        <w:t>reverse transcription,</w:t>
      </w:r>
      <w:r>
        <w:rPr>
          <w:color w:val="FF0000"/>
          <w:sz w:val="24"/>
        </w:rPr>
        <w:t xml:space="preserve"> </w:t>
      </w:r>
      <w:r w:rsidR="00F452FC" w:rsidRPr="00EA0631">
        <w:rPr>
          <w:color w:val="FF0000"/>
          <w:sz w:val="24"/>
        </w:rPr>
        <w:t>miRNA</w:t>
      </w:r>
      <w:r w:rsidRPr="00EA0631">
        <w:rPr>
          <w:color w:val="FF0000"/>
          <w:sz w:val="24"/>
        </w:rPr>
        <w:t xml:space="preserve"> </w:t>
      </w:r>
      <w:r>
        <w:rPr>
          <w:sz w:val="24"/>
        </w:rPr>
        <w:t xml:space="preserve">were reverse transcribed into cDNA using Reverse Transcriptase M-MLV kit(Takara, Dalian, China) according to the manufacturer's instructions, and mRNA were transcribed into cDNA using </w:t>
      </w:r>
      <w:proofErr w:type="spellStart"/>
      <w:r>
        <w:rPr>
          <w:sz w:val="24"/>
        </w:rPr>
        <w:t>PrimeScript</w:t>
      </w:r>
      <w:proofErr w:type="spellEnd"/>
      <w:r>
        <w:rPr>
          <w:sz w:val="24"/>
        </w:rPr>
        <w:t xml:space="preserve"> RT Master Mix reagent kit(Takara, Dalian, China) according to the manufacturer's instructions. For </w:t>
      </w:r>
      <w:r w:rsidR="0076004D" w:rsidRPr="0074478C">
        <w:rPr>
          <w:sz w:val="24"/>
        </w:rPr>
        <w:t>quantitative real-time reverse transcription PCR(</w:t>
      </w:r>
      <w:proofErr w:type="spellStart"/>
      <w:r w:rsidR="0076004D" w:rsidRPr="0074478C">
        <w:rPr>
          <w:sz w:val="24"/>
        </w:rPr>
        <w:t>qRT</w:t>
      </w:r>
      <w:proofErr w:type="spellEnd"/>
      <w:r w:rsidR="0076004D" w:rsidRPr="0074478C">
        <w:rPr>
          <w:sz w:val="24"/>
        </w:rPr>
        <w:t>-PCR)</w:t>
      </w:r>
      <w:r>
        <w:rPr>
          <w:sz w:val="24"/>
        </w:rPr>
        <w:t>, which was using SYBR green assay kit(Takara, Dalian, China) with the Applied Biosystems 7500 were performed as described previously</w:t>
      </w:r>
      <w:r>
        <w:rPr>
          <w:sz w:val="24"/>
        </w:rPr>
        <w:fldChar w:fldCharType="begin"/>
      </w:r>
      <w:r w:rsidR="00DF1A55">
        <w:rPr>
          <w:sz w:val="24"/>
        </w:rPr>
        <w:instrText xml:space="preserve"> ADDIN EN.CITE &lt;EndNote&gt;&lt;Cite&gt;&lt;Author&gt;Zhu&lt;/Author&gt;&lt;Year&gt;2016&lt;/Year&gt;&lt;RecNum&gt;1&lt;/RecNum&gt;&lt;DisplayText&gt;(Zhu et al., 2016)&lt;/DisplayText&gt;&lt;record&gt;&lt;rec-number&gt;1&lt;/rec-number&gt;&lt;foreign-keys&gt;&lt;key app="EN" db-id="psxv5a5zk2t2ekea55555xshxf909ezasz9f" timestamp="1531540103"&gt;1&lt;/key&gt;&lt;/foreign-keys&gt;&lt;ref-type name="Journal Article"&gt;17&lt;/ref-type&gt;&lt;contributors&gt;&lt;authors&gt;&lt;author&gt;Zhu, S. L.&lt;/author&gt;&lt;author&gt;Wang, S.&lt;/author&gt;&lt;author&gt;Lin, Y.&lt;/author&gt;&lt;author&gt;Jiang, P. Y.&lt;/author&gt;&lt;author&gt;Cui, X. B.&lt;/author&gt;&lt;author&gt;Wang, X. Y.&lt;/author&gt;&lt;author&gt;Zhang, Y. B.&lt;/author&gt;&lt;author&gt;Pan, W. Q.&lt;/author&gt;&lt;/authors&gt;&lt;/contributors&gt;&lt;auth-address&gt;Tongji Univ, Inst Infect Dis &amp;amp; Vaccine Dev, Sch Med, Shanghai, Peoples R China&amp;#xD;Second Mil Med Univ, Dept Trop Infect Dis, Shanghai, Peoples R China&lt;/auth-address&gt;&lt;titles&gt;&lt;title&gt;Release of extracellular vesicles containing small RNAs from the eggs of Schistosoma japonicum&lt;/title&gt;&lt;secondary-title&gt;Parasites &amp;amp; Vectors&lt;/secondary-title&gt;&lt;alt-title&gt;Parasite Vector&amp;#xD;Parasite Vector&lt;/alt-title&gt;&lt;/titles&gt;&lt;periodical&gt;&lt;full-title&gt;Parasites &amp;amp; Vectors&lt;/full-title&gt;&lt;abbr-1&gt;Parasite Vector&lt;/abbr-1&gt;&lt;/periodical&gt;&lt;volume&gt;9&lt;/volume&gt;&lt;keywords&gt;&lt;keyword&gt;schistosoma japonicum&lt;/keyword&gt;&lt;keyword&gt;eggs&lt;/keyword&gt;&lt;keyword&gt;extracellular vesicles&lt;/keyword&gt;&lt;keyword&gt;small non-coding rnas&lt;/keyword&gt;&lt;keyword&gt;mirnas&lt;/keyword&gt;&lt;keyword&gt;intercellular communication&lt;/keyword&gt;&lt;keyword&gt;molecular characterization&lt;/keyword&gt;&lt;keyword&gt;exosomes&lt;/keyword&gt;&lt;keyword&gt;micrornas&lt;/keyword&gt;&lt;keyword&gt;cells&lt;/keyword&gt;&lt;keyword&gt;macrophage&lt;/keyword&gt;&lt;keyword&gt;protein&lt;/keyword&gt;&lt;keyword&gt;mirnas&lt;/keyword&gt;&lt;keyword&gt;china&lt;/keyword&gt;&lt;keyword&gt;identification&lt;/keyword&gt;&lt;/keywords&gt;&lt;dates&gt;&lt;year&gt;2016&lt;/year&gt;&lt;pub-dates&gt;&lt;date&gt;Nov 8&lt;/date&gt;&lt;/pub-dates&gt;&lt;/dates&gt;&lt;isbn&gt;1756-3305&lt;/isbn&gt;&lt;accession-num&gt;WOS:000388145300001&lt;/accession-num&gt;&lt;urls&gt;&lt;related-urls&gt;&lt;url&gt;&amp;lt;Go to ISI&amp;gt;://WOS:000388145300001&lt;/url&gt;&lt;/related-urls&gt;&lt;/urls&gt;&lt;language&gt;English&lt;/language&gt;&lt;/record&gt;&lt;/Cite&gt;&lt;/EndNote&gt;</w:instrText>
      </w:r>
      <w:r>
        <w:rPr>
          <w:sz w:val="24"/>
        </w:rPr>
        <w:fldChar w:fldCharType="separate"/>
      </w:r>
      <w:r w:rsidR="00DF1A55">
        <w:rPr>
          <w:noProof/>
          <w:sz w:val="24"/>
        </w:rPr>
        <w:t>(Zhu et al., 2016)</w:t>
      </w:r>
      <w:r>
        <w:rPr>
          <w:sz w:val="24"/>
        </w:rPr>
        <w:fldChar w:fldCharType="end"/>
      </w:r>
      <w:r>
        <w:rPr>
          <w:sz w:val="24"/>
        </w:rPr>
        <w:t>,</w:t>
      </w:r>
      <w:r>
        <w:rPr>
          <w:color w:val="FF0000"/>
          <w:sz w:val="24"/>
        </w:rPr>
        <w:t xml:space="preserve"> </w:t>
      </w:r>
      <w:r>
        <w:rPr>
          <w:sz w:val="24"/>
        </w:rPr>
        <w:t xml:space="preserve">U6 and GAPDH were used as internal control for </w:t>
      </w:r>
      <w:r w:rsidR="00AC56DD" w:rsidRPr="00561E08">
        <w:rPr>
          <w:rFonts w:hint="eastAsia"/>
          <w:color w:val="FF0000"/>
          <w:sz w:val="24"/>
        </w:rPr>
        <w:t>mi</w:t>
      </w:r>
      <w:r w:rsidR="00AC56DD" w:rsidRPr="00561E08">
        <w:rPr>
          <w:color w:val="FF0000"/>
          <w:sz w:val="24"/>
        </w:rPr>
        <w:t>RNA</w:t>
      </w:r>
      <w:r>
        <w:rPr>
          <w:sz w:val="24"/>
        </w:rPr>
        <w:t xml:space="preserve"> and mRNA, respectively. The relative expression level of </w:t>
      </w:r>
      <w:r w:rsidR="00C9343E" w:rsidRPr="00EA0631">
        <w:rPr>
          <w:rFonts w:hint="eastAsia"/>
          <w:color w:val="FF0000"/>
          <w:sz w:val="24"/>
        </w:rPr>
        <w:t>mi</w:t>
      </w:r>
      <w:r w:rsidR="00C9343E" w:rsidRPr="00EA0631">
        <w:rPr>
          <w:color w:val="FF0000"/>
          <w:sz w:val="24"/>
        </w:rPr>
        <w:t>RNA</w:t>
      </w:r>
      <w:r w:rsidRPr="00EA0631">
        <w:rPr>
          <w:color w:val="FF0000"/>
          <w:sz w:val="24"/>
        </w:rPr>
        <w:t xml:space="preserve"> </w:t>
      </w:r>
      <w:r>
        <w:rPr>
          <w:sz w:val="24"/>
        </w:rPr>
        <w:t>and mRNA was calculated by 2</w:t>
      </w:r>
      <w:r>
        <w:rPr>
          <w:sz w:val="24"/>
          <w:vertAlign w:val="superscript"/>
        </w:rPr>
        <w:t xml:space="preserve">-ΔΔCt </w:t>
      </w:r>
      <w:r>
        <w:rPr>
          <w:sz w:val="24"/>
        </w:rPr>
        <w:t>method. All PCR assays were run in triplicate. For ordinary PCR, the amplification procedure was the same as</w:t>
      </w:r>
      <w:r w:rsidR="00B024C2">
        <w:rPr>
          <w:sz w:val="24"/>
        </w:rPr>
        <w:t xml:space="preserve"> </w:t>
      </w:r>
      <w:proofErr w:type="spellStart"/>
      <w:r w:rsidR="00C93307" w:rsidRPr="0074478C">
        <w:rPr>
          <w:sz w:val="24"/>
        </w:rPr>
        <w:t>qRT</w:t>
      </w:r>
      <w:proofErr w:type="spellEnd"/>
      <w:r w:rsidR="00C93307" w:rsidRPr="0074478C">
        <w:rPr>
          <w:sz w:val="24"/>
        </w:rPr>
        <w:t>-PCR</w:t>
      </w:r>
      <w:r>
        <w:rPr>
          <w:sz w:val="24"/>
        </w:rPr>
        <w:t xml:space="preserve"> but only 32 cycles, the amplification products were performed with the 12% polyacrylamide gel electrophoresis</w:t>
      </w:r>
      <w:r w:rsidR="008324C3">
        <w:rPr>
          <w:sz w:val="24"/>
        </w:rPr>
        <w:t>(PAGE)</w:t>
      </w:r>
      <w:r>
        <w:rPr>
          <w:sz w:val="24"/>
        </w:rPr>
        <w:t xml:space="preserve"> at 60 volts for 3 h. The preparation of 12% polyacrylamide gel </w:t>
      </w:r>
      <w:r>
        <w:rPr>
          <w:sz w:val="24"/>
        </w:rPr>
        <w:lastRenderedPageBreak/>
        <w:t>of 7.5 ml of final volume</w:t>
      </w:r>
      <w:r w:rsidR="00817FE7">
        <w:rPr>
          <w:sz w:val="24"/>
        </w:rPr>
        <w:t xml:space="preserve"> </w:t>
      </w:r>
      <w:r>
        <w:rPr>
          <w:sz w:val="24"/>
        </w:rPr>
        <w:t xml:space="preserve">containing 3 ml 30%(w/v) polyacrylamide, 1.5 ml 5×Tris-Boric acid-EDTA(TBE), 105 </w:t>
      </w:r>
      <w:proofErr w:type="spellStart"/>
      <w:r>
        <w:rPr>
          <w:sz w:val="24"/>
        </w:rPr>
        <w:t>μl</w:t>
      </w:r>
      <w:proofErr w:type="spellEnd"/>
      <w:r>
        <w:rPr>
          <w:sz w:val="24"/>
        </w:rPr>
        <w:t xml:space="preserve"> 10%(w/v) Ammonium persulfate(APS), 5 </w:t>
      </w:r>
      <w:proofErr w:type="spellStart"/>
      <w:r>
        <w:rPr>
          <w:sz w:val="24"/>
        </w:rPr>
        <w:t>μl</w:t>
      </w:r>
      <w:proofErr w:type="spellEnd"/>
      <w:r>
        <w:rPr>
          <w:sz w:val="24"/>
        </w:rPr>
        <w:t xml:space="preserve"> N, N, N', N'-</w:t>
      </w:r>
      <w:proofErr w:type="spellStart"/>
      <w:r>
        <w:rPr>
          <w:sz w:val="24"/>
        </w:rPr>
        <w:t>Tetramethylethylenediamine</w:t>
      </w:r>
      <w:proofErr w:type="spellEnd"/>
      <w:r>
        <w:rPr>
          <w:sz w:val="24"/>
        </w:rPr>
        <w:t>(TEMED) and 2.89 ml steril</w:t>
      </w:r>
      <w:r w:rsidR="00BC6BA1">
        <w:rPr>
          <w:sz w:val="24"/>
        </w:rPr>
        <w:t>e</w:t>
      </w:r>
      <w:r>
        <w:rPr>
          <w:sz w:val="24"/>
        </w:rPr>
        <w:t xml:space="preserve"> water. After</w:t>
      </w:r>
      <w:r w:rsidR="00242AC0">
        <w:rPr>
          <w:sz w:val="24"/>
        </w:rPr>
        <w:t xml:space="preserve"> 12% PAGE</w:t>
      </w:r>
      <w:r>
        <w:rPr>
          <w:sz w:val="24"/>
        </w:rPr>
        <w:t xml:space="preserve">, the PCR products bands were stained with the </w:t>
      </w:r>
      <w:proofErr w:type="spellStart"/>
      <w:r>
        <w:rPr>
          <w:sz w:val="24"/>
        </w:rPr>
        <w:t>Goldview</w:t>
      </w:r>
      <w:proofErr w:type="spellEnd"/>
      <w:r>
        <w:rPr>
          <w:sz w:val="24"/>
        </w:rPr>
        <w:t xml:space="preserve"> reagent(SBS </w:t>
      </w:r>
      <w:proofErr w:type="spellStart"/>
      <w:r>
        <w:rPr>
          <w:sz w:val="24"/>
        </w:rPr>
        <w:t>genetech</w:t>
      </w:r>
      <w:proofErr w:type="spellEnd"/>
      <w:r>
        <w:rPr>
          <w:sz w:val="24"/>
        </w:rPr>
        <w:t xml:space="preserve">, </w:t>
      </w:r>
      <w:proofErr w:type="spellStart"/>
      <w:r>
        <w:rPr>
          <w:sz w:val="24"/>
        </w:rPr>
        <w:t>Shanaghai</w:t>
      </w:r>
      <w:proofErr w:type="spellEnd"/>
      <w:r>
        <w:rPr>
          <w:sz w:val="24"/>
        </w:rPr>
        <w:t>, China) according to the manufacturer's instructions. All PCR experiments were done in triplicate. All the primers are listed in Table S1.</w:t>
      </w:r>
    </w:p>
    <w:p w14:paraId="6CDF81F6" w14:textId="77777777" w:rsidR="00CD0F3F" w:rsidRDefault="00CD0F3F" w:rsidP="00796275">
      <w:pPr>
        <w:spacing w:line="360" w:lineRule="auto"/>
        <w:rPr>
          <w:sz w:val="24"/>
        </w:rPr>
      </w:pPr>
    </w:p>
    <w:p w14:paraId="11D36424" w14:textId="159301D4" w:rsidR="00986F0F" w:rsidRPr="00DA3E74" w:rsidRDefault="00986F0F" w:rsidP="00796275">
      <w:pPr>
        <w:spacing w:line="360" w:lineRule="auto"/>
        <w:rPr>
          <w:b/>
          <w:sz w:val="24"/>
        </w:rPr>
      </w:pPr>
      <w:r w:rsidRPr="00DA3E74">
        <w:rPr>
          <w:b/>
          <w:sz w:val="24"/>
        </w:rPr>
        <w:t xml:space="preserve">Western </w:t>
      </w:r>
      <w:r w:rsidR="00353C21">
        <w:rPr>
          <w:b/>
          <w:sz w:val="24"/>
        </w:rPr>
        <w:t>B</w:t>
      </w:r>
      <w:r w:rsidR="00353C21" w:rsidRPr="00DA3E74">
        <w:rPr>
          <w:b/>
          <w:sz w:val="24"/>
        </w:rPr>
        <w:t xml:space="preserve">lot </w:t>
      </w:r>
      <w:r w:rsidR="00353C21">
        <w:rPr>
          <w:b/>
          <w:sz w:val="24"/>
        </w:rPr>
        <w:t>A</w:t>
      </w:r>
      <w:r w:rsidR="00353C21" w:rsidRPr="00DA3E74">
        <w:rPr>
          <w:b/>
          <w:sz w:val="24"/>
        </w:rPr>
        <w:t>nalysis</w:t>
      </w:r>
    </w:p>
    <w:p w14:paraId="75B57E4F" w14:textId="16D59EE8" w:rsidR="00986F0F" w:rsidRDefault="00986F0F" w:rsidP="00796275">
      <w:pPr>
        <w:spacing w:line="360" w:lineRule="auto"/>
        <w:rPr>
          <w:sz w:val="24"/>
        </w:rPr>
      </w:pPr>
      <w:r>
        <w:rPr>
          <w:sz w:val="24"/>
        </w:rPr>
        <w:t>The Western blot analysis was performed as described previously</w:t>
      </w:r>
      <w:r>
        <w:rPr>
          <w:sz w:val="24"/>
        </w:rPr>
        <w:fldChar w:fldCharType="begin">
          <w:fldData xml:space="preserve">PEVuZE5vdGU+PENpdGU+PEF1dGhvcj5IdTwvQXV0aG9yPjxZZWFyPjIwMTQ8L1llYXI+PFJlY051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</w:fldData>
        </w:fldChar>
      </w:r>
      <w:r w:rsidR="00DF1A55">
        <w:rPr>
          <w:sz w:val="24"/>
        </w:rPr>
        <w:instrText xml:space="preserve"> ADDIN EN.CITE </w:instrText>
      </w:r>
      <w:r w:rsidR="00DF1A55">
        <w:rPr>
          <w:sz w:val="24"/>
        </w:rPr>
        <w:fldChar w:fldCharType="begin">
          <w:fldData xml:space="preserve">PEVuZE5vdGU+PENpdGU+PEF1dGhvcj5IdTwvQXV0aG9yPjxZZWFyPjIwMTQ8L1llYXI+PFJlY051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</w:fldData>
        </w:fldChar>
      </w:r>
      <w:r w:rsidR="00DF1A55">
        <w:rPr>
          <w:sz w:val="24"/>
        </w:rPr>
        <w:instrText xml:space="preserve"> ADDIN EN.CITE.DATA </w:instrText>
      </w:r>
      <w:r w:rsidR="00DF1A55">
        <w:rPr>
          <w:sz w:val="24"/>
        </w:rPr>
      </w:r>
      <w:r w:rsidR="00DF1A55">
        <w:rPr>
          <w:sz w:val="24"/>
        </w:rPr>
        <w:fldChar w:fldCharType="end"/>
      </w:r>
      <w:r>
        <w:rPr>
          <w:sz w:val="24"/>
        </w:rPr>
      </w:r>
      <w:r>
        <w:rPr>
          <w:sz w:val="24"/>
        </w:rPr>
        <w:fldChar w:fldCharType="separate"/>
      </w:r>
      <w:r w:rsidR="00DF1A55">
        <w:rPr>
          <w:noProof/>
          <w:sz w:val="24"/>
        </w:rPr>
        <w:t>(Hu et al., 2014)</w:t>
      </w:r>
      <w:r>
        <w:rPr>
          <w:sz w:val="24"/>
        </w:rPr>
        <w:fldChar w:fldCharType="end"/>
      </w:r>
      <w:r>
        <w:rPr>
          <w:sz w:val="24"/>
        </w:rPr>
        <w:t>.</w:t>
      </w:r>
      <w:r>
        <w:rPr>
          <w:color w:val="FF0000"/>
          <w:sz w:val="24"/>
        </w:rPr>
        <w:t xml:space="preserve"> </w:t>
      </w:r>
      <w:r>
        <w:rPr>
          <w:sz w:val="24"/>
        </w:rPr>
        <w:t>Briefly, the cell and tissue sample lysates, extracted by cell lysis buffer(</w:t>
      </w:r>
      <w:proofErr w:type="spellStart"/>
      <w:r>
        <w:rPr>
          <w:sz w:val="24"/>
        </w:rPr>
        <w:t>Beyotime</w:t>
      </w:r>
      <w:proofErr w:type="spellEnd"/>
      <w:r>
        <w:rPr>
          <w:sz w:val="24"/>
        </w:rPr>
        <w:t>, China) and the concentration was measured by Enhanced BCA Protein Assay Kit(</w:t>
      </w:r>
      <w:proofErr w:type="spellStart"/>
      <w:r>
        <w:rPr>
          <w:sz w:val="24"/>
        </w:rPr>
        <w:t>Beyotime</w:t>
      </w:r>
      <w:proofErr w:type="spellEnd"/>
      <w:r>
        <w:rPr>
          <w:sz w:val="24"/>
        </w:rPr>
        <w:t>, China)</w:t>
      </w:r>
      <w:r>
        <w:rPr>
          <w:color w:val="FF0000"/>
          <w:sz w:val="24"/>
        </w:rPr>
        <w:t xml:space="preserve"> </w:t>
      </w:r>
      <w:r>
        <w:rPr>
          <w:sz w:val="24"/>
        </w:rPr>
        <w:t xml:space="preserve">according to the manufacturer's instructions. About 20 </w:t>
      </w:r>
      <w:proofErr w:type="spellStart"/>
      <w:r>
        <w:rPr>
          <w:sz w:val="24"/>
        </w:rPr>
        <w:t>μg</w:t>
      </w:r>
      <w:proofErr w:type="spellEnd"/>
      <w:r>
        <w:rPr>
          <w:sz w:val="24"/>
        </w:rPr>
        <w:t xml:space="preserve"> of protein was separated by 12% SDS-PAGE and transferred to a nitrocellulose membrane, respectively. Then the membrane was blocked with 5 % bovine serum albumin(BSA) in Tris-buffered saline with Tween(TBST) for 2 h at room temperature, followed by incubated overnight with primary antibodies against SKP2(1:500 dilution, </w:t>
      </w:r>
      <w:proofErr w:type="spellStart"/>
      <w:r>
        <w:rPr>
          <w:sz w:val="24"/>
        </w:rPr>
        <w:t>Proteintech</w:t>
      </w:r>
      <w:proofErr w:type="spellEnd"/>
      <w:r>
        <w:rPr>
          <w:sz w:val="24"/>
        </w:rPr>
        <w:t xml:space="preserve">, China), P27(1:500 dilution, </w:t>
      </w:r>
      <w:proofErr w:type="spellStart"/>
      <w:r>
        <w:rPr>
          <w:sz w:val="24"/>
        </w:rPr>
        <w:t>Proteintech</w:t>
      </w:r>
      <w:proofErr w:type="spellEnd"/>
      <w:r>
        <w:rPr>
          <w:sz w:val="24"/>
        </w:rPr>
        <w:t xml:space="preserve">, China), MMP9(1:500 dilution, </w:t>
      </w:r>
      <w:proofErr w:type="spellStart"/>
      <w:r>
        <w:rPr>
          <w:sz w:val="24"/>
        </w:rPr>
        <w:t>Proteintech</w:t>
      </w:r>
      <w:proofErr w:type="spellEnd"/>
      <w:r>
        <w:rPr>
          <w:sz w:val="24"/>
        </w:rPr>
        <w:t xml:space="preserve">, China), GAPDH(1:1000 dilution, </w:t>
      </w:r>
      <w:proofErr w:type="spellStart"/>
      <w:r>
        <w:rPr>
          <w:sz w:val="24"/>
        </w:rPr>
        <w:t>Beyotime</w:t>
      </w:r>
      <w:proofErr w:type="spellEnd"/>
      <w:r>
        <w:rPr>
          <w:sz w:val="24"/>
        </w:rPr>
        <w:t>, China). After incubating with the first antibody, the membrane was washed three times with TBST, and then incubated with the relev</w:t>
      </w:r>
      <w:r w:rsidR="00900F1C">
        <w:rPr>
          <w:sz w:val="24"/>
        </w:rPr>
        <w:t>a</w:t>
      </w:r>
      <w:r>
        <w:rPr>
          <w:sz w:val="24"/>
        </w:rPr>
        <w:t xml:space="preserve">nt secondary antibodies(1:6000 dilution, Promega, USA) for 1 h at room temperature and followed by three times washes, then visualized by using the ECL reagent(GE Healthcare, UK), the protein bands were subsequently measured using the </w:t>
      </w:r>
      <w:proofErr w:type="spellStart"/>
      <w:r>
        <w:rPr>
          <w:sz w:val="24"/>
        </w:rPr>
        <w:t>ImageQuant</w:t>
      </w:r>
      <w:proofErr w:type="spellEnd"/>
      <w:r>
        <w:rPr>
          <w:sz w:val="24"/>
        </w:rPr>
        <w:t xml:space="preserve"> LAS 4000mini(GE Healthcare, USA) and grayscale analysis using the ImageJ 1.42q(ImageJ software, Way </w:t>
      </w:r>
      <w:proofErr w:type="spellStart"/>
      <w:r>
        <w:rPr>
          <w:sz w:val="24"/>
        </w:rPr>
        <w:t>Rasband</w:t>
      </w:r>
      <w:proofErr w:type="spellEnd"/>
      <w:r>
        <w:rPr>
          <w:sz w:val="24"/>
        </w:rPr>
        <w:t>, National Institutes of Health, USA).</w:t>
      </w:r>
    </w:p>
    <w:p w14:paraId="13A6F39A" w14:textId="77777777" w:rsidR="0085195A" w:rsidRDefault="0085195A" w:rsidP="00796275">
      <w:pPr>
        <w:spacing w:line="360" w:lineRule="auto"/>
        <w:rPr>
          <w:b/>
          <w:sz w:val="24"/>
        </w:rPr>
      </w:pPr>
    </w:p>
    <w:p w14:paraId="06DC1864" w14:textId="7E7890EB" w:rsidR="0085195A" w:rsidRPr="00DA3E74" w:rsidRDefault="0085195A" w:rsidP="00796275">
      <w:pPr>
        <w:spacing w:line="360" w:lineRule="auto"/>
        <w:rPr>
          <w:b/>
          <w:sz w:val="24"/>
        </w:rPr>
      </w:pPr>
      <w:bookmarkStart w:id="1" w:name="_Hlk531531911"/>
      <w:r w:rsidRPr="00DA3E74">
        <w:rPr>
          <w:b/>
          <w:sz w:val="24"/>
        </w:rPr>
        <w:t xml:space="preserve">Luciferase </w:t>
      </w:r>
      <w:r w:rsidR="00353C21">
        <w:rPr>
          <w:b/>
          <w:sz w:val="24"/>
        </w:rPr>
        <w:t>R</w:t>
      </w:r>
      <w:r w:rsidR="00353C21" w:rsidRPr="00DA3E74">
        <w:rPr>
          <w:b/>
          <w:sz w:val="24"/>
        </w:rPr>
        <w:t xml:space="preserve">eporter </w:t>
      </w:r>
      <w:r w:rsidR="00353C21">
        <w:rPr>
          <w:b/>
          <w:sz w:val="24"/>
        </w:rPr>
        <w:t>A</w:t>
      </w:r>
      <w:r w:rsidR="00353C21" w:rsidRPr="00DA3E74">
        <w:rPr>
          <w:b/>
          <w:sz w:val="24"/>
        </w:rPr>
        <w:t>ssay</w:t>
      </w:r>
    </w:p>
    <w:bookmarkEnd w:id="1"/>
    <w:p w14:paraId="6C91EE17" w14:textId="63AF87AB" w:rsidR="00E01D00" w:rsidRDefault="0085195A" w:rsidP="00796275">
      <w:pPr>
        <w:spacing w:line="360" w:lineRule="auto"/>
        <w:rPr>
          <w:sz w:val="24"/>
        </w:rPr>
      </w:pPr>
      <w:r>
        <w:rPr>
          <w:sz w:val="24"/>
        </w:rPr>
        <w:t xml:space="preserve">The 3' untranslated region(UTR) wild-type(WT) and mutant(MT) of </w:t>
      </w:r>
      <w:r w:rsidRPr="00EA0631">
        <w:rPr>
          <w:i/>
          <w:sz w:val="24"/>
        </w:rPr>
        <w:t xml:space="preserve">SKP2 </w:t>
      </w:r>
      <w:r>
        <w:rPr>
          <w:sz w:val="24"/>
        </w:rPr>
        <w:t xml:space="preserve">were amplificated from mouse genome or human genome, and then cloned into the </w:t>
      </w:r>
      <w:proofErr w:type="spellStart"/>
      <w:r>
        <w:rPr>
          <w:sz w:val="24"/>
        </w:rPr>
        <w:t>SacⅠ</w:t>
      </w:r>
      <w:proofErr w:type="spellEnd"/>
      <w:r>
        <w:rPr>
          <w:sz w:val="24"/>
        </w:rPr>
        <w:t>/</w:t>
      </w:r>
      <w:proofErr w:type="spellStart"/>
      <w:r>
        <w:rPr>
          <w:sz w:val="24"/>
        </w:rPr>
        <w:t>XbaⅠ</w:t>
      </w:r>
      <w:proofErr w:type="spellEnd"/>
      <w:r w:rsidR="002F10E7">
        <w:rPr>
          <w:sz w:val="24"/>
        </w:rPr>
        <w:t xml:space="preserve"> </w:t>
      </w:r>
      <w:r>
        <w:rPr>
          <w:sz w:val="24"/>
        </w:rPr>
        <w:t xml:space="preserve">site of </w:t>
      </w:r>
      <w:proofErr w:type="spellStart"/>
      <w:r>
        <w:rPr>
          <w:sz w:val="24"/>
        </w:rPr>
        <w:t>pmirGLO</w:t>
      </w:r>
      <w:proofErr w:type="spellEnd"/>
      <w:r>
        <w:rPr>
          <w:sz w:val="24"/>
        </w:rPr>
        <w:t xml:space="preserve"> Dual-Luciferase miRNA Target Expression Vector(Promega, USA), including pmirGLO-</w:t>
      </w:r>
      <w:r w:rsidRPr="008B3C5B">
        <w:rPr>
          <w:i/>
          <w:sz w:val="24"/>
        </w:rPr>
        <w:t>SKP2</w:t>
      </w:r>
      <w:r>
        <w:rPr>
          <w:sz w:val="24"/>
        </w:rPr>
        <w:t xml:space="preserve">-WT(containing a wild type binding site in the 3' UTR of </w:t>
      </w:r>
      <w:r w:rsidRPr="00A424AF">
        <w:rPr>
          <w:i/>
          <w:sz w:val="24"/>
        </w:rPr>
        <w:lastRenderedPageBreak/>
        <w:t>SKP2</w:t>
      </w:r>
      <w:r>
        <w:rPr>
          <w:sz w:val="24"/>
        </w:rPr>
        <w:t>) and pmirGLO-</w:t>
      </w:r>
      <w:r w:rsidRPr="008B3C5B">
        <w:rPr>
          <w:i/>
          <w:sz w:val="24"/>
        </w:rPr>
        <w:t>SKP2</w:t>
      </w:r>
      <w:r>
        <w:rPr>
          <w:sz w:val="24"/>
        </w:rPr>
        <w:t xml:space="preserve">-MT(containing a mutant type binding site), and these luciferase reporters were simultaneously transfected with sja-miR-7-5p mimics or NC mimics in Hepa1-6 or HepG2 cells, respectively. Dual-luciferase reporter assay system(Promega, USA) was used to measure the activity of the reporter gene according to the manufacturer's instructions, and the firefly luciferase activity was normalized to </w:t>
      </w:r>
      <w:proofErr w:type="spellStart"/>
      <w:r>
        <w:rPr>
          <w:sz w:val="24"/>
        </w:rPr>
        <w:t>renilla</w:t>
      </w:r>
      <w:proofErr w:type="spellEnd"/>
      <w:r>
        <w:rPr>
          <w:sz w:val="24"/>
        </w:rPr>
        <w:t xml:space="preserve"> luciferase activity.</w:t>
      </w:r>
    </w:p>
    <w:p w14:paraId="38E0AE08" w14:textId="5B3EC0DC" w:rsidR="00DF1A55" w:rsidRDefault="00DF1A55" w:rsidP="00796275">
      <w:pPr>
        <w:spacing w:line="360" w:lineRule="auto"/>
        <w:rPr>
          <w:sz w:val="24"/>
        </w:rPr>
      </w:pPr>
    </w:p>
    <w:p w14:paraId="0D7DFE51" w14:textId="48F230C5" w:rsidR="006F28E4" w:rsidRPr="00DF1A55" w:rsidRDefault="006F28E4" w:rsidP="006F28E4">
      <w:pPr>
        <w:spacing w:line="360" w:lineRule="auto"/>
        <w:rPr>
          <w:b/>
          <w:sz w:val="32"/>
          <w:szCs w:val="32"/>
        </w:rPr>
      </w:pPr>
      <w:r w:rsidRPr="00DF1A55">
        <w:rPr>
          <w:b/>
          <w:sz w:val="32"/>
          <w:szCs w:val="32"/>
        </w:rPr>
        <w:t>SUPPLEMENTARY</w:t>
      </w:r>
      <w:r>
        <w:rPr>
          <w:b/>
          <w:sz w:val="32"/>
          <w:szCs w:val="32"/>
        </w:rPr>
        <w:t xml:space="preserve"> TABLES AND</w:t>
      </w:r>
      <w:r w:rsidRPr="00DF1A55">
        <w:rPr>
          <w:b/>
          <w:sz w:val="32"/>
          <w:szCs w:val="32"/>
        </w:rPr>
        <w:t xml:space="preserve"> FIGURES</w:t>
      </w:r>
    </w:p>
    <w:tbl>
      <w:tblPr>
        <w:tblW w:w="8486" w:type="dxa"/>
        <w:jc w:val="center"/>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4A0" w:firstRow="1" w:lastRow="0" w:firstColumn="1" w:lastColumn="0" w:noHBand="0" w:noVBand="1"/>
      </w:tblPr>
      <w:tblGrid>
        <w:gridCol w:w="1508"/>
        <w:gridCol w:w="2977"/>
        <w:gridCol w:w="4001"/>
      </w:tblGrid>
      <w:tr w:rsidR="00D5140D" w14:paraId="25194941" w14:textId="77777777" w:rsidTr="00C92388">
        <w:trPr>
          <w:trHeight w:val="660"/>
          <w:jc w:val="center"/>
        </w:trPr>
        <w:tc>
          <w:tcPr>
            <w:tcW w:w="8486" w:type="dxa"/>
            <w:gridSpan w:val="3"/>
            <w:tcBorders>
              <w:top w:val="nil"/>
              <w:left w:val="nil"/>
              <w:bottom w:val="single" w:sz="12" w:space="0" w:color="008000"/>
              <w:right w:val="nil"/>
            </w:tcBorders>
            <w:vAlign w:val="center"/>
            <w:hideMark/>
          </w:tcPr>
          <w:p w14:paraId="5DEB4094" w14:textId="22A0B905" w:rsidR="00D5140D" w:rsidRPr="00DA3E74" w:rsidRDefault="00D5140D" w:rsidP="00D5140D">
            <w:pPr>
              <w:widowControl/>
              <w:jc w:val="left"/>
              <w:rPr>
                <w:bCs/>
                <w:kern w:val="0"/>
                <w:sz w:val="24"/>
              </w:rPr>
            </w:pPr>
            <w:r w:rsidRPr="00DA3E74">
              <w:rPr>
                <w:b/>
                <w:bCs/>
                <w:kern w:val="0"/>
                <w:sz w:val="24"/>
              </w:rPr>
              <w:t>Table S1</w:t>
            </w:r>
            <w:r w:rsidRPr="00DA3E74">
              <w:rPr>
                <w:bCs/>
                <w:kern w:val="0"/>
                <w:sz w:val="24"/>
              </w:rPr>
              <w:t xml:space="preserve">. Sequences of primers used for </w:t>
            </w:r>
            <w:proofErr w:type="spellStart"/>
            <w:r w:rsidR="00EE46FD" w:rsidRPr="00EA0631">
              <w:rPr>
                <w:bCs/>
                <w:color w:val="FF0000"/>
                <w:kern w:val="0"/>
                <w:sz w:val="24"/>
              </w:rPr>
              <w:t>q</w:t>
            </w:r>
            <w:r w:rsidRPr="00DA3E74">
              <w:rPr>
                <w:bCs/>
                <w:kern w:val="0"/>
                <w:sz w:val="24"/>
              </w:rPr>
              <w:t>RT</w:t>
            </w:r>
            <w:proofErr w:type="spellEnd"/>
            <w:r w:rsidRPr="00DA3E74">
              <w:rPr>
                <w:bCs/>
                <w:kern w:val="0"/>
                <w:sz w:val="24"/>
              </w:rPr>
              <w:t>-PCR or ordinary PCR</w:t>
            </w:r>
            <w:r w:rsidR="00DA3E74" w:rsidRPr="00DA3E74">
              <w:rPr>
                <w:bCs/>
                <w:kern w:val="0"/>
                <w:sz w:val="24"/>
              </w:rPr>
              <w:t>.</w:t>
            </w:r>
          </w:p>
        </w:tc>
      </w:tr>
      <w:tr w:rsidR="00D5140D" w14:paraId="7079A35B" w14:textId="77777777" w:rsidTr="00C92388">
        <w:trPr>
          <w:trHeight w:val="348"/>
          <w:jc w:val="center"/>
        </w:trPr>
        <w:tc>
          <w:tcPr>
            <w:tcW w:w="1508" w:type="dxa"/>
            <w:tcBorders>
              <w:top w:val="single" w:sz="12" w:space="0" w:color="008000"/>
              <w:left w:val="nil"/>
              <w:bottom w:val="single" w:sz="12" w:space="0" w:color="008000"/>
              <w:right w:val="nil"/>
            </w:tcBorders>
            <w:vAlign w:val="bottom"/>
            <w:hideMark/>
          </w:tcPr>
          <w:p w14:paraId="561C1422" w14:textId="77777777" w:rsidR="00D5140D" w:rsidRDefault="00D5140D" w:rsidP="00C92388">
            <w:pPr>
              <w:widowControl/>
              <w:jc w:val="left"/>
              <w:rPr>
                <w:b/>
                <w:bCs/>
                <w:color w:val="000000"/>
                <w:kern w:val="0"/>
                <w:szCs w:val="21"/>
              </w:rPr>
            </w:pPr>
            <w:r>
              <w:rPr>
                <w:b/>
                <w:bCs/>
                <w:color w:val="000000"/>
                <w:kern w:val="0"/>
                <w:szCs w:val="21"/>
              </w:rPr>
              <w:t>Gene</w:t>
            </w:r>
          </w:p>
        </w:tc>
        <w:tc>
          <w:tcPr>
            <w:tcW w:w="2977" w:type="dxa"/>
            <w:tcBorders>
              <w:top w:val="single" w:sz="12" w:space="0" w:color="008000"/>
              <w:left w:val="nil"/>
              <w:bottom w:val="single" w:sz="12" w:space="0" w:color="008000"/>
              <w:right w:val="nil"/>
            </w:tcBorders>
            <w:vAlign w:val="bottom"/>
            <w:hideMark/>
          </w:tcPr>
          <w:p w14:paraId="0E3D4E2C" w14:textId="77777777" w:rsidR="00D5140D" w:rsidRDefault="00D5140D" w:rsidP="00C92388">
            <w:pPr>
              <w:widowControl/>
              <w:jc w:val="left"/>
              <w:rPr>
                <w:b/>
                <w:bCs/>
                <w:color w:val="000000"/>
                <w:kern w:val="0"/>
                <w:szCs w:val="21"/>
              </w:rPr>
            </w:pPr>
            <w:r>
              <w:rPr>
                <w:b/>
                <w:bCs/>
                <w:color w:val="000000"/>
                <w:kern w:val="0"/>
                <w:szCs w:val="21"/>
              </w:rPr>
              <w:t>Name</w:t>
            </w:r>
          </w:p>
        </w:tc>
        <w:tc>
          <w:tcPr>
            <w:tcW w:w="4001" w:type="dxa"/>
            <w:tcBorders>
              <w:top w:val="single" w:sz="12" w:space="0" w:color="008000"/>
              <w:left w:val="nil"/>
              <w:bottom w:val="single" w:sz="12" w:space="0" w:color="008000"/>
              <w:right w:val="nil"/>
            </w:tcBorders>
            <w:vAlign w:val="bottom"/>
            <w:hideMark/>
          </w:tcPr>
          <w:p w14:paraId="60EC9E16" w14:textId="77777777" w:rsidR="00D5140D" w:rsidRDefault="00D5140D" w:rsidP="00C92388">
            <w:pPr>
              <w:widowControl/>
              <w:jc w:val="left"/>
              <w:rPr>
                <w:b/>
                <w:bCs/>
                <w:color w:val="000000"/>
                <w:kern w:val="0"/>
                <w:szCs w:val="21"/>
              </w:rPr>
            </w:pPr>
            <w:r>
              <w:rPr>
                <w:b/>
                <w:bCs/>
                <w:color w:val="000000"/>
                <w:kern w:val="0"/>
                <w:szCs w:val="21"/>
              </w:rPr>
              <w:t>Sequence(5'-3')</w:t>
            </w:r>
          </w:p>
        </w:tc>
      </w:tr>
      <w:tr w:rsidR="00D5140D" w14:paraId="2DC6E5D2" w14:textId="77777777" w:rsidTr="00C92388">
        <w:trPr>
          <w:trHeight w:val="336"/>
          <w:jc w:val="center"/>
        </w:trPr>
        <w:tc>
          <w:tcPr>
            <w:tcW w:w="1508" w:type="dxa"/>
            <w:tcBorders>
              <w:top w:val="single" w:sz="12" w:space="0" w:color="008000"/>
              <w:left w:val="nil"/>
              <w:bottom w:val="nil"/>
              <w:right w:val="nil"/>
            </w:tcBorders>
            <w:vAlign w:val="bottom"/>
          </w:tcPr>
          <w:p w14:paraId="057CD372" w14:textId="77777777" w:rsidR="00D5140D" w:rsidRDefault="00D5140D" w:rsidP="00C92388">
            <w:pPr>
              <w:widowControl/>
              <w:jc w:val="left"/>
              <w:rPr>
                <w:kern w:val="0"/>
                <w:szCs w:val="21"/>
              </w:rPr>
            </w:pPr>
            <w:r>
              <w:rPr>
                <w:kern w:val="0"/>
                <w:szCs w:val="21"/>
              </w:rPr>
              <w:t>sja-miR-7-5p</w:t>
            </w:r>
          </w:p>
          <w:p w14:paraId="20C879C8" w14:textId="77777777" w:rsidR="00D5140D" w:rsidRDefault="00D5140D" w:rsidP="00C92388">
            <w:pPr>
              <w:widowControl/>
              <w:jc w:val="left"/>
              <w:rPr>
                <w:kern w:val="0"/>
                <w:szCs w:val="21"/>
              </w:rPr>
            </w:pPr>
          </w:p>
        </w:tc>
        <w:tc>
          <w:tcPr>
            <w:tcW w:w="2977" w:type="dxa"/>
            <w:tcBorders>
              <w:top w:val="single" w:sz="12" w:space="0" w:color="008000"/>
              <w:left w:val="nil"/>
              <w:bottom w:val="nil"/>
              <w:right w:val="nil"/>
            </w:tcBorders>
            <w:vAlign w:val="bottom"/>
            <w:hideMark/>
          </w:tcPr>
          <w:p w14:paraId="45F4BE6E" w14:textId="77777777" w:rsidR="00D5140D" w:rsidRDefault="00D5140D" w:rsidP="00C92388">
            <w:pPr>
              <w:widowControl/>
              <w:jc w:val="left"/>
              <w:rPr>
                <w:kern w:val="0"/>
                <w:szCs w:val="21"/>
              </w:rPr>
            </w:pPr>
            <w:r>
              <w:rPr>
                <w:kern w:val="0"/>
                <w:szCs w:val="21"/>
              </w:rPr>
              <w:t>Reverse transcription stem-loop- primer RT</w:t>
            </w:r>
          </w:p>
        </w:tc>
        <w:tc>
          <w:tcPr>
            <w:tcW w:w="4001" w:type="dxa"/>
            <w:tcBorders>
              <w:top w:val="single" w:sz="12" w:space="0" w:color="008000"/>
              <w:left w:val="nil"/>
              <w:bottom w:val="nil"/>
              <w:right w:val="nil"/>
            </w:tcBorders>
            <w:vAlign w:val="bottom"/>
            <w:hideMark/>
          </w:tcPr>
          <w:p w14:paraId="593A5475" w14:textId="77777777" w:rsidR="00D5140D" w:rsidRDefault="00D5140D" w:rsidP="00C92388">
            <w:pPr>
              <w:widowControl/>
              <w:rPr>
                <w:kern w:val="0"/>
                <w:szCs w:val="21"/>
                <w:highlight w:val="yellow"/>
              </w:rPr>
            </w:pPr>
            <w:r>
              <w:rPr>
                <w:kern w:val="0"/>
                <w:szCs w:val="21"/>
              </w:rPr>
              <w:t>CTCAACTGGTGTCGTGGAGTCGGCAATTCAGTTGAGAACAACAT</w:t>
            </w:r>
          </w:p>
        </w:tc>
      </w:tr>
      <w:tr w:rsidR="00D5140D" w14:paraId="0EFDE0F6" w14:textId="77777777" w:rsidTr="00C92388">
        <w:trPr>
          <w:trHeight w:val="324"/>
          <w:jc w:val="center"/>
        </w:trPr>
        <w:tc>
          <w:tcPr>
            <w:tcW w:w="1508" w:type="dxa"/>
            <w:tcBorders>
              <w:top w:val="nil"/>
              <w:left w:val="nil"/>
              <w:bottom w:val="nil"/>
              <w:right w:val="nil"/>
            </w:tcBorders>
            <w:vAlign w:val="bottom"/>
          </w:tcPr>
          <w:p w14:paraId="426B708C" w14:textId="77777777" w:rsidR="00D5140D" w:rsidRDefault="00D5140D" w:rsidP="00C92388">
            <w:pPr>
              <w:widowControl/>
              <w:rPr>
                <w:color w:val="000000"/>
                <w:kern w:val="0"/>
                <w:szCs w:val="21"/>
              </w:rPr>
            </w:pPr>
          </w:p>
        </w:tc>
        <w:tc>
          <w:tcPr>
            <w:tcW w:w="2977" w:type="dxa"/>
            <w:tcBorders>
              <w:top w:val="nil"/>
              <w:left w:val="nil"/>
              <w:bottom w:val="nil"/>
              <w:right w:val="nil"/>
            </w:tcBorders>
            <w:vAlign w:val="bottom"/>
            <w:hideMark/>
          </w:tcPr>
          <w:p w14:paraId="2EC97ABC" w14:textId="77777777" w:rsidR="00D5140D" w:rsidRDefault="00D5140D" w:rsidP="00C92388">
            <w:pPr>
              <w:widowControl/>
              <w:jc w:val="left"/>
              <w:rPr>
                <w:color w:val="000000"/>
                <w:szCs w:val="21"/>
              </w:rPr>
            </w:pPr>
            <w:r>
              <w:rPr>
                <w:kern w:val="0"/>
                <w:szCs w:val="21"/>
              </w:rPr>
              <w:t>Forward primer FP</w:t>
            </w:r>
          </w:p>
        </w:tc>
        <w:tc>
          <w:tcPr>
            <w:tcW w:w="4001" w:type="dxa"/>
            <w:tcBorders>
              <w:top w:val="nil"/>
              <w:left w:val="nil"/>
              <w:bottom w:val="nil"/>
              <w:right w:val="nil"/>
            </w:tcBorders>
            <w:vAlign w:val="bottom"/>
            <w:hideMark/>
          </w:tcPr>
          <w:p w14:paraId="027649E7" w14:textId="77777777" w:rsidR="00D5140D" w:rsidRDefault="00D5140D" w:rsidP="00C92388">
            <w:pPr>
              <w:widowControl/>
              <w:jc w:val="left"/>
              <w:rPr>
                <w:kern w:val="0"/>
                <w:szCs w:val="21"/>
              </w:rPr>
            </w:pPr>
            <w:r>
              <w:rPr>
                <w:kern w:val="0"/>
                <w:szCs w:val="21"/>
              </w:rPr>
              <w:t>ACACTCCAGCTGGGTGGAAGACTG</w:t>
            </w:r>
          </w:p>
        </w:tc>
      </w:tr>
      <w:tr w:rsidR="00D5140D" w14:paraId="5AFA959E" w14:textId="77777777" w:rsidTr="00C92388">
        <w:trPr>
          <w:trHeight w:val="324"/>
          <w:jc w:val="center"/>
        </w:trPr>
        <w:tc>
          <w:tcPr>
            <w:tcW w:w="1508" w:type="dxa"/>
            <w:tcBorders>
              <w:top w:val="nil"/>
              <w:left w:val="nil"/>
              <w:bottom w:val="nil"/>
              <w:right w:val="nil"/>
            </w:tcBorders>
            <w:vAlign w:val="bottom"/>
          </w:tcPr>
          <w:p w14:paraId="3CAC0022" w14:textId="77777777" w:rsidR="00D5140D" w:rsidRDefault="00D5140D" w:rsidP="00C92388">
            <w:pPr>
              <w:widowControl/>
              <w:rPr>
                <w:color w:val="000000"/>
                <w:kern w:val="0"/>
                <w:szCs w:val="21"/>
              </w:rPr>
            </w:pPr>
          </w:p>
        </w:tc>
        <w:tc>
          <w:tcPr>
            <w:tcW w:w="2977" w:type="dxa"/>
            <w:tcBorders>
              <w:top w:val="nil"/>
              <w:left w:val="nil"/>
              <w:bottom w:val="nil"/>
              <w:right w:val="nil"/>
            </w:tcBorders>
            <w:vAlign w:val="center"/>
            <w:hideMark/>
          </w:tcPr>
          <w:p w14:paraId="2D8DDCC3" w14:textId="77777777" w:rsidR="00D5140D" w:rsidRDefault="00D5140D" w:rsidP="00C92388">
            <w:pPr>
              <w:widowControl/>
              <w:jc w:val="left"/>
              <w:rPr>
                <w:kern w:val="0"/>
                <w:szCs w:val="21"/>
              </w:rPr>
            </w:pPr>
            <w:r>
              <w:rPr>
                <w:kern w:val="0"/>
                <w:szCs w:val="21"/>
              </w:rPr>
              <w:t>Common reverse primer</w:t>
            </w:r>
          </w:p>
        </w:tc>
        <w:tc>
          <w:tcPr>
            <w:tcW w:w="4001" w:type="dxa"/>
            <w:tcBorders>
              <w:top w:val="nil"/>
              <w:left w:val="nil"/>
              <w:bottom w:val="nil"/>
              <w:right w:val="nil"/>
            </w:tcBorders>
            <w:vAlign w:val="center"/>
            <w:hideMark/>
          </w:tcPr>
          <w:p w14:paraId="365AF876" w14:textId="77777777" w:rsidR="00D5140D" w:rsidRDefault="00D5140D" w:rsidP="00C92388">
            <w:pPr>
              <w:widowControl/>
              <w:rPr>
                <w:kern w:val="0"/>
                <w:szCs w:val="21"/>
              </w:rPr>
            </w:pPr>
            <w:r>
              <w:rPr>
                <w:kern w:val="0"/>
                <w:szCs w:val="21"/>
              </w:rPr>
              <w:t>CTGGTGTCGTGGAGTCGGCAA</w:t>
            </w:r>
          </w:p>
        </w:tc>
      </w:tr>
      <w:tr w:rsidR="00D5140D" w14:paraId="51BDD2DB" w14:textId="77777777" w:rsidTr="00C92388">
        <w:trPr>
          <w:trHeight w:val="324"/>
          <w:jc w:val="center"/>
        </w:trPr>
        <w:tc>
          <w:tcPr>
            <w:tcW w:w="1508" w:type="dxa"/>
            <w:tcBorders>
              <w:top w:val="nil"/>
              <w:left w:val="nil"/>
              <w:bottom w:val="nil"/>
              <w:right w:val="nil"/>
            </w:tcBorders>
            <w:vAlign w:val="bottom"/>
            <w:hideMark/>
          </w:tcPr>
          <w:p w14:paraId="5A4AA491" w14:textId="77777777" w:rsidR="00D5140D" w:rsidRDefault="00D5140D" w:rsidP="00C92388">
            <w:pPr>
              <w:widowControl/>
              <w:rPr>
                <w:color w:val="000000"/>
                <w:kern w:val="0"/>
                <w:szCs w:val="21"/>
              </w:rPr>
            </w:pPr>
            <w:r>
              <w:rPr>
                <w:color w:val="000000"/>
                <w:kern w:val="0"/>
                <w:szCs w:val="21"/>
              </w:rPr>
              <w:t>mmu-miR-7a-5p &amp;</w:t>
            </w:r>
            <w:r>
              <w:rPr>
                <w:kern w:val="0"/>
                <w:szCs w:val="21"/>
              </w:rPr>
              <w:t xml:space="preserve"> hsa-miR-7-5p</w:t>
            </w:r>
          </w:p>
        </w:tc>
        <w:tc>
          <w:tcPr>
            <w:tcW w:w="2977" w:type="dxa"/>
            <w:tcBorders>
              <w:top w:val="nil"/>
              <w:left w:val="nil"/>
              <w:bottom w:val="nil"/>
              <w:right w:val="nil"/>
            </w:tcBorders>
            <w:vAlign w:val="center"/>
            <w:hideMark/>
          </w:tcPr>
          <w:p w14:paraId="7C98242A" w14:textId="77777777" w:rsidR="00D5140D" w:rsidRDefault="00D5140D" w:rsidP="00C92388">
            <w:pPr>
              <w:widowControl/>
              <w:jc w:val="left"/>
              <w:rPr>
                <w:kern w:val="0"/>
                <w:szCs w:val="21"/>
              </w:rPr>
            </w:pPr>
            <w:r>
              <w:rPr>
                <w:kern w:val="0"/>
                <w:szCs w:val="21"/>
              </w:rPr>
              <w:t>Reverse transcription stem-loop- primer RT</w:t>
            </w:r>
          </w:p>
        </w:tc>
        <w:tc>
          <w:tcPr>
            <w:tcW w:w="4001" w:type="dxa"/>
            <w:tcBorders>
              <w:top w:val="nil"/>
              <w:left w:val="nil"/>
              <w:bottom w:val="nil"/>
              <w:right w:val="nil"/>
            </w:tcBorders>
            <w:vAlign w:val="center"/>
            <w:hideMark/>
          </w:tcPr>
          <w:p w14:paraId="73B0691F" w14:textId="77777777" w:rsidR="00D5140D" w:rsidRDefault="00D5140D" w:rsidP="00C92388">
            <w:pPr>
              <w:widowControl/>
              <w:rPr>
                <w:kern w:val="0"/>
                <w:szCs w:val="21"/>
              </w:rPr>
            </w:pPr>
            <w:r>
              <w:rPr>
                <w:kern w:val="0"/>
                <w:szCs w:val="21"/>
              </w:rPr>
              <w:t>CTCAACTGGTGTCGTGGAGTCGGCAATTCAGTTGAGACAACAAA</w:t>
            </w:r>
          </w:p>
        </w:tc>
      </w:tr>
      <w:tr w:rsidR="00D5140D" w14:paraId="54CCC41F" w14:textId="77777777" w:rsidTr="00C92388">
        <w:trPr>
          <w:trHeight w:val="324"/>
          <w:jc w:val="center"/>
        </w:trPr>
        <w:tc>
          <w:tcPr>
            <w:tcW w:w="1508" w:type="dxa"/>
            <w:tcBorders>
              <w:top w:val="nil"/>
              <w:left w:val="nil"/>
              <w:bottom w:val="nil"/>
              <w:right w:val="nil"/>
            </w:tcBorders>
            <w:vAlign w:val="bottom"/>
            <w:hideMark/>
          </w:tcPr>
          <w:p w14:paraId="7A4EFA7D" w14:textId="77777777" w:rsidR="00D5140D" w:rsidRDefault="00D5140D" w:rsidP="00C92388">
            <w:pPr>
              <w:widowControl/>
              <w:jc w:val="left"/>
              <w:rPr>
                <w:kern w:val="0"/>
                <w:szCs w:val="21"/>
              </w:rPr>
            </w:pPr>
          </w:p>
        </w:tc>
        <w:tc>
          <w:tcPr>
            <w:tcW w:w="2977" w:type="dxa"/>
            <w:tcBorders>
              <w:top w:val="nil"/>
              <w:left w:val="nil"/>
              <w:bottom w:val="nil"/>
              <w:right w:val="nil"/>
            </w:tcBorders>
            <w:vAlign w:val="bottom"/>
            <w:hideMark/>
          </w:tcPr>
          <w:p w14:paraId="42EC92EF" w14:textId="77777777" w:rsidR="00D5140D" w:rsidRDefault="00D5140D" w:rsidP="00C92388">
            <w:pPr>
              <w:widowControl/>
              <w:jc w:val="left"/>
              <w:rPr>
                <w:kern w:val="0"/>
                <w:szCs w:val="21"/>
              </w:rPr>
            </w:pPr>
            <w:r>
              <w:rPr>
                <w:kern w:val="0"/>
                <w:szCs w:val="21"/>
              </w:rPr>
              <w:t>Forward primer FP</w:t>
            </w:r>
          </w:p>
        </w:tc>
        <w:tc>
          <w:tcPr>
            <w:tcW w:w="4001" w:type="dxa"/>
            <w:tcBorders>
              <w:top w:val="nil"/>
              <w:left w:val="nil"/>
              <w:bottom w:val="nil"/>
              <w:right w:val="nil"/>
            </w:tcBorders>
            <w:vAlign w:val="center"/>
            <w:hideMark/>
          </w:tcPr>
          <w:p w14:paraId="08CDA8AE" w14:textId="77777777" w:rsidR="00D5140D" w:rsidRDefault="00D5140D" w:rsidP="00C92388">
            <w:pPr>
              <w:widowControl/>
              <w:jc w:val="left"/>
              <w:rPr>
                <w:kern w:val="0"/>
                <w:szCs w:val="21"/>
              </w:rPr>
            </w:pPr>
            <w:r>
              <w:rPr>
                <w:kern w:val="0"/>
                <w:szCs w:val="21"/>
              </w:rPr>
              <w:t xml:space="preserve">ACACTCCAGCTGGGTGGAAGACTA     </w:t>
            </w:r>
          </w:p>
        </w:tc>
      </w:tr>
      <w:tr w:rsidR="00D5140D" w14:paraId="4A1B3D5B" w14:textId="77777777" w:rsidTr="00C92388">
        <w:trPr>
          <w:trHeight w:val="324"/>
          <w:jc w:val="center"/>
        </w:trPr>
        <w:tc>
          <w:tcPr>
            <w:tcW w:w="1508" w:type="dxa"/>
            <w:tcBorders>
              <w:top w:val="nil"/>
              <w:left w:val="nil"/>
              <w:bottom w:val="nil"/>
              <w:right w:val="nil"/>
            </w:tcBorders>
            <w:vAlign w:val="bottom"/>
          </w:tcPr>
          <w:p w14:paraId="4E8CB9D8" w14:textId="77777777" w:rsidR="00D5140D" w:rsidRDefault="00D5140D" w:rsidP="00C92388">
            <w:pPr>
              <w:widowControl/>
              <w:jc w:val="left"/>
              <w:rPr>
                <w:kern w:val="0"/>
                <w:szCs w:val="21"/>
              </w:rPr>
            </w:pPr>
          </w:p>
        </w:tc>
        <w:tc>
          <w:tcPr>
            <w:tcW w:w="2977" w:type="dxa"/>
            <w:tcBorders>
              <w:top w:val="nil"/>
              <w:left w:val="nil"/>
              <w:bottom w:val="nil"/>
              <w:right w:val="nil"/>
            </w:tcBorders>
            <w:vAlign w:val="bottom"/>
            <w:hideMark/>
          </w:tcPr>
          <w:p w14:paraId="07C2727B" w14:textId="77777777" w:rsidR="00D5140D" w:rsidRDefault="00D5140D" w:rsidP="00C92388">
            <w:pPr>
              <w:widowControl/>
              <w:jc w:val="left"/>
              <w:rPr>
                <w:kern w:val="0"/>
                <w:szCs w:val="21"/>
              </w:rPr>
            </w:pPr>
            <w:r>
              <w:rPr>
                <w:kern w:val="0"/>
                <w:szCs w:val="21"/>
              </w:rPr>
              <w:t>Common reverse primer</w:t>
            </w:r>
          </w:p>
        </w:tc>
        <w:tc>
          <w:tcPr>
            <w:tcW w:w="4001" w:type="dxa"/>
            <w:tcBorders>
              <w:top w:val="nil"/>
              <w:left w:val="nil"/>
              <w:bottom w:val="nil"/>
              <w:right w:val="nil"/>
            </w:tcBorders>
            <w:vAlign w:val="center"/>
            <w:hideMark/>
          </w:tcPr>
          <w:p w14:paraId="49AE9873" w14:textId="77777777" w:rsidR="00D5140D" w:rsidRDefault="00D5140D" w:rsidP="00C92388">
            <w:pPr>
              <w:widowControl/>
              <w:jc w:val="left"/>
              <w:rPr>
                <w:kern w:val="0"/>
                <w:szCs w:val="21"/>
              </w:rPr>
            </w:pPr>
            <w:r>
              <w:rPr>
                <w:kern w:val="0"/>
                <w:szCs w:val="21"/>
              </w:rPr>
              <w:t>CTGGTGTCGTGGAGTCGGCAA</w:t>
            </w:r>
          </w:p>
        </w:tc>
      </w:tr>
      <w:tr w:rsidR="00D5140D" w14:paraId="5142AF9E" w14:textId="77777777" w:rsidTr="00C92388">
        <w:trPr>
          <w:trHeight w:val="324"/>
          <w:jc w:val="center"/>
        </w:trPr>
        <w:tc>
          <w:tcPr>
            <w:tcW w:w="1508" w:type="dxa"/>
            <w:tcBorders>
              <w:top w:val="nil"/>
              <w:left w:val="nil"/>
              <w:bottom w:val="nil"/>
              <w:right w:val="nil"/>
            </w:tcBorders>
            <w:vAlign w:val="bottom"/>
            <w:hideMark/>
          </w:tcPr>
          <w:p w14:paraId="120DB423" w14:textId="77777777" w:rsidR="00D5140D" w:rsidRDefault="00D5140D" w:rsidP="00C92388">
            <w:pPr>
              <w:widowControl/>
              <w:jc w:val="left"/>
              <w:rPr>
                <w:kern w:val="0"/>
                <w:szCs w:val="21"/>
              </w:rPr>
            </w:pPr>
            <w:r>
              <w:rPr>
                <w:kern w:val="0"/>
                <w:szCs w:val="21"/>
              </w:rPr>
              <w:t>Sja-U6</w:t>
            </w:r>
          </w:p>
        </w:tc>
        <w:tc>
          <w:tcPr>
            <w:tcW w:w="2977" w:type="dxa"/>
            <w:tcBorders>
              <w:top w:val="nil"/>
              <w:left w:val="nil"/>
              <w:bottom w:val="nil"/>
              <w:right w:val="nil"/>
            </w:tcBorders>
            <w:vAlign w:val="bottom"/>
            <w:hideMark/>
          </w:tcPr>
          <w:p w14:paraId="32C461A8" w14:textId="77777777" w:rsidR="00D5140D" w:rsidRDefault="00D5140D" w:rsidP="00C92388">
            <w:pPr>
              <w:widowControl/>
              <w:jc w:val="left"/>
              <w:rPr>
                <w:kern w:val="0"/>
                <w:szCs w:val="21"/>
              </w:rPr>
            </w:pPr>
            <w:r>
              <w:rPr>
                <w:kern w:val="0"/>
                <w:szCs w:val="21"/>
              </w:rPr>
              <w:t>Forward primer</w:t>
            </w:r>
          </w:p>
        </w:tc>
        <w:tc>
          <w:tcPr>
            <w:tcW w:w="4001" w:type="dxa"/>
            <w:tcBorders>
              <w:top w:val="nil"/>
              <w:left w:val="nil"/>
              <w:bottom w:val="nil"/>
              <w:right w:val="nil"/>
            </w:tcBorders>
            <w:vAlign w:val="center"/>
            <w:hideMark/>
          </w:tcPr>
          <w:p w14:paraId="32E333B0" w14:textId="77777777" w:rsidR="00D5140D" w:rsidRDefault="00D5140D" w:rsidP="00C92388">
            <w:pPr>
              <w:widowControl/>
              <w:jc w:val="left"/>
              <w:rPr>
                <w:kern w:val="0"/>
                <w:szCs w:val="21"/>
              </w:rPr>
            </w:pPr>
            <w:r>
              <w:rPr>
                <w:kern w:val="0"/>
                <w:szCs w:val="21"/>
              </w:rPr>
              <w:t>CGGCGGTACATATACTAAAAT</w:t>
            </w:r>
          </w:p>
        </w:tc>
      </w:tr>
      <w:tr w:rsidR="00D5140D" w14:paraId="09E31ABE" w14:textId="77777777" w:rsidTr="00C92388">
        <w:trPr>
          <w:trHeight w:val="324"/>
          <w:jc w:val="center"/>
        </w:trPr>
        <w:tc>
          <w:tcPr>
            <w:tcW w:w="1508" w:type="dxa"/>
            <w:tcBorders>
              <w:top w:val="nil"/>
              <w:left w:val="nil"/>
              <w:bottom w:val="nil"/>
              <w:right w:val="nil"/>
            </w:tcBorders>
            <w:vAlign w:val="bottom"/>
          </w:tcPr>
          <w:p w14:paraId="06582196" w14:textId="77777777" w:rsidR="00D5140D" w:rsidRDefault="00D5140D" w:rsidP="00C92388">
            <w:pPr>
              <w:widowControl/>
              <w:jc w:val="left"/>
              <w:rPr>
                <w:kern w:val="0"/>
                <w:szCs w:val="21"/>
              </w:rPr>
            </w:pPr>
          </w:p>
        </w:tc>
        <w:tc>
          <w:tcPr>
            <w:tcW w:w="2977" w:type="dxa"/>
            <w:tcBorders>
              <w:top w:val="nil"/>
              <w:left w:val="nil"/>
              <w:bottom w:val="nil"/>
              <w:right w:val="nil"/>
            </w:tcBorders>
            <w:vAlign w:val="bottom"/>
            <w:hideMark/>
          </w:tcPr>
          <w:p w14:paraId="7E0D1B28" w14:textId="77777777" w:rsidR="00D5140D" w:rsidRDefault="00D5140D" w:rsidP="00C92388">
            <w:pPr>
              <w:widowControl/>
              <w:jc w:val="left"/>
              <w:rPr>
                <w:kern w:val="0"/>
                <w:szCs w:val="21"/>
              </w:rPr>
            </w:pPr>
            <w:r>
              <w:rPr>
                <w:kern w:val="0"/>
                <w:szCs w:val="21"/>
              </w:rPr>
              <w:t>Reverse primer</w:t>
            </w:r>
          </w:p>
        </w:tc>
        <w:tc>
          <w:tcPr>
            <w:tcW w:w="4001" w:type="dxa"/>
            <w:tcBorders>
              <w:top w:val="nil"/>
              <w:left w:val="nil"/>
              <w:bottom w:val="nil"/>
              <w:right w:val="nil"/>
            </w:tcBorders>
            <w:vAlign w:val="center"/>
            <w:hideMark/>
          </w:tcPr>
          <w:p w14:paraId="57D7B90D" w14:textId="77777777" w:rsidR="00D5140D" w:rsidRDefault="00D5140D" w:rsidP="00C92388">
            <w:pPr>
              <w:widowControl/>
              <w:jc w:val="left"/>
              <w:rPr>
                <w:kern w:val="0"/>
                <w:szCs w:val="21"/>
              </w:rPr>
            </w:pPr>
            <w:r>
              <w:rPr>
                <w:kern w:val="0"/>
                <w:szCs w:val="21"/>
              </w:rPr>
              <w:t>AACGCTTCACGATTTTGCGT</w:t>
            </w:r>
          </w:p>
        </w:tc>
      </w:tr>
      <w:tr w:rsidR="00D5140D" w14:paraId="3564313E" w14:textId="77777777" w:rsidTr="00C92388">
        <w:trPr>
          <w:trHeight w:val="324"/>
          <w:jc w:val="center"/>
        </w:trPr>
        <w:tc>
          <w:tcPr>
            <w:tcW w:w="1508" w:type="dxa"/>
            <w:tcBorders>
              <w:top w:val="nil"/>
              <w:left w:val="nil"/>
              <w:bottom w:val="nil"/>
              <w:right w:val="nil"/>
            </w:tcBorders>
            <w:vAlign w:val="bottom"/>
          </w:tcPr>
          <w:p w14:paraId="68859787" w14:textId="77777777" w:rsidR="00D5140D" w:rsidRDefault="00D5140D" w:rsidP="00C92388">
            <w:pPr>
              <w:widowControl/>
              <w:jc w:val="left"/>
              <w:rPr>
                <w:kern w:val="0"/>
                <w:szCs w:val="21"/>
              </w:rPr>
            </w:pPr>
          </w:p>
        </w:tc>
        <w:tc>
          <w:tcPr>
            <w:tcW w:w="2977" w:type="dxa"/>
            <w:tcBorders>
              <w:top w:val="nil"/>
              <w:left w:val="nil"/>
              <w:bottom w:val="nil"/>
              <w:right w:val="nil"/>
            </w:tcBorders>
            <w:vAlign w:val="bottom"/>
            <w:hideMark/>
          </w:tcPr>
          <w:p w14:paraId="68131232" w14:textId="77777777" w:rsidR="00D5140D" w:rsidRDefault="00D5140D" w:rsidP="00C92388">
            <w:pPr>
              <w:widowControl/>
              <w:jc w:val="left"/>
              <w:rPr>
                <w:kern w:val="0"/>
                <w:szCs w:val="21"/>
              </w:rPr>
            </w:pPr>
            <w:r>
              <w:rPr>
                <w:kern w:val="0"/>
                <w:szCs w:val="21"/>
              </w:rPr>
              <w:t>Reverse transcription stem-loop- primer RT</w:t>
            </w:r>
          </w:p>
        </w:tc>
        <w:tc>
          <w:tcPr>
            <w:tcW w:w="4001" w:type="dxa"/>
            <w:tcBorders>
              <w:top w:val="nil"/>
              <w:left w:val="nil"/>
              <w:bottom w:val="nil"/>
              <w:right w:val="nil"/>
            </w:tcBorders>
            <w:vAlign w:val="center"/>
            <w:hideMark/>
          </w:tcPr>
          <w:p w14:paraId="3EAE078B" w14:textId="77777777" w:rsidR="00D5140D" w:rsidRDefault="00D5140D" w:rsidP="00C92388">
            <w:pPr>
              <w:widowControl/>
              <w:jc w:val="left"/>
              <w:rPr>
                <w:kern w:val="0"/>
                <w:szCs w:val="21"/>
              </w:rPr>
            </w:pPr>
            <w:r>
              <w:rPr>
                <w:kern w:val="0"/>
                <w:szCs w:val="21"/>
              </w:rPr>
              <w:t>TATGGAACGCTTCACGATTTTG</w:t>
            </w:r>
          </w:p>
        </w:tc>
      </w:tr>
      <w:tr w:rsidR="00D5140D" w14:paraId="241DDC0F" w14:textId="77777777" w:rsidTr="00C92388">
        <w:trPr>
          <w:trHeight w:val="336"/>
          <w:jc w:val="center"/>
        </w:trPr>
        <w:tc>
          <w:tcPr>
            <w:tcW w:w="1508" w:type="dxa"/>
            <w:tcBorders>
              <w:top w:val="nil"/>
              <w:left w:val="nil"/>
              <w:bottom w:val="nil"/>
              <w:right w:val="nil"/>
            </w:tcBorders>
            <w:vAlign w:val="center"/>
            <w:hideMark/>
          </w:tcPr>
          <w:p w14:paraId="5FC1F7E1" w14:textId="77777777" w:rsidR="00D5140D" w:rsidRDefault="00D5140D" w:rsidP="00C92388">
            <w:pPr>
              <w:widowControl/>
              <w:rPr>
                <w:kern w:val="0"/>
                <w:szCs w:val="21"/>
              </w:rPr>
            </w:pPr>
            <w:r>
              <w:rPr>
                <w:kern w:val="0"/>
                <w:szCs w:val="21"/>
              </w:rPr>
              <w:t>mmu-U6</w:t>
            </w:r>
          </w:p>
        </w:tc>
        <w:tc>
          <w:tcPr>
            <w:tcW w:w="2977" w:type="dxa"/>
            <w:tcBorders>
              <w:top w:val="nil"/>
              <w:left w:val="nil"/>
              <w:bottom w:val="nil"/>
              <w:right w:val="nil"/>
            </w:tcBorders>
            <w:vAlign w:val="center"/>
            <w:hideMark/>
          </w:tcPr>
          <w:p w14:paraId="2F4F6335" w14:textId="77777777" w:rsidR="00D5140D" w:rsidRDefault="00D5140D" w:rsidP="00C92388">
            <w:pPr>
              <w:widowControl/>
              <w:jc w:val="left"/>
              <w:rPr>
                <w:kern w:val="0"/>
                <w:szCs w:val="21"/>
              </w:rPr>
            </w:pPr>
            <w:r>
              <w:rPr>
                <w:kern w:val="0"/>
                <w:szCs w:val="21"/>
              </w:rPr>
              <w:t>Forward primer</w:t>
            </w:r>
          </w:p>
        </w:tc>
        <w:tc>
          <w:tcPr>
            <w:tcW w:w="4001" w:type="dxa"/>
            <w:tcBorders>
              <w:top w:val="nil"/>
              <w:left w:val="nil"/>
              <w:bottom w:val="nil"/>
              <w:right w:val="nil"/>
            </w:tcBorders>
            <w:vAlign w:val="center"/>
            <w:hideMark/>
          </w:tcPr>
          <w:p w14:paraId="139DB462" w14:textId="77777777" w:rsidR="00D5140D" w:rsidRDefault="00D5140D" w:rsidP="00C92388">
            <w:pPr>
              <w:widowControl/>
              <w:rPr>
                <w:kern w:val="0"/>
                <w:szCs w:val="21"/>
              </w:rPr>
            </w:pPr>
            <w:r>
              <w:rPr>
                <w:kern w:val="0"/>
                <w:szCs w:val="21"/>
              </w:rPr>
              <w:t>GCTTCGGCAGCACATATACTAAAAT</w:t>
            </w:r>
          </w:p>
        </w:tc>
      </w:tr>
      <w:tr w:rsidR="00D5140D" w14:paraId="24287159" w14:textId="77777777" w:rsidTr="00C92388">
        <w:trPr>
          <w:trHeight w:val="336"/>
          <w:jc w:val="center"/>
        </w:trPr>
        <w:tc>
          <w:tcPr>
            <w:tcW w:w="1508" w:type="dxa"/>
            <w:tcBorders>
              <w:top w:val="nil"/>
              <w:left w:val="nil"/>
              <w:bottom w:val="nil"/>
              <w:right w:val="nil"/>
            </w:tcBorders>
            <w:vAlign w:val="center"/>
          </w:tcPr>
          <w:p w14:paraId="288FF7BA" w14:textId="77777777" w:rsidR="00D5140D" w:rsidRDefault="00D5140D" w:rsidP="00C92388">
            <w:pPr>
              <w:widowControl/>
              <w:rPr>
                <w:kern w:val="0"/>
                <w:szCs w:val="21"/>
              </w:rPr>
            </w:pPr>
          </w:p>
        </w:tc>
        <w:tc>
          <w:tcPr>
            <w:tcW w:w="2977" w:type="dxa"/>
            <w:tcBorders>
              <w:top w:val="nil"/>
              <w:left w:val="nil"/>
              <w:bottom w:val="nil"/>
              <w:right w:val="nil"/>
            </w:tcBorders>
            <w:vAlign w:val="center"/>
            <w:hideMark/>
          </w:tcPr>
          <w:p w14:paraId="361F70F7" w14:textId="77777777" w:rsidR="00D5140D" w:rsidRDefault="00D5140D" w:rsidP="00C92388">
            <w:pPr>
              <w:widowControl/>
              <w:jc w:val="left"/>
              <w:rPr>
                <w:kern w:val="0"/>
                <w:szCs w:val="21"/>
              </w:rPr>
            </w:pPr>
            <w:r>
              <w:rPr>
                <w:kern w:val="0"/>
                <w:szCs w:val="21"/>
              </w:rPr>
              <w:t xml:space="preserve">Reverse primer </w:t>
            </w:r>
            <w:r>
              <w:rPr>
                <w:rFonts w:hint="eastAsia"/>
                <w:kern w:val="0"/>
                <w:szCs w:val="21"/>
              </w:rPr>
              <w:t>&amp;</w:t>
            </w:r>
            <w:r>
              <w:rPr>
                <w:kern w:val="0"/>
                <w:szCs w:val="21"/>
              </w:rPr>
              <w:t xml:space="preserve"> Reverse transcription stem-loop- primer RT</w:t>
            </w:r>
          </w:p>
        </w:tc>
        <w:tc>
          <w:tcPr>
            <w:tcW w:w="4001" w:type="dxa"/>
            <w:tcBorders>
              <w:top w:val="nil"/>
              <w:left w:val="nil"/>
              <w:bottom w:val="nil"/>
              <w:right w:val="nil"/>
            </w:tcBorders>
            <w:vAlign w:val="center"/>
            <w:hideMark/>
          </w:tcPr>
          <w:p w14:paraId="6F3D77C3" w14:textId="77777777" w:rsidR="00D5140D" w:rsidRDefault="00D5140D" w:rsidP="00C92388">
            <w:pPr>
              <w:widowControl/>
              <w:rPr>
                <w:kern w:val="0"/>
                <w:szCs w:val="21"/>
              </w:rPr>
            </w:pPr>
            <w:r>
              <w:rPr>
                <w:kern w:val="0"/>
                <w:szCs w:val="21"/>
              </w:rPr>
              <w:t>CGCTTCACGAATTTGCGTGTCAT</w:t>
            </w:r>
          </w:p>
        </w:tc>
      </w:tr>
      <w:tr w:rsidR="00D5140D" w14:paraId="0F997F9A" w14:textId="77777777" w:rsidTr="00C92388">
        <w:trPr>
          <w:trHeight w:val="336"/>
          <w:jc w:val="center"/>
        </w:trPr>
        <w:tc>
          <w:tcPr>
            <w:tcW w:w="1508" w:type="dxa"/>
            <w:tcBorders>
              <w:top w:val="nil"/>
              <w:left w:val="nil"/>
              <w:bottom w:val="nil"/>
              <w:right w:val="nil"/>
            </w:tcBorders>
            <w:vAlign w:val="center"/>
            <w:hideMark/>
          </w:tcPr>
          <w:p w14:paraId="3E912066" w14:textId="6BA0ACD8" w:rsidR="00D5140D" w:rsidRDefault="00D5140D" w:rsidP="00C92388">
            <w:pPr>
              <w:rPr>
                <w:color w:val="000000"/>
                <w:szCs w:val="21"/>
              </w:rPr>
            </w:pPr>
            <w:proofErr w:type="spellStart"/>
            <w:r>
              <w:rPr>
                <w:color w:val="000000"/>
                <w:szCs w:val="21"/>
              </w:rPr>
              <w:t>mmu-</w:t>
            </w:r>
            <w:r w:rsidRPr="00EA0631">
              <w:rPr>
                <w:i/>
                <w:color w:val="FF0000"/>
                <w:szCs w:val="21"/>
              </w:rPr>
              <w:t>G</w:t>
            </w:r>
            <w:r w:rsidR="00BC2147" w:rsidRPr="00EA0631">
              <w:rPr>
                <w:i/>
                <w:color w:val="FF0000"/>
                <w:szCs w:val="21"/>
              </w:rPr>
              <w:t>apdh</w:t>
            </w:r>
            <w:proofErr w:type="spellEnd"/>
          </w:p>
        </w:tc>
        <w:tc>
          <w:tcPr>
            <w:tcW w:w="2977" w:type="dxa"/>
            <w:tcBorders>
              <w:top w:val="nil"/>
              <w:left w:val="nil"/>
              <w:bottom w:val="nil"/>
              <w:right w:val="nil"/>
            </w:tcBorders>
            <w:vAlign w:val="center"/>
            <w:hideMark/>
          </w:tcPr>
          <w:p w14:paraId="6094C451" w14:textId="77777777" w:rsidR="00D5140D" w:rsidRDefault="00D5140D" w:rsidP="00C92388">
            <w:pPr>
              <w:widowControl/>
              <w:jc w:val="left"/>
              <w:rPr>
                <w:kern w:val="0"/>
                <w:szCs w:val="21"/>
              </w:rPr>
            </w:pPr>
            <w:r>
              <w:rPr>
                <w:kern w:val="0"/>
                <w:szCs w:val="21"/>
              </w:rPr>
              <w:t>Forward primer</w:t>
            </w:r>
          </w:p>
        </w:tc>
        <w:tc>
          <w:tcPr>
            <w:tcW w:w="4001" w:type="dxa"/>
            <w:tcBorders>
              <w:top w:val="nil"/>
              <w:left w:val="nil"/>
              <w:bottom w:val="nil"/>
              <w:right w:val="nil"/>
            </w:tcBorders>
            <w:vAlign w:val="center"/>
            <w:hideMark/>
          </w:tcPr>
          <w:p w14:paraId="463C3A68" w14:textId="77777777" w:rsidR="00D5140D" w:rsidRDefault="00D5140D" w:rsidP="00C92388">
            <w:pPr>
              <w:widowControl/>
              <w:rPr>
                <w:kern w:val="0"/>
                <w:szCs w:val="21"/>
              </w:rPr>
            </w:pPr>
            <w:r>
              <w:rPr>
                <w:kern w:val="0"/>
                <w:szCs w:val="21"/>
              </w:rPr>
              <w:t>GTGTTCCTACCCCCAATGTGT</w:t>
            </w:r>
          </w:p>
        </w:tc>
      </w:tr>
      <w:tr w:rsidR="00D5140D" w14:paraId="5837638B" w14:textId="77777777" w:rsidTr="00C92388">
        <w:trPr>
          <w:trHeight w:val="336"/>
          <w:jc w:val="center"/>
        </w:trPr>
        <w:tc>
          <w:tcPr>
            <w:tcW w:w="1508" w:type="dxa"/>
            <w:tcBorders>
              <w:top w:val="nil"/>
              <w:left w:val="nil"/>
              <w:bottom w:val="nil"/>
              <w:right w:val="nil"/>
            </w:tcBorders>
            <w:vAlign w:val="center"/>
          </w:tcPr>
          <w:p w14:paraId="0EC0E5EE" w14:textId="77777777" w:rsidR="00D5140D" w:rsidRDefault="00D5140D" w:rsidP="00C92388">
            <w:pPr>
              <w:widowControl/>
              <w:rPr>
                <w:kern w:val="0"/>
                <w:szCs w:val="21"/>
              </w:rPr>
            </w:pPr>
          </w:p>
        </w:tc>
        <w:tc>
          <w:tcPr>
            <w:tcW w:w="2977" w:type="dxa"/>
            <w:tcBorders>
              <w:top w:val="nil"/>
              <w:left w:val="nil"/>
              <w:bottom w:val="nil"/>
              <w:right w:val="nil"/>
            </w:tcBorders>
            <w:vAlign w:val="center"/>
            <w:hideMark/>
          </w:tcPr>
          <w:p w14:paraId="19418AAB" w14:textId="77777777" w:rsidR="00D5140D" w:rsidRDefault="00D5140D" w:rsidP="00C92388">
            <w:pPr>
              <w:widowControl/>
              <w:jc w:val="left"/>
              <w:rPr>
                <w:kern w:val="0"/>
                <w:szCs w:val="21"/>
              </w:rPr>
            </w:pPr>
            <w:r>
              <w:rPr>
                <w:kern w:val="0"/>
                <w:szCs w:val="21"/>
              </w:rPr>
              <w:t>Reverse primer</w:t>
            </w:r>
          </w:p>
        </w:tc>
        <w:tc>
          <w:tcPr>
            <w:tcW w:w="4001" w:type="dxa"/>
            <w:tcBorders>
              <w:top w:val="nil"/>
              <w:left w:val="nil"/>
              <w:bottom w:val="nil"/>
              <w:right w:val="nil"/>
            </w:tcBorders>
            <w:vAlign w:val="center"/>
            <w:hideMark/>
          </w:tcPr>
          <w:p w14:paraId="0271863C" w14:textId="77777777" w:rsidR="00D5140D" w:rsidRDefault="00D5140D" w:rsidP="00C92388">
            <w:pPr>
              <w:widowControl/>
              <w:rPr>
                <w:kern w:val="0"/>
                <w:szCs w:val="21"/>
              </w:rPr>
            </w:pPr>
            <w:r>
              <w:rPr>
                <w:kern w:val="0"/>
                <w:szCs w:val="21"/>
              </w:rPr>
              <w:t>GTCATACCAGGAAATGAGCTTGA</w:t>
            </w:r>
          </w:p>
        </w:tc>
      </w:tr>
      <w:tr w:rsidR="00D5140D" w14:paraId="40DF3150" w14:textId="77777777" w:rsidTr="00C92388">
        <w:trPr>
          <w:trHeight w:val="336"/>
          <w:jc w:val="center"/>
        </w:trPr>
        <w:tc>
          <w:tcPr>
            <w:tcW w:w="1508" w:type="dxa"/>
            <w:tcBorders>
              <w:top w:val="nil"/>
              <w:left w:val="nil"/>
              <w:bottom w:val="nil"/>
              <w:right w:val="nil"/>
            </w:tcBorders>
            <w:vAlign w:val="center"/>
            <w:hideMark/>
          </w:tcPr>
          <w:p w14:paraId="5FF2AABB" w14:textId="618A7D6B" w:rsidR="00D5140D" w:rsidRDefault="00D5140D" w:rsidP="00C92388">
            <w:pPr>
              <w:widowControl/>
              <w:rPr>
                <w:kern w:val="0"/>
                <w:szCs w:val="21"/>
              </w:rPr>
            </w:pPr>
            <w:r>
              <w:rPr>
                <w:rFonts w:hint="eastAsia"/>
                <w:kern w:val="0"/>
                <w:szCs w:val="21"/>
              </w:rPr>
              <w:t>m</w:t>
            </w:r>
            <w:r>
              <w:rPr>
                <w:kern w:val="0"/>
                <w:szCs w:val="21"/>
              </w:rPr>
              <w:t>mu-</w:t>
            </w:r>
            <w:r w:rsidR="00BC2147" w:rsidRPr="00561E08">
              <w:rPr>
                <w:i/>
                <w:color w:val="FF0000"/>
                <w:kern w:val="0"/>
                <w:szCs w:val="21"/>
              </w:rPr>
              <w:t>Skp2</w:t>
            </w:r>
          </w:p>
        </w:tc>
        <w:tc>
          <w:tcPr>
            <w:tcW w:w="2977" w:type="dxa"/>
            <w:tcBorders>
              <w:top w:val="nil"/>
              <w:left w:val="nil"/>
              <w:bottom w:val="nil"/>
              <w:right w:val="nil"/>
            </w:tcBorders>
            <w:vAlign w:val="center"/>
            <w:hideMark/>
          </w:tcPr>
          <w:p w14:paraId="7B8CB39A" w14:textId="77777777" w:rsidR="00D5140D" w:rsidRDefault="00D5140D" w:rsidP="00C92388">
            <w:pPr>
              <w:widowControl/>
              <w:jc w:val="left"/>
              <w:rPr>
                <w:kern w:val="0"/>
                <w:szCs w:val="21"/>
              </w:rPr>
            </w:pPr>
            <w:r>
              <w:rPr>
                <w:kern w:val="0"/>
                <w:szCs w:val="21"/>
              </w:rPr>
              <w:t>Forward primer</w:t>
            </w:r>
          </w:p>
        </w:tc>
        <w:tc>
          <w:tcPr>
            <w:tcW w:w="4001" w:type="dxa"/>
            <w:tcBorders>
              <w:top w:val="nil"/>
              <w:left w:val="nil"/>
              <w:bottom w:val="nil"/>
              <w:right w:val="nil"/>
            </w:tcBorders>
            <w:vAlign w:val="center"/>
            <w:hideMark/>
          </w:tcPr>
          <w:p w14:paraId="5FD31BD2" w14:textId="77777777" w:rsidR="00D5140D" w:rsidRDefault="00D5140D" w:rsidP="00C92388">
            <w:pPr>
              <w:widowControl/>
              <w:rPr>
                <w:kern w:val="0"/>
                <w:szCs w:val="21"/>
              </w:rPr>
            </w:pPr>
            <w:r>
              <w:rPr>
                <w:kern w:val="0"/>
                <w:szCs w:val="21"/>
              </w:rPr>
              <w:t>GAAAGCTTCAGCTCTTTCCG</w:t>
            </w:r>
          </w:p>
        </w:tc>
      </w:tr>
      <w:tr w:rsidR="00D5140D" w14:paraId="41285958" w14:textId="77777777" w:rsidTr="00C92388">
        <w:trPr>
          <w:trHeight w:val="80"/>
          <w:jc w:val="center"/>
        </w:trPr>
        <w:tc>
          <w:tcPr>
            <w:tcW w:w="1508" w:type="dxa"/>
            <w:tcBorders>
              <w:top w:val="nil"/>
              <w:left w:val="nil"/>
              <w:bottom w:val="nil"/>
              <w:right w:val="nil"/>
            </w:tcBorders>
            <w:vAlign w:val="center"/>
          </w:tcPr>
          <w:p w14:paraId="4D73A4BA" w14:textId="77777777" w:rsidR="00D5140D" w:rsidRDefault="00D5140D" w:rsidP="00C92388">
            <w:pPr>
              <w:widowControl/>
              <w:rPr>
                <w:kern w:val="0"/>
                <w:szCs w:val="21"/>
              </w:rPr>
            </w:pPr>
          </w:p>
        </w:tc>
        <w:tc>
          <w:tcPr>
            <w:tcW w:w="2977" w:type="dxa"/>
            <w:tcBorders>
              <w:top w:val="nil"/>
              <w:left w:val="nil"/>
              <w:bottom w:val="nil"/>
              <w:right w:val="nil"/>
            </w:tcBorders>
            <w:vAlign w:val="center"/>
            <w:hideMark/>
          </w:tcPr>
          <w:p w14:paraId="6883452A" w14:textId="77777777" w:rsidR="00D5140D" w:rsidRDefault="00D5140D" w:rsidP="00C92388">
            <w:pPr>
              <w:widowControl/>
              <w:jc w:val="left"/>
              <w:rPr>
                <w:kern w:val="0"/>
                <w:szCs w:val="21"/>
              </w:rPr>
            </w:pPr>
            <w:r>
              <w:rPr>
                <w:kern w:val="0"/>
                <w:szCs w:val="21"/>
              </w:rPr>
              <w:t>Reverse primer</w:t>
            </w:r>
          </w:p>
        </w:tc>
        <w:tc>
          <w:tcPr>
            <w:tcW w:w="4001" w:type="dxa"/>
            <w:tcBorders>
              <w:top w:val="nil"/>
              <w:left w:val="nil"/>
              <w:bottom w:val="nil"/>
              <w:right w:val="nil"/>
            </w:tcBorders>
            <w:vAlign w:val="center"/>
            <w:hideMark/>
          </w:tcPr>
          <w:p w14:paraId="0F01550C" w14:textId="77777777" w:rsidR="00D5140D" w:rsidRDefault="00D5140D" w:rsidP="00C92388">
            <w:pPr>
              <w:widowControl/>
              <w:rPr>
                <w:kern w:val="0"/>
                <w:szCs w:val="21"/>
              </w:rPr>
            </w:pPr>
            <w:r>
              <w:rPr>
                <w:kern w:val="0"/>
                <w:szCs w:val="21"/>
              </w:rPr>
              <w:t>AGCACCAGGAGAGATTTAGC</w:t>
            </w:r>
          </w:p>
        </w:tc>
      </w:tr>
      <w:tr w:rsidR="00D5140D" w14:paraId="102D5683" w14:textId="77777777" w:rsidTr="00C92388">
        <w:trPr>
          <w:trHeight w:val="80"/>
          <w:jc w:val="center"/>
        </w:trPr>
        <w:tc>
          <w:tcPr>
            <w:tcW w:w="1508" w:type="dxa"/>
            <w:tcBorders>
              <w:top w:val="nil"/>
              <w:left w:val="nil"/>
              <w:bottom w:val="nil"/>
              <w:right w:val="nil"/>
            </w:tcBorders>
            <w:vAlign w:val="center"/>
          </w:tcPr>
          <w:p w14:paraId="43F85059" w14:textId="77777777" w:rsidR="00D5140D" w:rsidRDefault="00D5140D" w:rsidP="00C92388">
            <w:pPr>
              <w:widowControl/>
              <w:rPr>
                <w:kern w:val="0"/>
                <w:szCs w:val="21"/>
              </w:rPr>
            </w:pPr>
            <w:proofErr w:type="spellStart"/>
            <w:r>
              <w:rPr>
                <w:color w:val="000000"/>
                <w:szCs w:val="21"/>
              </w:rPr>
              <w:t>hsa</w:t>
            </w:r>
            <w:proofErr w:type="spellEnd"/>
            <w:r>
              <w:rPr>
                <w:color w:val="000000"/>
                <w:szCs w:val="21"/>
              </w:rPr>
              <w:t>-</w:t>
            </w:r>
            <w:r w:rsidRPr="00561E08">
              <w:rPr>
                <w:i/>
                <w:color w:val="000000"/>
                <w:szCs w:val="21"/>
              </w:rPr>
              <w:t>GAPDH</w:t>
            </w:r>
          </w:p>
        </w:tc>
        <w:tc>
          <w:tcPr>
            <w:tcW w:w="2977" w:type="dxa"/>
            <w:tcBorders>
              <w:top w:val="nil"/>
              <w:left w:val="nil"/>
              <w:bottom w:val="nil"/>
              <w:right w:val="nil"/>
            </w:tcBorders>
            <w:vAlign w:val="center"/>
          </w:tcPr>
          <w:p w14:paraId="282F35D5" w14:textId="77777777" w:rsidR="00D5140D" w:rsidRDefault="00D5140D" w:rsidP="00C92388">
            <w:pPr>
              <w:widowControl/>
              <w:jc w:val="left"/>
              <w:rPr>
                <w:kern w:val="0"/>
                <w:szCs w:val="21"/>
              </w:rPr>
            </w:pPr>
            <w:r>
              <w:rPr>
                <w:kern w:val="0"/>
                <w:szCs w:val="21"/>
              </w:rPr>
              <w:t>Forward primer</w:t>
            </w:r>
          </w:p>
        </w:tc>
        <w:tc>
          <w:tcPr>
            <w:tcW w:w="4001" w:type="dxa"/>
            <w:tcBorders>
              <w:top w:val="nil"/>
              <w:left w:val="nil"/>
              <w:bottom w:val="nil"/>
              <w:right w:val="nil"/>
            </w:tcBorders>
            <w:vAlign w:val="center"/>
          </w:tcPr>
          <w:p w14:paraId="3630FB81" w14:textId="77777777" w:rsidR="00D5140D" w:rsidRDefault="00D5140D" w:rsidP="00C92388">
            <w:pPr>
              <w:widowControl/>
              <w:rPr>
                <w:kern w:val="0"/>
                <w:szCs w:val="21"/>
              </w:rPr>
            </w:pPr>
            <w:r w:rsidRPr="00747F55">
              <w:rPr>
                <w:kern w:val="0"/>
                <w:szCs w:val="21"/>
              </w:rPr>
              <w:t>ACAACTTTGGTATCGTGGAAGG</w:t>
            </w:r>
          </w:p>
        </w:tc>
      </w:tr>
      <w:tr w:rsidR="00D5140D" w14:paraId="0A40773B" w14:textId="77777777" w:rsidTr="00C92388">
        <w:trPr>
          <w:trHeight w:val="80"/>
          <w:jc w:val="center"/>
        </w:trPr>
        <w:tc>
          <w:tcPr>
            <w:tcW w:w="1508" w:type="dxa"/>
            <w:tcBorders>
              <w:top w:val="nil"/>
              <w:left w:val="nil"/>
              <w:bottom w:val="nil"/>
              <w:right w:val="nil"/>
            </w:tcBorders>
            <w:vAlign w:val="center"/>
          </w:tcPr>
          <w:p w14:paraId="365CA07B" w14:textId="77777777" w:rsidR="00D5140D" w:rsidRDefault="00D5140D" w:rsidP="00C92388">
            <w:pPr>
              <w:widowControl/>
              <w:rPr>
                <w:kern w:val="0"/>
                <w:szCs w:val="21"/>
              </w:rPr>
            </w:pPr>
          </w:p>
        </w:tc>
        <w:tc>
          <w:tcPr>
            <w:tcW w:w="2977" w:type="dxa"/>
            <w:tcBorders>
              <w:top w:val="nil"/>
              <w:left w:val="nil"/>
              <w:bottom w:val="nil"/>
              <w:right w:val="nil"/>
            </w:tcBorders>
            <w:vAlign w:val="center"/>
          </w:tcPr>
          <w:p w14:paraId="1A854DB3" w14:textId="77777777" w:rsidR="00D5140D" w:rsidRDefault="00D5140D" w:rsidP="00C92388">
            <w:pPr>
              <w:widowControl/>
              <w:jc w:val="left"/>
              <w:rPr>
                <w:kern w:val="0"/>
                <w:szCs w:val="21"/>
              </w:rPr>
            </w:pPr>
            <w:r>
              <w:rPr>
                <w:kern w:val="0"/>
                <w:szCs w:val="21"/>
              </w:rPr>
              <w:t>Reverse primer</w:t>
            </w:r>
          </w:p>
        </w:tc>
        <w:tc>
          <w:tcPr>
            <w:tcW w:w="4001" w:type="dxa"/>
            <w:tcBorders>
              <w:top w:val="nil"/>
              <w:left w:val="nil"/>
              <w:bottom w:val="nil"/>
              <w:right w:val="nil"/>
            </w:tcBorders>
            <w:vAlign w:val="center"/>
          </w:tcPr>
          <w:p w14:paraId="07029CA7" w14:textId="77777777" w:rsidR="00D5140D" w:rsidRDefault="00D5140D" w:rsidP="00C92388">
            <w:pPr>
              <w:widowControl/>
              <w:rPr>
                <w:kern w:val="0"/>
                <w:szCs w:val="21"/>
              </w:rPr>
            </w:pPr>
            <w:r w:rsidRPr="00747F55">
              <w:rPr>
                <w:kern w:val="0"/>
                <w:szCs w:val="21"/>
              </w:rPr>
              <w:t>GCCATCACGCCACAGTTTC</w:t>
            </w:r>
          </w:p>
        </w:tc>
      </w:tr>
      <w:tr w:rsidR="00D5140D" w14:paraId="1E60660A" w14:textId="77777777" w:rsidTr="00C92388">
        <w:trPr>
          <w:trHeight w:val="80"/>
          <w:jc w:val="center"/>
        </w:trPr>
        <w:tc>
          <w:tcPr>
            <w:tcW w:w="1508" w:type="dxa"/>
            <w:tcBorders>
              <w:top w:val="nil"/>
              <w:left w:val="nil"/>
              <w:bottom w:val="nil"/>
              <w:right w:val="nil"/>
            </w:tcBorders>
            <w:vAlign w:val="center"/>
          </w:tcPr>
          <w:p w14:paraId="662ACDA0" w14:textId="77777777" w:rsidR="00D5140D" w:rsidRDefault="00D5140D" w:rsidP="00C92388">
            <w:pPr>
              <w:widowControl/>
              <w:rPr>
                <w:kern w:val="0"/>
                <w:szCs w:val="21"/>
              </w:rPr>
            </w:pPr>
            <w:r>
              <w:rPr>
                <w:kern w:val="0"/>
                <w:szCs w:val="21"/>
              </w:rPr>
              <w:t>hsa-</w:t>
            </w:r>
            <w:r w:rsidRPr="00561E08">
              <w:rPr>
                <w:i/>
                <w:kern w:val="0"/>
                <w:szCs w:val="21"/>
              </w:rPr>
              <w:t>SKP2</w:t>
            </w:r>
          </w:p>
        </w:tc>
        <w:tc>
          <w:tcPr>
            <w:tcW w:w="2977" w:type="dxa"/>
            <w:tcBorders>
              <w:top w:val="nil"/>
              <w:left w:val="nil"/>
              <w:bottom w:val="nil"/>
              <w:right w:val="nil"/>
            </w:tcBorders>
            <w:vAlign w:val="center"/>
          </w:tcPr>
          <w:p w14:paraId="131F6000" w14:textId="77777777" w:rsidR="00D5140D" w:rsidRDefault="00D5140D" w:rsidP="00C92388">
            <w:pPr>
              <w:widowControl/>
              <w:jc w:val="left"/>
              <w:rPr>
                <w:kern w:val="0"/>
                <w:szCs w:val="21"/>
              </w:rPr>
            </w:pPr>
            <w:r>
              <w:rPr>
                <w:kern w:val="0"/>
                <w:szCs w:val="21"/>
              </w:rPr>
              <w:t>Forward primer</w:t>
            </w:r>
          </w:p>
        </w:tc>
        <w:tc>
          <w:tcPr>
            <w:tcW w:w="4001" w:type="dxa"/>
            <w:tcBorders>
              <w:top w:val="nil"/>
              <w:left w:val="nil"/>
              <w:bottom w:val="nil"/>
              <w:right w:val="nil"/>
            </w:tcBorders>
            <w:vAlign w:val="center"/>
          </w:tcPr>
          <w:p w14:paraId="35B2908E" w14:textId="77777777" w:rsidR="00D5140D" w:rsidRDefault="00D5140D" w:rsidP="00C92388">
            <w:pPr>
              <w:widowControl/>
              <w:rPr>
                <w:kern w:val="0"/>
                <w:szCs w:val="21"/>
              </w:rPr>
            </w:pPr>
            <w:r w:rsidRPr="00592FDB">
              <w:rPr>
                <w:kern w:val="0"/>
                <w:szCs w:val="21"/>
              </w:rPr>
              <w:t>ATGCCCCAATCTTGTCCATCT</w:t>
            </w:r>
          </w:p>
        </w:tc>
      </w:tr>
      <w:tr w:rsidR="00D5140D" w14:paraId="6756C378" w14:textId="77777777" w:rsidTr="00C92388">
        <w:trPr>
          <w:trHeight w:val="80"/>
          <w:jc w:val="center"/>
        </w:trPr>
        <w:tc>
          <w:tcPr>
            <w:tcW w:w="1508" w:type="dxa"/>
            <w:tcBorders>
              <w:top w:val="nil"/>
              <w:left w:val="nil"/>
              <w:bottom w:val="single" w:sz="12" w:space="0" w:color="008000"/>
              <w:right w:val="nil"/>
            </w:tcBorders>
            <w:vAlign w:val="center"/>
          </w:tcPr>
          <w:p w14:paraId="733747ED" w14:textId="77777777" w:rsidR="00D5140D" w:rsidRDefault="00D5140D" w:rsidP="00C92388">
            <w:pPr>
              <w:widowControl/>
              <w:rPr>
                <w:kern w:val="0"/>
                <w:szCs w:val="21"/>
              </w:rPr>
            </w:pPr>
          </w:p>
        </w:tc>
        <w:tc>
          <w:tcPr>
            <w:tcW w:w="2977" w:type="dxa"/>
            <w:tcBorders>
              <w:top w:val="nil"/>
              <w:left w:val="nil"/>
              <w:bottom w:val="single" w:sz="12" w:space="0" w:color="008000"/>
              <w:right w:val="nil"/>
            </w:tcBorders>
            <w:vAlign w:val="center"/>
          </w:tcPr>
          <w:p w14:paraId="2ACF3514" w14:textId="77777777" w:rsidR="00D5140D" w:rsidRDefault="00D5140D" w:rsidP="00C92388">
            <w:pPr>
              <w:widowControl/>
              <w:jc w:val="left"/>
              <w:rPr>
                <w:kern w:val="0"/>
                <w:szCs w:val="21"/>
              </w:rPr>
            </w:pPr>
            <w:r>
              <w:rPr>
                <w:kern w:val="0"/>
                <w:szCs w:val="21"/>
              </w:rPr>
              <w:t>Reverse primer</w:t>
            </w:r>
          </w:p>
        </w:tc>
        <w:tc>
          <w:tcPr>
            <w:tcW w:w="4001" w:type="dxa"/>
            <w:tcBorders>
              <w:top w:val="nil"/>
              <w:left w:val="nil"/>
              <w:bottom w:val="single" w:sz="12" w:space="0" w:color="008000"/>
              <w:right w:val="nil"/>
            </w:tcBorders>
            <w:vAlign w:val="center"/>
          </w:tcPr>
          <w:p w14:paraId="6A33FBFB" w14:textId="77777777" w:rsidR="00D5140D" w:rsidRDefault="00D5140D" w:rsidP="00C92388">
            <w:pPr>
              <w:widowControl/>
              <w:rPr>
                <w:kern w:val="0"/>
                <w:szCs w:val="21"/>
              </w:rPr>
            </w:pPr>
            <w:r w:rsidRPr="00592FDB">
              <w:rPr>
                <w:kern w:val="0"/>
                <w:szCs w:val="21"/>
              </w:rPr>
              <w:t>CACCGACTGAGTGATAGGTGT</w:t>
            </w:r>
          </w:p>
        </w:tc>
      </w:tr>
    </w:tbl>
    <w:p w14:paraId="23616A5B" w14:textId="77777777" w:rsidR="006F28E4" w:rsidRPr="00A2189D" w:rsidRDefault="006F28E4" w:rsidP="00796275">
      <w:pPr>
        <w:spacing w:line="360" w:lineRule="auto"/>
        <w:rPr>
          <w:sz w:val="24"/>
        </w:rPr>
      </w:pPr>
    </w:p>
    <w:p w14:paraId="767CB2C2" w14:textId="3679CB41" w:rsidR="004C3056" w:rsidRDefault="001C4DA6" w:rsidP="00796275">
      <w:pPr>
        <w:spacing w:line="360" w:lineRule="auto"/>
        <w:rPr>
          <w:b/>
          <w:sz w:val="24"/>
        </w:rPr>
      </w:pPr>
      <w:r>
        <w:rPr>
          <w:b/>
          <w:noProof/>
          <w:sz w:val="24"/>
        </w:rPr>
        <w:lastRenderedPageBreak/>
        <w:drawing>
          <wp:inline distT="0" distB="0" distL="0" distR="0" wp14:anchorId="79773F4C" wp14:editId="00F14C67">
            <wp:extent cx="5274310" cy="116586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幻灯片1.JPG"/>
                    <pic:cNvPicPr/>
                  </pic:nvPicPr>
                  <pic:blipFill rotWithShape="1">
                    <a:blip r:embed="rId4">
                      <a:extLst>
                        <a:ext uri="{28A0092B-C50C-407E-A947-70E740481C1C}">
                          <a14:useLocalDpi xmlns:a14="http://schemas.microsoft.com/office/drawing/2010/main" val="0"/>
                        </a:ext>
                      </a:extLst>
                    </a:blip>
                    <a:srcRect t="28507" b="42023"/>
                    <a:stretch/>
                  </pic:blipFill>
                  <pic:spPr bwMode="auto">
                    <a:xfrm>
                      <a:off x="0" y="0"/>
                      <a:ext cx="5274310" cy="1165860"/>
                    </a:xfrm>
                    <a:prstGeom prst="rect">
                      <a:avLst/>
                    </a:prstGeom>
                    <a:ln>
                      <a:noFill/>
                    </a:ln>
                    <a:extLst>
                      <a:ext uri="{53640926-AAD7-44D8-BBD7-CCE9431645EC}">
                        <a14:shadowObscured xmlns:a14="http://schemas.microsoft.com/office/drawing/2010/main"/>
                      </a:ext>
                    </a:extLst>
                  </pic:spPr>
                </pic:pic>
              </a:graphicData>
            </a:graphic>
          </wp:inline>
        </w:drawing>
      </w:r>
    </w:p>
    <w:p w14:paraId="263E7250" w14:textId="15029F69" w:rsidR="00020AC6" w:rsidRDefault="00353C21" w:rsidP="00406BB9">
      <w:pPr>
        <w:spacing w:line="360" w:lineRule="auto"/>
        <w:rPr>
          <w:b/>
          <w:sz w:val="24"/>
        </w:rPr>
      </w:pPr>
      <w:r>
        <w:rPr>
          <w:b/>
          <w:sz w:val="24"/>
        </w:rPr>
        <w:t>F</w:t>
      </w:r>
      <w:r>
        <w:rPr>
          <w:rFonts w:hint="eastAsia"/>
          <w:b/>
          <w:sz w:val="24"/>
        </w:rPr>
        <w:t>igure</w:t>
      </w:r>
      <w:r>
        <w:rPr>
          <w:b/>
          <w:sz w:val="24"/>
        </w:rPr>
        <w:t xml:space="preserve"> </w:t>
      </w:r>
      <w:r>
        <w:rPr>
          <w:rFonts w:hint="eastAsia"/>
          <w:b/>
          <w:sz w:val="24"/>
        </w:rPr>
        <w:t>S</w:t>
      </w:r>
      <w:r>
        <w:rPr>
          <w:b/>
          <w:sz w:val="24"/>
        </w:rPr>
        <w:t>1.</w:t>
      </w:r>
      <w:r>
        <w:rPr>
          <w:sz w:val="24"/>
        </w:rPr>
        <w:t xml:space="preserve"> </w:t>
      </w:r>
      <w:r w:rsidRPr="00353C21">
        <w:rPr>
          <w:b/>
          <w:sz w:val="24"/>
        </w:rPr>
        <w:t xml:space="preserve">Sequence alignment of </w:t>
      </w:r>
      <w:r w:rsidRPr="00353C21">
        <w:rPr>
          <w:rFonts w:hint="eastAsia"/>
          <w:b/>
          <w:sz w:val="24"/>
        </w:rPr>
        <w:t xml:space="preserve">miR-7-5p </w:t>
      </w:r>
      <w:r w:rsidRPr="00353C21">
        <w:rPr>
          <w:b/>
          <w:sz w:val="24"/>
        </w:rPr>
        <w:t xml:space="preserve">among </w:t>
      </w:r>
      <w:r w:rsidRPr="00353C21">
        <w:rPr>
          <w:b/>
          <w:i/>
          <w:sz w:val="24"/>
        </w:rPr>
        <w:t>Schistosoma japonicum</w:t>
      </w:r>
      <w:r w:rsidRPr="00353C21">
        <w:rPr>
          <w:b/>
          <w:sz w:val="24"/>
        </w:rPr>
        <w:t>,</w:t>
      </w:r>
      <w:r w:rsidRPr="00353C21">
        <w:rPr>
          <w:b/>
          <w:i/>
          <w:sz w:val="24"/>
        </w:rPr>
        <w:t xml:space="preserve"> mouse </w:t>
      </w:r>
      <w:r w:rsidRPr="00353C21">
        <w:rPr>
          <w:rFonts w:hint="eastAsia"/>
          <w:b/>
          <w:sz w:val="24"/>
        </w:rPr>
        <w:t xml:space="preserve">and </w:t>
      </w:r>
      <w:r w:rsidRPr="00353C21">
        <w:rPr>
          <w:b/>
          <w:sz w:val="24"/>
        </w:rPr>
        <w:t xml:space="preserve">human. </w:t>
      </w:r>
    </w:p>
    <w:p w14:paraId="097C12BA" w14:textId="3919E028" w:rsidR="004C3056" w:rsidRDefault="00FE29AE" w:rsidP="003D3A3B">
      <w:pPr>
        <w:spacing w:line="360" w:lineRule="auto"/>
        <w:jc w:val="center"/>
        <w:rPr>
          <w:sz w:val="24"/>
        </w:rPr>
      </w:pPr>
      <w:r>
        <w:rPr>
          <w:rFonts w:hint="eastAsia"/>
          <w:noProof/>
          <w:sz w:val="24"/>
        </w:rPr>
        <w:drawing>
          <wp:inline distT="0" distB="0" distL="0" distR="0" wp14:anchorId="3D75C0E0" wp14:editId="62550DEB">
            <wp:extent cx="4579620" cy="3272029"/>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附件_页面_2.tiff"/>
                    <pic:cNvPicPr/>
                  </pic:nvPicPr>
                  <pic:blipFill rotWithShape="1">
                    <a:blip r:embed="rId5" cstate="print">
                      <a:extLst>
                        <a:ext uri="{28A0092B-C50C-407E-A947-70E740481C1C}">
                          <a14:useLocalDpi xmlns:a14="http://schemas.microsoft.com/office/drawing/2010/main" val="0"/>
                        </a:ext>
                      </a:extLst>
                    </a:blip>
                    <a:srcRect l="2381" t="5896" r="7167" b="7936"/>
                    <a:stretch/>
                  </pic:blipFill>
                  <pic:spPr bwMode="auto">
                    <a:xfrm>
                      <a:off x="0" y="0"/>
                      <a:ext cx="4599495" cy="3286229"/>
                    </a:xfrm>
                    <a:prstGeom prst="rect">
                      <a:avLst/>
                    </a:prstGeom>
                    <a:ln>
                      <a:noFill/>
                    </a:ln>
                    <a:extLst>
                      <a:ext uri="{53640926-AAD7-44D8-BBD7-CCE9431645EC}">
                        <a14:shadowObscured xmlns:a14="http://schemas.microsoft.com/office/drawing/2010/main"/>
                      </a:ext>
                    </a:extLst>
                  </pic:spPr>
                </pic:pic>
              </a:graphicData>
            </a:graphic>
          </wp:inline>
        </w:drawing>
      </w:r>
    </w:p>
    <w:p w14:paraId="653776D9" w14:textId="7B20D4F4" w:rsidR="003440E3" w:rsidRPr="00561E08" w:rsidRDefault="00353C21" w:rsidP="003440E3">
      <w:pPr>
        <w:spacing w:line="360" w:lineRule="auto"/>
        <w:rPr>
          <w:b/>
          <w:color w:val="FF0000"/>
          <w:sz w:val="24"/>
        </w:rPr>
      </w:pPr>
      <w:r>
        <w:rPr>
          <w:rFonts w:hint="eastAsia"/>
          <w:b/>
          <w:sz w:val="24"/>
        </w:rPr>
        <w:t>F</w:t>
      </w:r>
      <w:r>
        <w:rPr>
          <w:b/>
          <w:sz w:val="24"/>
        </w:rPr>
        <w:t>igure S2.</w:t>
      </w:r>
      <w:r w:rsidRPr="00353C21">
        <w:rPr>
          <w:rFonts w:hint="eastAsia"/>
          <w:b/>
          <w:sz w:val="24"/>
        </w:rPr>
        <w:t xml:space="preserve"> </w:t>
      </w:r>
      <w:r w:rsidR="003440E3" w:rsidRPr="00561E08">
        <w:rPr>
          <w:color w:val="FF0000"/>
          <w:sz w:val="24"/>
        </w:rPr>
        <w:t xml:space="preserve">(A) </w:t>
      </w:r>
      <w:r w:rsidR="003440E3" w:rsidRPr="00561E08">
        <w:rPr>
          <w:rStyle w:val="apple-converted-space"/>
          <w:color w:val="FF0000"/>
          <w:sz w:val="24"/>
        </w:rPr>
        <w:t xml:space="preserve">The sequence alignment of the amplified mature </w:t>
      </w:r>
      <w:r w:rsidR="003440E3" w:rsidRPr="00561E08">
        <w:rPr>
          <w:color w:val="FF0000"/>
          <w:sz w:val="24"/>
        </w:rPr>
        <w:t>sja-miR-7-5p in infected hepatocytes and its reference sequence</w:t>
      </w:r>
      <w:r w:rsidR="003440E3" w:rsidRPr="00561E08">
        <w:rPr>
          <w:rStyle w:val="apple-converted-space"/>
          <w:color w:val="FF0000"/>
          <w:sz w:val="24"/>
        </w:rPr>
        <w:t xml:space="preserve">. (B) </w:t>
      </w:r>
      <w:r w:rsidR="003440E3" w:rsidRPr="00561E08">
        <w:rPr>
          <w:color w:val="FF0000"/>
          <w:sz w:val="24"/>
        </w:rPr>
        <w:t xml:space="preserve">Expression of sja-miR-7-5p at various developmental stages of </w:t>
      </w:r>
      <w:r w:rsidR="003440E3" w:rsidRPr="00561E08">
        <w:rPr>
          <w:i/>
          <w:iCs/>
          <w:color w:val="FF0000"/>
          <w:sz w:val="24"/>
        </w:rPr>
        <w:t xml:space="preserve">Schistosoma japonicum. </w:t>
      </w:r>
      <w:r w:rsidR="003440E3" w:rsidRPr="00561E08">
        <w:rPr>
          <w:iCs/>
          <w:color w:val="FF0000"/>
          <w:sz w:val="24"/>
        </w:rPr>
        <w:t xml:space="preserve">The miRNA expression at </w:t>
      </w:r>
      <w:r w:rsidR="003440E3" w:rsidRPr="00561E08">
        <w:rPr>
          <w:color w:val="FF0000"/>
          <w:sz w:val="24"/>
        </w:rPr>
        <w:t xml:space="preserve">eggs, </w:t>
      </w:r>
      <w:proofErr w:type="spellStart"/>
      <w:r w:rsidR="003440E3" w:rsidRPr="00561E08">
        <w:rPr>
          <w:color w:val="FF0000"/>
          <w:sz w:val="24"/>
        </w:rPr>
        <w:t>miracidia</w:t>
      </w:r>
      <w:proofErr w:type="spellEnd"/>
      <w:r w:rsidR="003440E3" w:rsidRPr="00561E08">
        <w:rPr>
          <w:color w:val="FF0000"/>
          <w:sz w:val="24"/>
        </w:rPr>
        <w:t>, cercariae, schistosomula</w:t>
      </w:r>
      <w:r w:rsidR="003440E3" w:rsidRPr="00561E08">
        <w:rPr>
          <w:rFonts w:hint="eastAsia"/>
          <w:color w:val="FF0000"/>
          <w:sz w:val="24"/>
        </w:rPr>
        <w:t xml:space="preserve"> and</w:t>
      </w:r>
      <w:r w:rsidR="003440E3" w:rsidRPr="00561E08">
        <w:rPr>
          <w:color w:val="FF0000"/>
          <w:sz w:val="24"/>
        </w:rPr>
        <w:t xml:space="preserve"> adult worms (male and female adult worms) were analyzed by </w:t>
      </w:r>
      <w:proofErr w:type="spellStart"/>
      <w:r w:rsidR="00884365" w:rsidRPr="00561E08">
        <w:rPr>
          <w:color w:val="FF0000"/>
          <w:sz w:val="24"/>
        </w:rPr>
        <w:t>q</w:t>
      </w:r>
      <w:r w:rsidR="003440E3" w:rsidRPr="00561E08">
        <w:rPr>
          <w:color w:val="FF0000"/>
          <w:sz w:val="24"/>
        </w:rPr>
        <w:t>RT</w:t>
      </w:r>
      <w:proofErr w:type="spellEnd"/>
      <w:r w:rsidR="003440E3" w:rsidRPr="00561E08">
        <w:rPr>
          <w:color w:val="FF0000"/>
          <w:sz w:val="24"/>
        </w:rPr>
        <w:t xml:space="preserve">-PCR. </w:t>
      </w:r>
      <w:r w:rsidR="003440E3" w:rsidRPr="00561E08">
        <w:rPr>
          <w:i/>
          <w:color w:val="FF0000"/>
          <w:sz w:val="24"/>
        </w:rPr>
        <w:t>Schistosoma japonicum</w:t>
      </w:r>
      <w:r w:rsidR="003440E3" w:rsidRPr="00561E08">
        <w:rPr>
          <w:color w:val="FF0000"/>
          <w:sz w:val="24"/>
        </w:rPr>
        <w:t xml:space="preserve"> U6 as internal control. Data were presented as Mean ± SD of three independent experiments.</w:t>
      </w:r>
    </w:p>
    <w:p w14:paraId="6558ACD4" w14:textId="375343D2" w:rsidR="009034D7" w:rsidRDefault="000F634C" w:rsidP="00BE59D9">
      <w:pPr>
        <w:spacing w:line="360" w:lineRule="auto"/>
        <w:jc w:val="center"/>
        <w:rPr>
          <w:b/>
          <w:sz w:val="24"/>
        </w:rPr>
      </w:pPr>
      <w:bookmarkStart w:id="2" w:name="_GoBack"/>
      <w:r>
        <w:rPr>
          <w:rFonts w:hint="eastAsia"/>
          <w:b/>
          <w:noProof/>
          <w:sz w:val="24"/>
        </w:rPr>
        <w:lastRenderedPageBreak/>
        <w:drawing>
          <wp:inline distT="0" distB="0" distL="0" distR="0" wp14:anchorId="550D8FEC" wp14:editId="4E2A0613">
            <wp:extent cx="5059680" cy="36576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附件_页面_3.tiff"/>
                    <pic:cNvPicPr/>
                  </pic:nvPicPr>
                  <pic:blipFill rotWithShape="1">
                    <a:blip r:embed="rId6" cstate="print">
                      <a:extLst>
                        <a:ext uri="{28A0092B-C50C-407E-A947-70E740481C1C}">
                          <a14:useLocalDpi xmlns:a14="http://schemas.microsoft.com/office/drawing/2010/main" val="0"/>
                        </a:ext>
                      </a:extLst>
                    </a:blip>
                    <a:srcRect b="3614"/>
                    <a:stretch/>
                  </pic:blipFill>
                  <pic:spPr bwMode="auto">
                    <a:xfrm>
                      <a:off x="0" y="0"/>
                      <a:ext cx="5059680" cy="3657600"/>
                    </a:xfrm>
                    <a:prstGeom prst="rect">
                      <a:avLst/>
                    </a:prstGeom>
                    <a:ln>
                      <a:noFill/>
                    </a:ln>
                    <a:extLst>
                      <a:ext uri="{53640926-AAD7-44D8-BBD7-CCE9431645EC}">
                        <a14:shadowObscured xmlns:a14="http://schemas.microsoft.com/office/drawing/2010/main"/>
                      </a:ext>
                    </a:extLst>
                  </pic:spPr>
                </pic:pic>
              </a:graphicData>
            </a:graphic>
          </wp:inline>
        </w:drawing>
      </w:r>
      <w:bookmarkEnd w:id="2"/>
    </w:p>
    <w:p w14:paraId="41728C11" w14:textId="050FCD6B" w:rsidR="001E39A9" w:rsidRPr="00561E08" w:rsidRDefault="00353C21" w:rsidP="00580B3F">
      <w:pPr>
        <w:spacing w:line="360" w:lineRule="auto"/>
        <w:rPr>
          <w:color w:val="FF0000"/>
          <w:sz w:val="24"/>
        </w:rPr>
      </w:pPr>
      <w:r w:rsidRPr="00135F5B">
        <w:rPr>
          <w:rFonts w:hint="eastAsia"/>
          <w:b/>
          <w:sz w:val="24"/>
        </w:rPr>
        <w:t xml:space="preserve">Figure </w:t>
      </w:r>
      <w:r w:rsidRPr="00135F5B">
        <w:rPr>
          <w:b/>
          <w:sz w:val="24"/>
        </w:rPr>
        <w:t>S</w:t>
      </w:r>
      <w:r>
        <w:rPr>
          <w:b/>
          <w:sz w:val="24"/>
        </w:rPr>
        <w:t xml:space="preserve">3. </w:t>
      </w:r>
      <w:r w:rsidR="001E39A9" w:rsidRPr="00561E08">
        <w:rPr>
          <w:color w:val="FF0000"/>
          <w:sz w:val="24"/>
        </w:rPr>
        <w:t>(A)</w:t>
      </w:r>
      <w:r w:rsidR="00DC0BDD" w:rsidRPr="00561E08">
        <w:rPr>
          <w:color w:val="FF0000"/>
          <w:sz w:val="24"/>
        </w:rPr>
        <w:t xml:space="preserve"> </w:t>
      </w:r>
      <w:r w:rsidR="001E39A9" w:rsidRPr="00561E08">
        <w:rPr>
          <w:color w:val="FF0000"/>
          <w:sz w:val="24"/>
        </w:rPr>
        <w:t>Hepa1-6 cells were transfected with sja-miR-7-5p mimics and</w:t>
      </w:r>
      <w:r w:rsidR="00B833CB">
        <w:rPr>
          <w:color w:val="FF0000"/>
          <w:sz w:val="24"/>
        </w:rPr>
        <w:t xml:space="preserve"> </w:t>
      </w:r>
      <w:r w:rsidR="00B833CB" w:rsidRPr="00561E08">
        <w:rPr>
          <w:color w:val="FF0000"/>
          <w:sz w:val="24"/>
        </w:rPr>
        <w:t>negative control</w:t>
      </w:r>
      <w:r w:rsidR="001E39A9" w:rsidRPr="00561E08">
        <w:rPr>
          <w:color w:val="FF0000"/>
          <w:sz w:val="24"/>
        </w:rPr>
        <w:t>(</w:t>
      </w:r>
      <w:r w:rsidR="00B833CB" w:rsidRPr="00561E08">
        <w:rPr>
          <w:color w:val="FF0000"/>
          <w:sz w:val="24"/>
        </w:rPr>
        <w:t>NC</w:t>
      </w:r>
      <w:r w:rsidR="001E39A9" w:rsidRPr="00561E08">
        <w:rPr>
          <w:color w:val="FF0000"/>
          <w:sz w:val="24"/>
        </w:rPr>
        <w:t xml:space="preserve">) mimics, respectively, and 48 h later, the changes in cell morphology were observed under an optical microscope. </w:t>
      </w:r>
      <w:r w:rsidR="00C052AC" w:rsidRPr="00561E08">
        <w:rPr>
          <w:color w:val="FF0000"/>
          <w:sz w:val="24"/>
        </w:rPr>
        <w:t>(B</w:t>
      </w:r>
      <w:r w:rsidR="00D075B6">
        <w:rPr>
          <w:rFonts w:hint="eastAsia"/>
          <w:color w:val="FF0000"/>
          <w:sz w:val="24"/>
        </w:rPr>
        <w:t>-</w:t>
      </w:r>
      <w:r w:rsidR="00D075B6">
        <w:rPr>
          <w:color w:val="FF0000"/>
          <w:sz w:val="24"/>
        </w:rPr>
        <w:t>C</w:t>
      </w:r>
      <w:r w:rsidR="00C052AC" w:rsidRPr="00561E08">
        <w:rPr>
          <w:color w:val="FF0000"/>
          <w:sz w:val="24"/>
        </w:rPr>
        <w:t>)</w:t>
      </w:r>
      <w:r w:rsidR="00DC0BDD" w:rsidRPr="00561E08">
        <w:rPr>
          <w:color w:val="FF0000"/>
          <w:sz w:val="24"/>
        </w:rPr>
        <w:t xml:space="preserve"> </w:t>
      </w:r>
      <w:r w:rsidR="001E39A9" w:rsidRPr="00561E08">
        <w:rPr>
          <w:color w:val="FF0000"/>
          <w:sz w:val="24"/>
        </w:rPr>
        <w:t>Cell migration was evaluated using wound-healing assay. Data are presented as the mean ± SD, n = 3, *</w:t>
      </w:r>
      <w:r w:rsidR="001E39A9" w:rsidRPr="00561E08">
        <w:rPr>
          <w:i/>
          <w:color w:val="FF0000"/>
          <w:sz w:val="24"/>
        </w:rPr>
        <w:t xml:space="preserve">p </w:t>
      </w:r>
      <w:r w:rsidR="001E39A9" w:rsidRPr="00561E08">
        <w:rPr>
          <w:color w:val="FF0000"/>
          <w:sz w:val="24"/>
        </w:rPr>
        <w:t>&lt; 0.05, **</w:t>
      </w:r>
      <w:r w:rsidR="001E39A9" w:rsidRPr="00561E08">
        <w:rPr>
          <w:i/>
          <w:color w:val="FF0000"/>
          <w:sz w:val="24"/>
        </w:rPr>
        <w:t xml:space="preserve">p </w:t>
      </w:r>
      <w:r w:rsidR="001E39A9" w:rsidRPr="00561E08">
        <w:rPr>
          <w:color w:val="FF0000"/>
          <w:sz w:val="24"/>
        </w:rPr>
        <w:t>&lt; 0.01.</w:t>
      </w:r>
    </w:p>
    <w:p w14:paraId="0A1382FB" w14:textId="77777777" w:rsidR="00020AC6" w:rsidRPr="00880D44" w:rsidRDefault="00020AC6" w:rsidP="00561E08">
      <w:pPr>
        <w:tabs>
          <w:tab w:val="left" w:pos="3528"/>
        </w:tabs>
        <w:spacing w:line="360" w:lineRule="auto"/>
        <w:rPr>
          <w:b/>
          <w:sz w:val="24"/>
        </w:rPr>
      </w:pPr>
    </w:p>
    <w:p w14:paraId="79607EFC" w14:textId="00CC6F96" w:rsidR="009034D7" w:rsidRPr="00DA3E74" w:rsidRDefault="0023122E" w:rsidP="00796275">
      <w:pPr>
        <w:spacing w:line="360" w:lineRule="auto"/>
        <w:rPr>
          <w:b/>
          <w:sz w:val="32"/>
          <w:szCs w:val="32"/>
        </w:rPr>
      </w:pPr>
      <w:r w:rsidRPr="00DA3E74">
        <w:rPr>
          <w:b/>
          <w:sz w:val="32"/>
          <w:szCs w:val="32"/>
        </w:rPr>
        <w:t>SUPPLEMENTARY REFERENCES</w:t>
      </w:r>
    </w:p>
    <w:p w14:paraId="0FF8D6C1" w14:textId="77777777" w:rsidR="00DF1A55" w:rsidRPr="00DF1A55" w:rsidRDefault="009034D7" w:rsidP="00796275">
      <w:pPr>
        <w:pStyle w:val="EndNoteBibliography"/>
        <w:spacing w:line="360" w:lineRule="auto"/>
        <w:ind w:left="720" w:hanging="720"/>
      </w:pPr>
      <w:r>
        <w:rPr>
          <w:sz w:val="24"/>
        </w:rPr>
        <w:fldChar w:fldCharType="begin"/>
      </w:r>
      <w:r>
        <w:rPr>
          <w:sz w:val="24"/>
        </w:rPr>
        <w:instrText xml:space="preserve"> ADDIN EN.REFLIST </w:instrText>
      </w:r>
      <w:r>
        <w:rPr>
          <w:sz w:val="24"/>
        </w:rPr>
        <w:fldChar w:fldCharType="separate"/>
      </w:r>
      <w:r w:rsidR="00DF1A55" w:rsidRPr="00DF1A55">
        <w:t xml:space="preserve">Hu, C., Zhu, L.H., Luo, R., Dao, J.W., Zhao, J.P., Shi, Y.J., et al. (2014). Evaluation of protective immune response in mice by vaccination the recombinant adenovirus for expressing Schistosoma japonicum inhibitor apoptosis protein. </w:t>
      </w:r>
      <w:r w:rsidR="00DF1A55" w:rsidRPr="00DF1A55">
        <w:rPr>
          <w:i/>
        </w:rPr>
        <w:t>Parasitology Research</w:t>
      </w:r>
      <w:r w:rsidR="00DF1A55" w:rsidRPr="00DF1A55">
        <w:t xml:space="preserve"> 113(11)</w:t>
      </w:r>
      <w:r w:rsidR="00DF1A55" w:rsidRPr="00DF1A55">
        <w:rPr>
          <w:b/>
        </w:rPr>
        <w:t>,</w:t>
      </w:r>
      <w:r w:rsidR="00DF1A55" w:rsidRPr="00DF1A55">
        <w:t xml:space="preserve"> 4261-4269. doi: 10.1007/s00436-014-4104-5.</w:t>
      </w:r>
    </w:p>
    <w:p w14:paraId="0FF56A25" w14:textId="77777777" w:rsidR="00DF1A55" w:rsidRPr="00DF1A55" w:rsidRDefault="00DF1A55" w:rsidP="00796275">
      <w:pPr>
        <w:pStyle w:val="EndNoteBibliography"/>
        <w:spacing w:line="360" w:lineRule="auto"/>
        <w:ind w:left="720" w:hanging="720"/>
      </w:pPr>
      <w:r w:rsidRPr="00DF1A55">
        <w:t xml:space="preserve">Zhu, S.L., Wang, S., Lin, Y., Jiang, P.Y., Cui, X.B., Wang, X.Y., et al. (2016). Release of extracellular vesicles containing small RNAs from the eggs of Schistosoma japonicum. </w:t>
      </w:r>
      <w:r w:rsidRPr="00DF1A55">
        <w:rPr>
          <w:i/>
        </w:rPr>
        <w:t>Parasites &amp; Vectors</w:t>
      </w:r>
      <w:r w:rsidRPr="00DF1A55">
        <w:t xml:space="preserve"> 9.</w:t>
      </w:r>
    </w:p>
    <w:p w14:paraId="03B73DD0" w14:textId="58E3097C" w:rsidR="00C97379" w:rsidRPr="00A2189D" w:rsidRDefault="009034D7" w:rsidP="00796275">
      <w:pPr>
        <w:spacing w:line="360" w:lineRule="auto"/>
        <w:rPr>
          <w:sz w:val="24"/>
        </w:rPr>
      </w:pPr>
      <w:r>
        <w:rPr>
          <w:sz w:val="24"/>
        </w:rPr>
        <w:fldChar w:fldCharType="end"/>
      </w:r>
    </w:p>
    <w:sectPr w:rsidR="00C97379" w:rsidRPr="00A2189D" w:rsidSect="00947471">
      <w:pgSz w:w="11906" w:h="16838"/>
      <w:pgMar w:top="1440" w:right="1800" w:bottom="1440" w:left="1800" w:header="851" w:footer="992" w:gutter="0"/>
      <w:lnNumType w:countBy="1" w:restart="continuous"/>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MinionPro-Regular">
    <w:altName w:val="宋体"/>
    <w:charset w:val="86"/>
    <w:family w:val="roman"/>
    <w:pitch w:val="default"/>
    <w:sig w:usb0="00000000" w:usb1="00000000" w:usb2="00000010" w:usb3="00000000" w:csb0="00040000" w:csb1="00000000"/>
  </w:font>
  <w:font w:name="AdvAGaramond-R">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rontiers-Science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xv5a5zk2t2ekea55555xshxf909ezasz9f&quot;&gt;miR-7文献  2018.7.12整理&lt;record-ids&gt;&lt;item&gt;1&lt;/item&gt;&lt;/record-ids&gt;&lt;/item&gt;&lt;/Libraries&gt;"/>
  </w:docVars>
  <w:rsids>
    <w:rsidRoot w:val="009449AC"/>
    <w:rsid w:val="00002C19"/>
    <w:rsid w:val="000036C9"/>
    <w:rsid w:val="000141AC"/>
    <w:rsid w:val="00020AC6"/>
    <w:rsid w:val="000225E0"/>
    <w:rsid w:val="00023C5B"/>
    <w:rsid w:val="00082291"/>
    <w:rsid w:val="00084832"/>
    <w:rsid w:val="00091586"/>
    <w:rsid w:val="000C5D29"/>
    <w:rsid w:val="000C7161"/>
    <w:rsid w:val="000E637B"/>
    <w:rsid w:val="000F3AC6"/>
    <w:rsid w:val="000F634C"/>
    <w:rsid w:val="000F73BB"/>
    <w:rsid w:val="00134B30"/>
    <w:rsid w:val="00145DA1"/>
    <w:rsid w:val="00167FE8"/>
    <w:rsid w:val="00181084"/>
    <w:rsid w:val="00182ECF"/>
    <w:rsid w:val="001943CC"/>
    <w:rsid w:val="001958D0"/>
    <w:rsid w:val="001A161B"/>
    <w:rsid w:val="001A4D4F"/>
    <w:rsid w:val="001B32FE"/>
    <w:rsid w:val="001B5421"/>
    <w:rsid w:val="001C4DA6"/>
    <w:rsid w:val="001D676F"/>
    <w:rsid w:val="001E39A9"/>
    <w:rsid w:val="00206F4D"/>
    <w:rsid w:val="002073D8"/>
    <w:rsid w:val="0023080A"/>
    <w:rsid w:val="0023122E"/>
    <w:rsid w:val="0023226C"/>
    <w:rsid w:val="00236497"/>
    <w:rsid w:val="00236AA5"/>
    <w:rsid w:val="00242AC0"/>
    <w:rsid w:val="002555C8"/>
    <w:rsid w:val="00262AF5"/>
    <w:rsid w:val="002A1DA4"/>
    <w:rsid w:val="002A3918"/>
    <w:rsid w:val="002B2460"/>
    <w:rsid w:val="002C343C"/>
    <w:rsid w:val="002F10E7"/>
    <w:rsid w:val="00310281"/>
    <w:rsid w:val="00315B24"/>
    <w:rsid w:val="00324ABF"/>
    <w:rsid w:val="00336456"/>
    <w:rsid w:val="003440E3"/>
    <w:rsid w:val="0034431B"/>
    <w:rsid w:val="00344F0D"/>
    <w:rsid w:val="00353C21"/>
    <w:rsid w:val="0036239D"/>
    <w:rsid w:val="003A5393"/>
    <w:rsid w:val="003A5399"/>
    <w:rsid w:val="003A60D7"/>
    <w:rsid w:val="003D3A3B"/>
    <w:rsid w:val="003D505B"/>
    <w:rsid w:val="00406BB9"/>
    <w:rsid w:val="004107D5"/>
    <w:rsid w:val="0042611C"/>
    <w:rsid w:val="00431358"/>
    <w:rsid w:val="00445D79"/>
    <w:rsid w:val="00450A44"/>
    <w:rsid w:val="004548D2"/>
    <w:rsid w:val="00462168"/>
    <w:rsid w:val="00475A5D"/>
    <w:rsid w:val="00485F67"/>
    <w:rsid w:val="004A0240"/>
    <w:rsid w:val="004A15E0"/>
    <w:rsid w:val="004A4227"/>
    <w:rsid w:val="004C3056"/>
    <w:rsid w:val="004C4681"/>
    <w:rsid w:val="004D28BD"/>
    <w:rsid w:val="004E3BBE"/>
    <w:rsid w:val="004F2CF4"/>
    <w:rsid w:val="00507237"/>
    <w:rsid w:val="00511858"/>
    <w:rsid w:val="005240BC"/>
    <w:rsid w:val="00534DF3"/>
    <w:rsid w:val="00540226"/>
    <w:rsid w:val="00540E91"/>
    <w:rsid w:val="00561E08"/>
    <w:rsid w:val="005751ED"/>
    <w:rsid w:val="00580B3F"/>
    <w:rsid w:val="00583586"/>
    <w:rsid w:val="00592FDB"/>
    <w:rsid w:val="005A3AC5"/>
    <w:rsid w:val="005C147B"/>
    <w:rsid w:val="006058E7"/>
    <w:rsid w:val="00611376"/>
    <w:rsid w:val="00624B6E"/>
    <w:rsid w:val="006256D6"/>
    <w:rsid w:val="0065200A"/>
    <w:rsid w:val="00677709"/>
    <w:rsid w:val="00685035"/>
    <w:rsid w:val="006B773E"/>
    <w:rsid w:val="006D45E4"/>
    <w:rsid w:val="006E1571"/>
    <w:rsid w:val="006F28E4"/>
    <w:rsid w:val="006F2E59"/>
    <w:rsid w:val="00710E14"/>
    <w:rsid w:val="00711BEF"/>
    <w:rsid w:val="007121DE"/>
    <w:rsid w:val="00717C35"/>
    <w:rsid w:val="00732E0B"/>
    <w:rsid w:val="00747F55"/>
    <w:rsid w:val="00756986"/>
    <w:rsid w:val="0076004D"/>
    <w:rsid w:val="00780DD3"/>
    <w:rsid w:val="00796275"/>
    <w:rsid w:val="007B0B24"/>
    <w:rsid w:val="007E63FA"/>
    <w:rsid w:val="007F12BE"/>
    <w:rsid w:val="0081129A"/>
    <w:rsid w:val="00817FE7"/>
    <w:rsid w:val="008254A8"/>
    <w:rsid w:val="008324C3"/>
    <w:rsid w:val="00842DA8"/>
    <w:rsid w:val="00845623"/>
    <w:rsid w:val="008470C2"/>
    <w:rsid w:val="0085195A"/>
    <w:rsid w:val="008540DD"/>
    <w:rsid w:val="008721ED"/>
    <w:rsid w:val="00880D44"/>
    <w:rsid w:val="00884365"/>
    <w:rsid w:val="00894ADF"/>
    <w:rsid w:val="008A163F"/>
    <w:rsid w:val="008B3C5B"/>
    <w:rsid w:val="008F3C69"/>
    <w:rsid w:val="00900F1C"/>
    <w:rsid w:val="009034D7"/>
    <w:rsid w:val="00915198"/>
    <w:rsid w:val="009449AC"/>
    <w:rsid w:val="00947471"/>
    <w:rsid w:val="00977928"/>
    <w:rsid w:val="009821A8"/>
    <w:rsid w:val="009854CA"/>
    <w:rsid w:val="00986F0F"/>
    <w:rsid w:val="00987996"/>
    <w:rsid w:val="00990AD2"/>
    <w:rsid w:val="009B64F6"/>
    <w:rsid w:val="009C1AD6"/>
    <w:rsid w:val="009C4572"/>
    <w:rsid w:val="009D50C8"/>
    <w:rsid w:val="00A11C57"/>
    <w:rsid w:val="00A2189D"/>
    <w:rsid w:val="00A37525"/>
    <w:rsid w:val="00A424AF"/>
    <w:rsid w:val="00A44762"/>
    <w:rsid w:val="00A764E0"/>
    <w:rsid w:val="00A8535B"/>
    <w:rsid w:val="00A85B40"/>
    <w:rsid w:val="00A86E4C"/>
    <w:rsid w:val="00AA1AED"/>
    <w:rsid w:val="00AB5B88"/>
    <w:rsid w:val="00AC56DD"/>
    <w:rsid w:val="00AD3CCA"/>
    <w:rsid w:val="00AD6EC2"/>
    <w:rsid w:val="00B024C2"/>
    <w:rsid w:val="00B126CB"/>
    <w:rsid w:val="00B33026"/>
    <w:rsid w:val="00B557AB"/>
    <w:rsid w:val="00B56676"/>
    <w:rsid w:val="00B57F45"/>
    <w:rsid w:val="00B76067"/>
    <w:rsid w:val="00B833CB"/>
    <w:rsid w:val="00B855FB"/>
    <w:rsid w:val="00BB396B"/>
    <w:rsid w:val="00BC2147"/>
    <w:rsid w:val="00BC6BA1"/>
    <w:rsid w:val="00BD0B40"/>
    <w:rsid w:val="00BE59D9"/>
    <w:rsid w:val="00C052AC"/>
    <w:rsid w:val="00C17A47"/>
    <w:rsid w:val="00C208FF"/>
    <w:rsid w:val="00C21858"/>
    <w:rsid w:val="00C51D20"/>
    <w:rsid w:val="00C57678"/>
    <w:rsid w:val="00C6038D"/>
    <w:rsid w:val="00C66322"/>
    <w:rsid w:val="00C92388"/>
    <w:rsid w:val="00C93307"/>
    <w:rsid w:val="00C9343E"/>
    <w:rsid w:val="00C94593"/>
    <w:rsid w:val="00C97379"/>
    <w:rsid w:val="00CD0F3F"/>
    <w:rsid w:val="00CD535C"/>
    <w:rsid w:val="00CF6124"/>
    <w:rsid w:val="00D07292"/>
    <w:rsid w:val="00D075B6"/>
    <w:rsid w:val="00D10314"/>
    <w:rsid w:val="00D15F9F"/>
    <w:rsid w:val="00D20361"/>
    <w:rsid w:val="00D22E4A"/>
    <w:rsid w:val="00D366AC"/>
    <w:rsid w:val="00D46571"/>
    <w:rsid w:val="00D5140D"/>
    <w:rsid w:val="00D54AD6"/>
    <w:rsid w:val="00D674DE"/>
    <w:rsid w:val="00D86E3B"/>
    <w:rsid w:val="00DA0F8A"/>
    <w:rsid w:val="00DA3E74"/>
    <w:rsid w:val="00DA413C"/>
    <w:rsid w:val="00DA4B1E"/>
    <w:rsid w:val="00DB16A8"/>
    <w:rsid w:val="00DB2BB4"/>
    <w:rsid w:val="00DC0BDD"/>
    <w:rsid w:val="00DC7F67"/>
    <w:rsid w:val="00DE2FE5"/>
    <w:rsid w:val="00DF1A55"/>
    <w:rsid w:val="00E01D00"/>
    <w:rsid w:val="00E1707E"/>
    <w:rsid w:val="00E22BD2"/>
    <w:rsid w:val="00E302BC"/>
    <w:rsid w:val="00E311D5"/>
    <w:rsid w:val="00E43113"/>
    <w:rsid w:val="00E454AE"/>
    <w:rsid w:val="00E767AC"/>
    <w:rsid w:val="00E855DD"/>
    <w:rsid w:val="00E9251A"/>
    <w:rsid w:val="00EA0518"/>
    <w:rsid w:val="00EA0631"/>
    <w:rsid w:val="00EA1B1D"/>
    <w:rsid w:val="00EB4B7C"/>
    <w:rsid w:val="00EB5394"/>
    <w:rsid w:val="00ED1EF0"/>
    <w:rsid w:val="00EE06C4"/>
    <w:rsid w:val="00EE46FD"/>
    <w:rsid w:val="00F17031"/>
    <w:rsid w:val="00F232AF"/>
    <w:rsid w:val="00F44830"/>
    <w:rsid w:val="00F452FC"/>
    <w:rsid w:val="00F564E3"/>
    <w:rsid w:val="00F75EB2"/>
    <w:rsid w:val="00F8499E"/>
    <w:rsid w:val="00FB2E96"/>
    <w:rsid w:val="00FD3523"/>
    <w:rsid w:val="00FD4FD2"/>
    <w:rsid w:val="00FE29AE"/>
    <w:rsid w:val="00FE4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1D7E3"/>
  <w15:chartTrackingRefBased/>
  <w15:docId w15:val="{BEB39051-1841-4DBE-A474-97D1BCFBC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737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qFormat/>
    <w:rsid w:val="00C97379"/>
    <w:rPr>
      <w:lang w:val="en-US"/>
    </w:rPr>
  </w:style>
  <w:style w:type="paragraph" w:customStyle="1" w:styleId="A3">
    <w:name w:val="正文 A"/>
    <w:rsid w:val="00D674DE"/>
    <w:pPr>
      <w:widowControl w:val="0"/>
      <w:jc w:val="both"/>
    </w:pPr>
    <w:rPr>
      <w:rFonts w:ascii="Calibri" w:eastAsia="Calibri" w:hAnsi="Calibri" w:cs="Calibri"/>
      <w:color w:val="000000"/>
      <w:szCs w:val="21"/>
      <w:u w:color="000000"/>
    </w:rPr>
  </w:style>
  <w:style w:type="paragraph" w:styleId="a4">
    <w:name w:val="annotation text"/>
    <w:basedOn w:val="a"/>
    <w:link w:val="a5"/>
    <w:semiHidden/>
    <w:unhideWhenUsed/>
    <w:rsid w:val="000F3AC6"/>
    <w:pPr>
      <w:jc w:val="left"/>
    </w:pPr>
  </w:style>
  <w:style w:type="character" w:customStyle="1" w:styleId="a5">
    <w:name w:val="批注文字 字符"/>
    <w:basedOn w:val="a0"/>
    <w:link w:val="a4"/>
    <w:uiPriority w:val="99"/>
    <w:semiHidden/>
    <w:rsid w:val="000F3AC6"/>
    <w:rPr>
      <w:rFonts w:ascii="Times New Roman" w:eastAsia="宋体" w:hAnsi="Times New Roman" w:cs="Times New Roman"/>
      <w:szCs w:val="24"/>
    </w:rPr>
  </w:style>
  <w:style w:type="character" w:styleId="a6">
    <w:name w:val="annotation reference"/>
    <w:semiHidden/>
    <w:unhideWhenUsed/>
    <w:rsid w:val="000F3AC6"/>
    <w:rPr>
      <w:sz w:val="21"/>
      <w:szCs w:val="21"/>
    </w:rPr>
  </w:style>
  <w:style w:type="paragraph" w:styleId="a7">
    <w:name w:val="Balloon Text"/>
    <w:basedOn w:val="a"/>
    <w:link w:val="a8"/>
    <w:uiPriority w:val="99"/>
    <w:semiHidden/>
    <w:unhideWhenUsed/>
    <w:rsid w:val="000F3AC6"/>
    <w:rPr>
      <w:sz w:val="18"/>
      <w:szCs w:val="18"/>
    </w:rPr>
  </w:style>
  <w:style w:type="character" w:customStyle="1" w:styleId="a8">
    <w:name w:val="批注框文本 字符"/>
    <w:basedOn w:val="a0"/>
    <w:link w:val="a7"/>
    <w:uiPriority w:val="99"/>
    <w:semiHidden/>
    <w:rsid w:val="000F3AC6"/>
    <w:rPr>
      <w:rFonts w:ascii="Times New Roman" w:eastAsia="宋体" w:hAnsi="Times New Roman" w:cs="Times New Roman"/>
      <w:sz w:val="18"/>
      <w:szCs w:val="18"/>
    </w:rPr>
  </w:style>
  <w:style w:type="character" w:styleId="a9">
    <w:name w:val="Hyperlink"/>
    <w:basedOn w:val="a0"/>
    <w:uiPriority w:val="99"/>
    <w:semiHidden/>
    <w:unhideWhenUsed/>
    <w:rsid w:val="00CD0F3F"/>
    <w:rPr>
      <w:color w:val="0563C1" w:themeColor="hyperlink"/>
      <w:u w:val="single"/>
    </w:rPr>
  </w:style>
  <w:style w:type="paragraph" w:styleId="aa">
    <w:name w:val="annotation subject"/>
    <w:basedOn w:val="a4"/>
    <w:next w:val="a4"/>
    <w:link w:val="ab"/>
    <w:uiPriority w:val="99"/>
    <w:semiHidden/>
    <w:unhideWhenUsed/>
    <w:rsid w:val="00206F4D"/>
    <w:rPr>
      <w:b/>
      <w:bCs/>
    </w:rPr>
  </w:style>
  <w:style w:type="character" w:customStyle="1" w:styleId="ab">
    <w:name w:val="批注主题 字符"/>
    <w:basedOn w:val="a5"/>
    <w:link w:val="aa"/>
    <w:uiPriority w:val="99"/>
    <w:semiHidden/>
    <w:rsid w:val="00206F4D"/>
    <w:rPr>
      <w:rFonts w:ascii="Times New Roman" w:eastAsia="宋体" w:hAnsi="Times New Roman" w:cs="Times New Roman"/>
      <w:b/>
      <w:bCs/>
      <w:szCs w:val="24"/>
    </w:rPr>
  </w:style>
  <w:style w:type="paragraph" w:customStyle="1" w:styleId="EndNoteBibliographyTitle">
    <w:name w:val="EndNote Bibliography Title"/>
    <w:basedOn w:val="a"/>
    <w:link w:val="EndNoteBibliographyTitle0"/>
    <w:rsid w:val="009034D7"/>
    <w:pPr>
      <w:jc w:val="center"/>
    </w:pPr>
    <w:rPr>
      <w:noProof/>
      <w:sz w:val="20"/>
    </w:rPr>
  </w:style>
  <w:style w:type="character" w:customStyle="1" w:styleId="EndNoteBibliographyTitle0">
    <w:name w:val="EndNote Bibliography Title 字符"/>
    <w:basedOn w:val="a0"/>
    <w:link w:val="EndNoteBibliographyTitle"/>
    <w:rsid w:val="009034D7"/>
    <w:rPr>
      <w:rFonts w:ascii="Times New Roman" w:eastAsia="宋体" w:hAnsi="Times New Roman" w:cs="Times New Roman"/>
      <w:noProof/>
      <w:sz w:val="20"/>
      <w:szCs w:val="24"/>
    </w:rPr>
  </w:style>
  <w:style w:type="paragraph" w:customStyle="1" w:styleId="EndNoteBibliography">
    <w:name w:val="EndNote Bibliography"/>
    <w:basedOn w:val="a"/>
    <w:link w:val="EndNoteBibliography0"/>
    <w:rsid w:val="009034D7"/>
    <w:rPr>
      <w:noProof/>
      <w:sz w:val="20"/>
    </w:rPr>
  </w:style>
  <w:style w:type="character" w:customStyle="1" w:styleId="EndNoteBibliography0">
    <w:name w:val="EndNote Bibliography 字符"/>
    <w:basedOn w:val="a0"/>
    <w:link w:val="EndNoteBibliography"/>
    <w:rsid w:val="009034D7"/>
    <w:rPr>
      <w:rFonts w:ascii="Times New Roman" w:eastAsia="宋体" w:hAnsi="Times New Roman" w:cs="Times New Roman"/>
      <w:noProof/>
      <w:sz w:val="20"/>
      <w:szCs w:val="24"/>
    </w:rPr>
  </w:style>
  <w:style w:type="paragraph" w:customStyle="1" w:styleId="2">
    <w:name w:val="正文2"/>
    <w:rsid w:val="0065200A"/>
    <w:pPr>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afterLines="50" w:line="360" w:lineRule="auto"/>
    </w:pPr>
    <w:rPr>
      <w:rFonts w:ascii="Times New Roman" w:eastAsia="等线" w:hAnsi="Times New Roman" w:cs="Times New Roman"/>
      <w:color w:val="000000"/>
      <w:kern w:val="0"/>
      <w:sz w:val="24"/>
      <w:szCs w:val="20"/>
    </w:rPr>
  </w:style>
  <w:style w:type="character" w:customStyle="1" w:styleId="1">
    <w:name w:val="批注文字 字符1"/>
    <w:semiHidden/>
    <w:rsid w:val="0065200A"/>
    <w:rPr>
      <w:rFonts w:ascii="Times New Roman" w:hAnsi="Times New Roman"/>
      <w:noProof/>
      <w:szCs w:val="24"/>
      <w:lang w:val="x-none" w:eastAsia="x-none"/>
    </w:rPr>
  </w:style>
  <w:style w:type="paragraph" w:customStyle="1" w:styleId="Default">
    <w:name w:val="Default"/>
    <w:qFormat/>
    <w:rsid w:val="0065200A"/>
    <w:pPr>
      <w:widowControl w:val="0"/>
      <w:autoSpaceDE w:val="0"/>
      <w:autoSpaceDN w:val="0"/>
      <w:adjustRightInd w:val="0"/>
    </w:pPr>
    <w:rPr>
      <w:rFonts w:ascii="Times New Roman" w:eastAsia="宋体" w:hAnsi="Times New Roman" w:cs="Times New Roman"/>
      <w:color w:val="000000"/>
      <w:kern w:val="0"/>
      <w:sz w:val="24"/>
      <w:szCs w:val="24"/>
      <w:lang w:val="en-GB" w:eastAsia="en-GB"/>
    </w:rPr>
  </w:style>
  <w:style w:type="character" w:styleId="ac">
    <w:name w:val="line number"/>
    <w:basedOn w:val="a0"/>
    <w:uiPriority w:val="99"/>
    <w:semiHidden/>
    <w:unhideWhenUsed/>
    <w:rsid w:val="00947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76345">
      <w:bodyDiv w:val="1"/>
      <w:marLeft w:val="0"/>
      <w:marRight w:val="0"/>
      <w:marTop w:val="0"/>
      <w:marBottom w:val="0"/>
      <w:divBdr>
        <w:top w:val="none" w:sz="0" w:space="0" w:color="auto"/>
        <w:left w:val="none" w:sz="0" w:space="0" w:color="auto"/>
        <w:bottom w:val="none" w:sz="0" w:space="0" w:color="auto"/>
        <w:right w:val="none" w:sz="0" w:space="0" w:color="auto"/>
      </w:divBdr>
    </w:div>
    <w:div w:id="843938625">
      <w:bodyDiv w:val="1"/>
      <w:marLeft w:val="0"/>
      <w:marRight w:val="0"/>
      <w:marTop w:val="0"/>
      <w:marBottom w:val="0"/>
      <w:divBdr>
        <w:top w:val="none" w:sz="0" w:space="0" w:color="auto"/>
        <w:left w:val="none" w:sz="0" w:space="0" w:color="auto"/>
        <w:bottom w:val="none" w:sz="0" w:space="0" w:color="auto"/>
        <w:right w:val="none" w:sz="0" w:space="0" w:color="auto"/>
      </w:divBdr>
    </w:div>
    <w:div w:id="1179662801">
      <w:bodyDiv w:val="1"/>
      <w:marLeft w:val="0"/>
      <w:marRight w:val="0"/>
      <w:marTop w:val="0"/>
      <w:marBottom w:val="0"/>
      <w:divBdr>
        <w:top w:val="none" w:sz="0" w:space="0" w:color="auto"/>
        <w:left w:val="none" w:sz="0" w:space="0" w:color="auto"/>
        <w:bottom w:val="none" w:sz="0" w:space="0" w:color="auto"/>
        <w:right w:val="none" w:sz="0" w:space="0" w:color="auto"/>
      </w:divBdr>
    </w:div>
    <w:div w:id="1881163327">
      <w:bodyDiv w:val="1"/>
      <w:marLeft w:val="0"/>
      <w:marRight w:val="0"/>
      <w:marTop w:val="0"/>
      <w:marBottom w:val="0"/>
      <w:divBdr>
        <w:top w:val="none" w:sz="0" w:space="0" w:color="auto"/>
        <w:left w:val="none" w:sz="0" w:space="0" w:color="auto"/>
        <w:bottom w:val="none" w:sz="0" w:space="0" w:color="auto"/>
        <w:right w:val="none" w:sz="0" w:space="0" w:color="auto"/>
      </w:divBdr>
    </w:div>
    <w:div w:id="2107455152">
      <w:bodyDiv w:val="1"/>
      <w:marLeft w:val="0"/>
      <w:marRight w:val="0"/>
      <w:marTop w:val="0"/>
      <w:marBottom w:val="0"/>
      <w:divBdr>
        <w:top w:val="none" w:sz="0" w:space="0" w:color="auto"/>
        <w:left w:val="none" w:sz="0" w:space="0" w:color="auto"/>
        <w:bottom w:val="none" w:sz="0" w:space="0" w:color="auto"/>
        <w:right w:val="none" w:sz="0" w:space="0" w:color="auto"/>
      </w:divBdr>
    </w:div>
    <w:div w:id="212364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1839</Words>
  <Characters>10485</Characters>
  <Application>Microsoft Office Word</Application>
  <DocSecurity>0</DocSecurity>
  <Lines>87</Lines>
  <Paragraphs>24</Paragraphs>
  <ScaleCrop>false</ScaleCrop>
  <Company/>
  <LinksUpToDate>false</LinksUpToDate>
  <CharactersWithSpaces>12300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 chao</dc:creator>
  <cp:keywords/>
  <dc:description/>
  <cp:lastModifiedBy>hu chao</cp:lastModifiedBy>
  <cp:revision>244</cp:revision>
  <dcterms:created xsi:type="dcterms:W3CDTF">2018-06-23T04:42:00Z</dcterms:created>
  <dcterms:modified xsi:type="dcterms:W3CDTF">2019-02-27T06:50:00Z</dcterms:modified>
</cp:coreProperties>
</file>