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41" w:rsidRDefault="00F60E41" w:rsidP="00F60E4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SUPPLEMENTARY INFORMATION</w:t>
      </w:r>
    </w:p>
    <w:p w:rsidR="00F60E41" w:rsidRDefault="00F60E41" w:rsidP="00F60E4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60E41" w:rsidRPr="00820D61" w:rsidRDefault="00F60E41" w:rsidP="00F60E41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20D61">
        <w:rPr>
          <w:rFonts w:ascii="Times New Roman" w:hAnsi="Times New Roman" w:cs="Times New Roman"/>
          <w:b/>
          <w:bCs/>
          <w:sz w:val="32"/>
          <w:szCs w:val="32"/>
          <w:lang w:val="en-US"/>
        </w:rPr>
        <w:t>Agronomic and environmental assessment of a polyculture rooftop soilless urban home garden in a Mediterranean city</w:t>
      </w:r>
    </w:p>
    <w:p w:rsidR="00F60E41" w:rsidRPr="00820D61" w:rsidRDefault="00F60E41" w:rsidP="00F60E41">
      <w:pPr>
        <w:pStyle w:val="Sinespaciado"/>
        <w:rPr>
          <w:rFonts w:ascii="Times New Roman" w:hAnsi="Times New Roman" w:cs="Times New Roman"/>
          <w:lang w:val="en-GB"/>
        </w:rPr>
      </w:pPr>
    </w:p>
    <w:p w:rsidR="00F60E41" w:rsidRPr="007F0F04" w:rsidRDefault="00F60E41" w:rsidP="00F60E41">
      <w:pPr>
        <w:rPr>
          <w:rFonts w:ascii="Times New Roman" w:hAnsi="Times New Roman" w:cs="Times New Roman"/>
          <w:sz w:val="24"/>
          <w:szCs w:val="24"/>
        </w:rPr>
      </w:pPr>
      <w:r w:rsidRPr="007F0F04">
        <w:rPr>
          <w:rFonts w:ascii="Times New Roman" w:hAnsi="Times New Roman" w:cs="Times New Roman"/>
          <w:sz w:val="24"/>
          <w:szCs w:val="24"/>
        </w:rPr>
        <w:t>Anna Boneta</w:t>
      </w:r>
      <w:r w:rsidR="000F6905">
        <w:rPr>
          <w:rFonts w:ascii="Times New Roman" w:hAnsi="Times New Roman" w:cs="Times New Roman"/>
          <w:sz w:val="24"/>
          <w:szCs w:val="24"/>
          <w:vertAlign w:val="superscript"/>
        </w:rPr>
        <w:t>a,1</w:t>
      </w:r>
      <w:r w:rsidRPr="007F0F04">
        <w:rPr>
          <w:rFonts w:ascii="Times New Roman" w:hAnsi="Times New Roman" w:cs="Times New Roman"/>
          <w:sz w:val="24"/>
          <w:szCs w:val="24"/>
        </w:rPr>
        <w:t>, Martí Rufí-</w:t>
      </w:r>
      <w:proofErr w:type="gramStart"/>
      <w:r w:rsidRPr="007F0F04">
        <w:rPr>
          <w:rFonts w:ascii="Times New Roman" w:hAnsi="Times New Roman" w:cs="Times New Roman"/>
          <w:sz w:val="24"/>
          <w:szCs w:val="24"/>
        </w:rPr>
        <w:t>Salís</w:t>
      </w:r>
      <w:r w:rsidR="000F6905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gramEnd"/>
      <w:r w:rsidR="000F6905">
        <w:rPr>
          <w:rFonts w:ascii="Times New Roman" w:hAnsi="Times New Roman" w:cs="Times New Roman"/>
          <w:sz w:val="24"/>
          <w:szCs w:val="24"/>
          <w:vertAlign w:val="superscript"/>
        </w:rPr>
        <w:t>,1</w:t>
      </w:r>
      <w:r w:rsidRPr="007F0F04">
        <w:rPr>
          <w:rFonts w:ascii="Times New Roman" w:hAnsi="Times New Roman" w:cs="Times New Roman"/>
          <w:sz w:val="24"/>
          <w:szCs w:val="24"/>
        </w:rPr>
        <w:t>*,</w:t>
      </w:r>
      <w:r w:rsidRPr="007F0F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0F04">
        <w:rPr>
          <w:rFonts w:ascii="Times New Roman" w:hAnsi="Times New Roman" w:cs="Times New Roman"/>
          <w:sz w:val="24"/>
          <w:szCs w:val="24"/>
        </w:rPr>
        <w:t xml:space="preserve">Mireia </w:t>
      </w:r>
      <w:proofErr w:type="spellStart"/>
      <w:r w:rsidRPr="007F0F04">
        <w:rPr>
          <w:rFonts w:ascii="Times New Roman" w:hAnsi="Times New Roman" w:cs="Times New Roman"/>
          <w:sz w:val="24"/>
          <w:szCs w:val="24"/>
        </w:rPr>
        <w:t>Ercilla-Montserrat</w:t>
      </w:r>
      <w:r w:rsidR="000F69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F0F04">
        <w:rPr>
          <w:rFonts w:ascii="Times New Roman" w:hAnsi="Times New Roman" w:cs="Times New Roman"/>
          <w:sz w:val="24"/>
          <w:szCs w:val="24"/>
        </w:rPr>
        <w:t xml:space="preserve">, Xavier </w:t>
      </w:r>
      <w:proofErr w:type="spellStart"/>
      <w:r w:rsidRPr="007F0F04">
        <w:rPr>
          <w:rFonts w:ascii="Times New Roman" w:hAnsi="Times New Roman" w:cs="Times New Roman"/>
          <w:sz w:val="24"/>
          <w:szCs w:val="24"/>
        </w:rPr>
        <w:t>Gabarrell</w:t>
      </w:r>
      <w:r w:rsidR="000F6905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r w:rsidR="000F6905">
        <w:rPr>
          <w:rFonts w:ascii="Times New Roman" w:hAnsi="Times New Roman" w:cs="Times New Roman"/>
          <w:sz w:val="24"/>
          <w:szCs w:val="24"/>
        </w:rPr>
        <w:t xml:space="preserve">, Joan </w:t>
      </w:r>
      <w:proofErr w:type="spellStart"/>
      <w:r w:rsidR="000F6905">
        <w:rPr>
          <w:rFonts w:ascii="Times New Roman" w:hAnsi="Times New Roman" w:cs="Times New Roman"/>
          <w:sz w:val="24"/>
          <w:szCs w:val="24"/>
        </w:rPr>
        <w:t>Rieradevall</w:t>
      </w:r>
      <w:r w:rsidR="000F6905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</w:p>
    <w:p w:rsidR="00F60E41" w:rsidRPr="007F0F04" w:rsidRDefault="000F6905" w:rsidP="00F60E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F60E41" w:rsidRPr="007F0F04">
        <w:rPr>
          <w:rFonts w:ascii="Times New Roman" w:hAnsi="Times New Roman" w:cs="Times New Roman"/>
          <w:sz w:val="24"/>
          <w:szCs w:val="24"/>
        </w:rPr>
        <w:t>Sostenipra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3.0 2017SGR 1683,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(MDM-2015-0552), Z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 de Barcelona (UAB), Campus UAB, 08193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Bellaterra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</w:rPr>
        <w:t xml:space="preserve">, Barcelona,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</w:rPr>
        <w:t>Spain</w:t>
      </w:r>
      <w:proofErr w:type="spellEnd"/>
    </w:p>
    <w:p w:rsidR="00F60E41" w:rsidRPr="007F0F04" w:rsidRDefault="00F03579" w:rsidP="00F60E4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03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>Department</w:t>
      </w:r>
      <w:proofErr w:type="gramEnd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of Chemical, Biological and Environmental Engineering,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>Universitat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>Autònoma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de Barcelona (UAB), Campus UAB, 08193 </w:t>
      </w:r>
      <w:proofErr w:type="spellStart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>Bellaterra</w:t>
      </w:r>
      <w:proofErr w:type="spellEnd"/>
      <w:r w:rsidR="00F60E41" w:rsidRPr="007F0F04">
        <w:rPr>
          <w:rFonts w:ascii="Times New Roman" w:hAnsi="Times New Roman" w:cs="Times New Roman"/>
          <w:sz w:val="24"/>
          <w:szCs w:val="24"/>
          <w:lang w:val="en-GB"/>
        </w:rPr>
        <w:t>, Barcelona, Spain</w:t>
      </w:r>
    </w:p>
    <w:p w:rsidR="00F60E41" w:rsidRPr="007F0F04" w:rsidRDefault="00F60E41" w:rsidP="00F60E41">
      <w:pPr>
        <w:rPr>
          <w:rFonts w:ascii="Times New Roman" w:hAnsi="Times New Roman" w:cs="Times New Roman"/>
          <w:b/>
          <w:sz w:val="24"/>
          <w:szCs w:val="24"/>
        </w:rPr>
      </w:pPr>
      <w:r w:rsidRPr="007F0F04">
        <w:rPr>
          <w:rFonts w:ascii="Times New Roman" w:hAnsi="Times New Roman" w:cs="Times New Roman"/>
          <w:b/>
          <w:sz w:val="24"/>
          <w:szCs w:val="24"/>
        </w:rPr>
        <w:t>CORRESPONDENCE:</w:t>
      </w:r>
    </w:p>
    <w:p w:rsidR="00F60E41" w:rsidRPr="007F0F04" w:rsidRDefault="00F60E41" w:rsidP="00F60E41">
      <w:pPr>
        <w:rPr>
          <w:rFonts w:ascii="Times New Roman" w:hAnsi="Times New Roman" w:cs="Times New Roman"/>
          <w:sz w:val="24"/>
          <w:szCs w:val="24"/>
        </w:rPr>
      </w:pPr>
      <w:r w:rsidRPr="007F0F04">
        <w:rPr>
          <w:rFonts w:ascii="Times New Roman" w:hAnsi="Times New Roman" w:cs="Times New Roman"/>
          <w:sz w:val="24"/>
          <w:szCs w:val="24"/>
        </w:rPr>
        <w:t>Martí Rufí-Salís</w:t>
      </w:r>
    </w:p>
    <w:p w:rsidR="00F60E41" w:rsidRPr="000F6905" w:rsidRDefault="000F6905" w:rsidP="00F60E4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0F69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Marti.Rufi@uab.cat</w:t>
        </w:r>
      </w:hyperlink>
    </w:p>
    <w:p w:rsidR="000F6905" w:rsidRPr="000F6905" w:rsidRDefault="000F6905" w:rsidP="00F60E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9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F6905">
        <w:rPr>
          <w:rFonts w:ascii="Times New Roman" w:hAnsi="Times New Roman" w:cs="Times New Roman"/>
          <w:sz w:val="24"/>
          <w:szCs w:val="24"/>
          <w:lang w:val="en-US"/>
        </w:rPr>
        <w:t>These authors contributed equally to the research</w:t>
      </w: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0F6905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E41" w:rsidRPr="007F0F04" w:rsidRDefault="00F60E41" w:rsidP="00F60E4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0F04">
        <w:rPr>
          <w:rFonts w:ascii="Times New Roman" w:hAnsi="Times New Roman" w:cs="Times New Roman"/>
          <w:b/>
          <w:sz w:val="24"/>
          <w:szCs w:val="24"/>
          <w:lang w:val="en-GB"/>
        </w:rPr>
        <w:t>Supplementary information 1: Life cycle inventory</w:t>
      </w:r>
    </w:p>
    <w:p w:rsidR="00F60E41" w:rsidRPr="007F0F04" w:rsidRDefault="00F60E41" w:rsidP="00F60E4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this section,</w:t>
      </w:r>
      <w:r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different tables gather all the data included in the life cycle inventory. The t</w:t>
      </w:r>
      <w:r w:rsidR="00113DC1">
        <w:rPr>
          <w:rFonts w:ascii="Times New Roman" w:hAnsi="Times New Roman" w:cs="Times New Roman"/>
          <w:sz w:val="24"/>
          <w:szCs w:val="24"/>
          <w:lang w:val="en-GB"/>
        </w:rPr>
        <w:t>wo firsts refer to the Infrastructure</w:t>
      </w:r>
      <w:r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(table A.1) and </w:t>
      </w:r>
      <w:r w:rsidR="00113DC1">
        <w:rPr>
          <w:rFonts w:ascii="Times New Roman" w:hAnsi="Times New Roman" w:cs="Times New Roman"/>
          <w:sz w:val="24"/>
          <w:szCs w:val="24"/>
          <w:lang w:val="en-GB"/>
        </w:rPr>
        <w:t>Operation</w:t>
      </w:r>
      <w:r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(table A.2) subsystems. Then, detailed inventories for Fertilisers (table A.3) and Waste biomass (table A.4) </w:t>
      </w:r>
      <w:proofErr w:type="gramStart"/>
      <w:r w:rsidRPr="007F0F04">
        <w:rPr>
          <w:rFonts w:ascii="Times New Roman" w:hAnsi="Times New Roman" w:cs="Times New Roman"/>
          <w:sz w:val="24"/>
          <w:szCs w:val="24"/>
          <w:lang w:val="en-GB"/>
        </w:rPr>
        <w:t>are also</w:t>
      </w:r>
      <w:proofErr w:type="gramEnd"/>
      <w:r w:rsidRPr="007F0F04">
        <w:rPr>
          <w:rFonts w:ascii="Times New Roman" w:hAnsi="Times New Roman" w:cs="Times New Roman"/>
          <w:sz w:val="24"/>
          <w:szCs w:val="24"/>
          <w:lang w:val="en-GB"/>
        </w:rPr>
        <w:t xml:space="preserve"> presented.</w:t>
      </w:r>
    </w:p>
    <w:p w:rsidR="00F60E41" w:rsidRPr="007F0F04" w:rsidRDefault="00F60E41" w:rsidP="00F60E4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0E41" w:rsidRPr="00820D61" w:rsidRDefault="00F60E41" w:rsidP="00F60E41">
      <w:pPr>
        <w:jc w:val="both"/>
        <w:rPr>
          <w:rFonts w:ascii="Times New Roman" w:eastAsia="Times New Roman" w:hAnsi="Times New Roman" w:cs="Times New Roman"/>
          <w:color w:val="000000"/>
          <w:lang w:val="en-GB" w:eastAsia="es-ES"/>
        </w:rPr>
      </w:pPr>
      <w:r w:rsidRPr="00820D61">
        <w:rPr>
          <w:rFonts w:ascii="Times New Roman" w:hAnsi="Times New Roman" w:cs="Times New Roman"/>
          <w:b/>
          <w:lang w:val="en-GB"/>
        </w:rPr>
        <w:t>Table A.1: Inventory of the infrastructure equipment</w:t>
      </w:r>
      <w:r w:rsidRPr="00820D61">
        <w:rPr>
          <w:rFonts w:ascii="Times New Roman" w:eastAsia="Times New Roman" w:hAnsi="Times New Roman" w:cs="Times New Roman"/>
          <w:color w:val="000000"/>
          <w:lang w:val="en-GB" w:eastAsia="es-ES"/>
        </w:rPr>
        <w:t>. (</w:t>
      </w:r>
      <w:proofErr w:type="spellStart"/>
      <w:r w:rsidRPr="00820D61">
        <w:rPr>
          <w:rFonts w:ascii="Times New Roman" w:eastAsia="Times New Roman" w:hAnsi="Times New Roman" w:cs="Times New Roman"/>
          <w:color w:val="000000"/>
          <w:lang w:val="en-GB" w:eastAsia="es-ES"/>
        </w:rPr>
        <w:t>EoL</w:t>
      </w:r>
      <w:proofErr w:type="spellEnd"/>
      <w:r w:rsidRPr="00820D61">
        <w:rPr>
          <w:rFonts w:ascii="Times New Roman" w:eastAsia="Times New Roman" w:hAnsi="Times New Roman" w:cs="Times New Roman"/>
          <w:color w:val="000000"/>
          <w:lang w:val="en-GB" w:eastAsia="es-ES"/>
        </w:rPr>
        <w:t xml:space="preserve"> for End-of-Life)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976"/>
        <w:gridCol w:w="725"/>
        <w:gridCol w:w="1118"/>
        <w:gridCol w:w="1033"/>
      </w:tblGrid>
      <w:tr w:rsidR="00F60E41" w:rsidRPr="00820D61" w:rsidTr="00113DC1">
        <w:trPr>
          <w:trHeight w:val="20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151" w:type="dxa"/>
            <w:gridSpan w:val="2"/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Quantity</w:t>
            </w:r>
            <w:proofErr w:type="spellEnd"/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tcBorders>
              <w:top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Element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sz w:val="20"/>
              </w:rPr>
              <w:t>Material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Lifespan</w:t>
            </w:r>
            <w:proofErr w:type="spellEnd"/>
          </w:p>
        </w:tc>
        <w:tc>
          <w:tcPr>
            <w:tcW w:w="725" w:type="dxa"/>
            <w:tcBorders>
              <w:top w:val="nil"/>
            </w:tcBorders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Units</w:t>
            </w:r>
            <w:proofErr w:type="spellEnd"/>
          </w:p>
        </w:tc>
        <w:tc>
          <w:tcPr>
            <w:tcW w:w="1118" w:type="dxa"/>
            <w:shd w:val="clear" w:color="auto" w:fill="E7E6E6"/>
            <w:vAlign w:val="center"/>
            <w:hideMark/>
          </w:tcPr>
          <w:p w:rsidR="00F60E41" w:rsidRPr="00820D61" w:rsidRDefault="00F60E41" w:rsidP="00113DC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garden</w:t>
            </w:r>
            <w:proofErr w:type="spellEnd"/>
          </w:p>
          <w:p w:rsidR="00F60E41" w:rsidRPr="00820D61" w:rsidRDefault="00F60E41" w:rsidP="00113DC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sz w:val="20"/>
              </w:rPr>
              <w:t xml:space="preserve">(10 </w:t>
            </w: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years</w:t>
            </w:r>
            <w:proofErr w:type="spellEnd"/>
            <w:r w:rsidRPr="00820D6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33" w:type="dxa"/>
            <w:shd w:val="clear" w:color="auto" w:fill="E7E6E6"/>
            <w:vAlign w:val="center"/>
            <w:hideMark/>
          </w:tcPr>
          <w:p w:rsidR="00F60E41" w:rsidRPr="00820D61" w:rsidRDefault="00F60E41" w:rsidP="00113DC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sz w:val="20"/>
              </w:rPr>
              <w:t>Per kg</w:t>
            </w:r>
          </w:p>
          <w:p w:rsidR="00F60E41" w:rsidRPr="00820D61" w:rsidRDefault="00F60E41" w:rsidP="00113DC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sz w:val="20"/>
              </w:rPr>
              <w:t xml:space="preserve">(3 </w:t>
            </w:r>
            <w:proofErr w:type="spellStart"/>
            <w:r w:rsidRPr="00820D61">
              <w:rPr>
                <w:rFonts w:ascii="Times New Roman" w:hAnsi="Times New Roman" w:cs="Times New Roman"/>
                <w:b/>
                <w:sz w:val="20"/>
              </w:rPr>
              <w:t>years</w:t>
            </w:r>
            <w:proofErr w:type="spellEnd"/>
            <w:r w:rsidRPr="00820D6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F60E41" w:rsidRPr="00820D61" w:rsidTr="00113DC1">
        <w:trPr>
          <w:trHeight w:val="309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Pipe</w:t>
            </w: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1.86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9.77E-04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Tubes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PVC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0.63</w:t>
            </w:r>
          </w:p>
        </w:tc>
        <w:tc>
          <w:tcPr>
            <w:tcW w:w="1033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3.33E-04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Drippers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PVC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vMerge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  <w:vMerge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Leachate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pipe</w:t>
            </w: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LDPE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1.43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7.52E-04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Rain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gutter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PVC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1.69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8.90E-04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Leachate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tray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LDPE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2.95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3.10E-03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EPS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22.68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2.39E-02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Joints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3.33E-05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Joints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3.16E-05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Support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for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stalking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Aluminium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0.80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4.21E-04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Rope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PP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4.79E-04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Flow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meter</w:t>
            </w: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HDPE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1.58E-04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Cast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iron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4.80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2.53E-03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Digital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timer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HDPE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0.50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2.63E-04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Electronics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0.03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1.42E-05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Nutrient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tank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PE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8.10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4.27E-03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Dosatron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PP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1.60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8.43E-04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Wood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strucuture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Wood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13.07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6.88E-03</w:t>
            </w:r>
          </w:p>
        </w:tc>
      </w:tr>
      <w:tr w:rsidR="00F60E41" w:rsidRPr="00820D61" w:rsidTr="00113DC1">
        <w:trPr>
          <w:trHeight w:val="20"/>
        </w:trPr>
        <w:tc>
          <w:tcPr>
            <w:tcW w:w="8383" w:type="dxa"/>
            <w:gridSpan w:val="6"/>
            <w:shd w:val="clear" w:color="auto" w:fill="E7E6E6"/>
            <w:noWrap/>
            <w:hideMark/>
          </w:tcPr>
          <w:p w:rsidR="00F60E41" w:rsidRPr="00820D61" w:rsidRDefault="00F60E41" w:rsidP="00113D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PROCESSES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Cast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iron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 xml:space="preserve">Metal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working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manufacturing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4.80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2.53E-03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HDPE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Injection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moulding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0.80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4.21E-04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PE</w:t>
            </w:r>
          </w:p>
        </w:tc>
        <w:tc>
          <w:tcPr>
            <w:tcW w:w="2268" w:type="dxa"/>
            <w:vMerge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10.08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5.31E-03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PP</w:t>
            </w:r>
          </w:p>
        </w:tc>
        <w:tc>
          <w:tcPr>
            <w:tcW w:w="2268" w:type="dxa"/>
            <w:vMerge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1.60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8.43E-04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vMerge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0.45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4.79E-04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PVC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Extrusion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plastic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pipes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2.32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1.22E-03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LDPE</w:t>
            </w:r>
          </w:p>
        </w:tc>
        <w:tc>
          <w:tcPr>
            <w:tcW w:w="2268" w:type="dxa"/>
            <w:vMerge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2.95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3.10E-03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LDPE</w:t>
            </w:r>
          </w:p>
        </w:tc>
        <w:tc>
          <w:tcPr>
            <w:tcW w:w="2268" w:type="dxa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Extrusion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plastic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pipes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1.43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7.52E-04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EPS</w:t>
            </w:r>
          </w:p>
        </w:tc>
        <w:tc>
          <w:tcPr>
            <w:tcW w:w="2268" w:type="dxa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Injection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moulding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22.68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2.39E-02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</w:rPr>
              <w:t>Transport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 xml:space="preserve">Light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commercial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vehicle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tkm</w:t>
            </w:r>
            <w:proofErr w:type="spellEnd"/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2.14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1.61E-03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Transport (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- recycling plant)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 xml:space="preserve">Municipal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waste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collection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lorry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tkm</w:t>
            </w:r>
            <w:proofErr w:type="spellEnd"/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1.52E-04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Transport (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- landfill)</w:t>
            </w:r>
          </w:p>
        </w:tc>
        <w:tc>
          <w:tcPr>
            <w:tcW w:w="2268" w:type="dxa"/>
            <w:vMerge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tkm</w:t>
            </w:r>
            <w:proofErr w:type="spellEnd"/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1.56E-03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2.41E-04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Transport (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- green point)</w:t>
            </w:r>
          </w:p>
        </w:tc>
        <w:tc>
          <w:tcPr>
            <w:tcW w:w="2268" w:type="dxa"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Van</w:t>
            </w:r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tkm</w:t>
            </w:r>
            <w:proofErr w:type="spellEnd"/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2.61E-02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1.38E-05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Transport (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- treatment wood str.)</w:t>
            </w:r>
          </w:p>
        </w:tc>
        <w:tc>
          <w:tcPr>
            <w:tcW w:w="2268" w:type="dxa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 xml:space="preserve">Municipal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waste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collection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lorry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tkm</w:t>
            </w:r>
            <w:proofErr w:type="spellEnd"/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1.65E-04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Transport (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- gasification plant)</w:t>
            </w:r>
          </w:p>
        </w:tc>
        <w:tc>
          <w:tcPr>
            <w:tcW w:w="2268" w:type="dxa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 xml:space="preserve">Regional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Lorry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tkm</w:t>
            </w:r>
            <w:proofErr w:type="spellEnd"/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0.48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2.51E-04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(aux. Eq.)</w:t>
            </w:r>
          </w:p>
        </w:tc>
        <w:tc>
          <w:tcPr>
            <w:tcW w:w="2268" w:type="dxa"/>
            <w:noWrap/>
            <w:vAlign w:val="center"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Recycling</w:t>
            </w:r>
            <w:proofErr w:type="spellEnd"/>
            <w:r w:rsidRPr="00820D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plant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25.26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0.02</w:t>
            </w:r>
          </w:p>
        </w:tc>
      </w:tr>
      <w:tr w:rsidR="00F60E41" w:rsidRPr="00820D61" w:rsidTr="00113DC1">
        <w:trPr>
          <w:trHeight w:val="20"/>
        </w:trPr>
        <w:tc>
          <w:tcPr>
            <w:tcW w:w="226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proofErr w:type="spellStart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EoL</w:t>
            </w:r>
            <w:proofErr w:type="spellEnd"/>
            <w:r w:rsidRPr="00820D61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820D61">
              <w:rPr>
                <w:rFonts w:ascii="Times New Roman" w:hAnsi="Times New Roman" w:cs="Times New Roman"/>
                <w:bCs/>
                <w:sz w:val="20"/>
                <w:lang w:val="en-GB"/>
              </w:rPr>
              <w:t>(leachate tray)</w:t>
            </w:r>
          </w:p>
        </w:tc>
        <w:tc>
          <w:tcPr>
            <w:tcW w:w="226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D61">
              <w:rPr>
                <w:rFonts w:ascii="Times New Roman" w:hAnsi="Times New Roman" w:cs="Times New Roman"/>
                <w:sz w:val="20"/>
              </w:rPr>
              <w:t>Landfill</w:t>
            </w:r>
            <w:proofErr w:type="spellEnd"/>
          </w:p>
        </w:tc>
        <w:tc>
          <w:tcPr>
            <w:tcW w:w="976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5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1118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22.68</w:t>
            </w:r>
          </w:p>
        </w:tc>
        <w:tc>
          <w:tcPr>
            <w:tcW w:w="1033" w:type="dxa"/>
            <w:noWrap/>
            <w:hideMark/>
          </w:tcPr>
          <w:p w:rsidR="00F60E41" w:rsidRPr="00820D61" w:rsidRDefault="00F60E41" w:rsidP="00113DC1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820D61">
              <w:rPr>
                <w:rFonts w:ascii="Times New Roman" w:hAnsi="Times New Roman" w:cs="Times New Roman"/>
                <w:sz w:val="20"/>
              </w:rPr>
              <w:t>2.39E-02</w:t>
            </w:r>
          </w:p>
        </w:tc>
      </w:tr>
    </w:tbl>
    <w:p w:rsidR="00F60E41" w:rsidRPr="00820D61" w:rsidRDefault="00F60E41" w:rsidP="00F60E41">
      <w:pPr>
        <w:rPr>
          <w:rFonts w:ascii="Times New Roman" w:hAnsi="Times New Roman" w:cs="Times New Roman"/>
          <w:b/>
          <w:lang w:val="en-GB"/>
        </w:rPr>
      </w:pPr>
      <w:r w:rsidRPr="00820D61">
        <w:rPr>
          <w:rFonts w:ascii="Times New Roman" w:hAnsi="Times New Roman" w:cs="Times New Roman"/>
          <w:b/>
          <w:lang w:val="en-GB"/>
        </w:rPr>
        <w:br w:type="page"/>
      </w:r>
      <w:r w:rsidRPr="00820D61">
        <w:rPr>
          <w:rFonts w:ascii="Times New Roman" w:hAnsi="Times New Roman" w:cs="Times New Roman"/>
          <w:b/>
          <w:lang w:val="en-GB"/>
        </w:rPr>
        <w:lastRenderedPageBreak/>
        <w:t xml:space="preserve">Table A.2: </w:t>
      </w:r>
      <w:r w:rsidRPr="00820D61">
        <w:rPr>
          <w:rFonts w:ascii="Times New Roman" w:eastAsia="Times New Roman" w:hAnsi="Times New Roman" w:cs="Times New Roman"/>
          <w:b/>
          <w:color w:val="000000"/>
          <w:lang w:val="en-GB" w:eastAsia="es-ES"/>
        </w:rPr>
        <w:t>Inventory of the operation and maintenance life cycle phases.</w:t>
      </w:r>
      <w:r w:rsidRPr="00820D61">
        <w:rPr>
          <w:rFonts w:ascii="Times New Roman" w:hAnsi="Times New Roman" w:cs="Times New Roman"/>
          <w:b/>
          <w:lang w:val="en-GB"/>
        </w:rPr>
        <w:fldChar w:fldCharType="begin"/>
      </w:r>
      <w:r w:rsidRPr="00820D61">
        <w:rPr>
          <w:rFonts w:ascii="Times New Roman" w:hAnsi="Times New Roman" w:cs="Times New Roman"/>
          <w:b/>
          <w:lang w:val="en-GB"/>
        </w:rPr>
        <w:instrText xml:space="preserve"> LINK Excel.Sheet.12 "C:\\Users\\Anna\\Dropbox\\GO ON!\\MASTER\\TFM\\LCA\\LCA.xlsx" "Inventari net (2)!F1C2:F27C5" \a \f 4 \h  \* MERGEFORMAT </w:instrText>
      </w:r>
      <w:r w:rsidRPr="00820D61">
        <w:rPr>
          <w:rFonts w:ascii="Times New Roman" w:hAnsi="Times New Roman" w:cs="Times New Roman"/>
          <w:b/>
          <w:lang w:val="en-GB"/>
        </w:rPr>
        <w:fldChar w:fldCharType="separate"/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410"/>
        <w:gridCol w:w="850"/>
        <w:gridCol w:w="1560"/>
      </w:tblGrid>
      <w:tr w:rsidR="00F60E41" w:rsidRPr="00113DC1" w:rsidTr="00113DC1">
        <w:trPr>
          <w:trHeight w:val="602"/>
          <w:jc w:val="center"/>
        </w:trPr>
        <w:tc>
          <w:tcPr>
            <w:tcW w:w="2972" w:type="dxa"/>
            <w:shd w:val="clear" w:color="auto" w:fill="E7E6E6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Element</w:t>
            </w:r>
            <w:proofErr w:type="spellEnd"/>
          </w:p>
        </w:tc>
        <w:tc>
          <w:tcPr>
            <w:tcW w:w="2410" w:type="dxa"/>
            <w:shd w:val="clear" w:color="auto" w:fill="E7E6E6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Material</w:t>
            </w:r>
          </w:p>
        </w:tc>
        <w:tc>
          <w:tcPr>
            <w:tcW w:w="850" w:type="dxa"/>
            <w:shd w:val="clear" w:color="auto" w:fill="E7E6E6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Units</w:t>
            </w:r>
            <w:proofErr w:type="spellEnd"/>
          </w:p>
        </w:tc>
        <w:tc>
          <w:tcPr>
            <w:tcW w:w="1560" w:type="dxa"/>
            <w:shd w:val="clear" w:color="auto" w:fill="E7E6E6"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s-ES"/>
              </w:rPr>
            </w:pPr>
            <w:r w:rsidRPr="00820D61">
              <w:rPr>
                <w:rFonts w:ascii="Times New Roman" w:eastAsia="Times New Roman" w:hAnsi="Times New Roman" w:cs="Times New Roman"/>
                <w:b/>
                <w:color w:val="000000"/>
                <w:lang w:val="en-GB" w:eastAsia="es-ES"/>
              </w:rPr>
              <w:t>Quantity per kg for 3 years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Water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129.40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Substrate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Perlite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5.06E-02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HDPE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1.34E-03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Fertilisers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KPO4H2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1.76E-02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KNO3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2.09E-02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K2SO4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4.50E-02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Ca(NO3)2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5.53E-02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Mg (NO3)2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2.20E-02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Ca (Cl)2.2H2O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1.90E-02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Sequestone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1.29E-02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Hortillon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1.29E-02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7792" w:type="dxa"/>
            <w:gridSpan w:val="4"/>
            <w:shd w:val="clear" w:color="auto" w:fill="E7E6E6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PROCESSES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HDPE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Extrusion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plastic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film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1.34E-03</w:t>
            </w:r>
          </w:p>
        </w:tc>
      </w:tr>
      <w:tr w:rsidR="00F60E41" w:rsidRPr="00820D61" w:rsidTr="00113DC1">
        <w:trPr>
          <w:trHeight w:val="345"/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Leachates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1.55E-04</w:t>
            </w:r>
          </w:p>
        </w:tc>
      </w:tr>
      <w:tr w:rsidR="00F60E41" w:rsidRPr="00820D61" w:rsidTr="00113DC1">
        <w:trPr>
          <w:trHeight w:val="375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-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2.19E-02</w:t>
            </w:r>
          </w:p>
        </w:tc>
      </w:tr>
      <w:tr w:rsidR="00F60E41" w:rsidRPr="00820D61" w:rsidTr="00113DC1">
        <w:trPr>
          <w:trHeight w:val="375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3-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3.65E-03</w:t>
            </w:r>
          </w:p>
        </w:tc>
      </w:tr>
      <w:tr w:rsidR="00F60E41" w:rsidRPr="00820D61" w:rsidTr="00113DC1">
        <w:trPr>
          <w:trHeight w:val="375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2-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7.45E-03</w:t>
            </w:r>
          </w:p>
        </w:tc>
      </w:tr>
      <w:tr w:rsidR="00F60E41" w:rsidRPr="00820D61" w:rsidTr="00113DC1">
        <w:trPr>
          <w:trHeight w:val="345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+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9.99E-03</w:t>
            </w:r>
          </w:p>
        </w:tc>
      </w:tr>
      <w:tr w:rsidR="00F60E41" w:rsidRPr="00820D61" w:rsidTr="00113DC1">
        <w:trPr>
          <w:trHeight w:val="345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Mg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2+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2.68E-05</w:t>
            </w:r>
          </w:p>
        </w:tc>
      </w:tr>
      <w:tr w:rsidR="00F60E41" w:rsidRPr="00820D61" w:rsidTr="00113DC1">
        <w:trPr>
          <w:trHeight w:val="345"/>
          <w:jc w:val="center"/>
        </w:trPr>
        <w:tc>
          <w:tcPr>
            <w:tcW w:w="2972" w:type="dxa"/>
            <w:vMerge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</w:t>
            </w:r>
            <w:r w:rsidRPr="00820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2+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1.54E-03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Transport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(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fertilisers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Transport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 van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tkm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6.79E-03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Transport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(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perlite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Transport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lorry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tkm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4.15E-02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Transport</w:t>
            </w:r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val="en-GB" w:eastAsia="es-ES"/>
              </w:rPr>
              <w:t xml:space="preserve"> (end of life - landfill)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Light 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commercial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vehicle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tkm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2.18</w:t>
            </w:r>
          </w:p>
        </w:tc>
      </w:tr>
      <w:tr w:rsidR="00F60E41" w:rsidRPr="00820D61" w:rsidTr="00113DC1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820D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 xml:space="preserve">Transport </w:t>
            </w:r>
            <w:r w:rsidRPr="00820D61">
              <w:rPr>
                <w:rFonts w:ascii="Times New Roman" w:eastAsia="Times New Roman" w:hAnsi="Times New Roman" w:cs="Times New Roman"/>
                <w:bCs/>
                <w:color w:val="000000"/>
                <w:lang w:val="en-GB" w:eastAsia="es-ES"/>
              </w:rPr>
              <w:t>(end of life - OMSW treatment plant)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Light 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commercial</w:t>
            </w:r>
            <w:proofErr w:type="spellEnd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vehicle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tkm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0E41" w:rsidRPr="00820D61" w:rsidRDefault="00F60E41" w:rsidP="00113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0D6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4.18E-03</w:t>
            </w:r>
          </w:p>
        </w:tc>
      </w:tr>
    </w:tbl>
    <w:p w:rsidR="00F60E41" w:rsidRPr="00820D61" w:rsidRDefault="00F60E41" w:rsidP="00F60E41">
      <w:pPr>
        <w:jc w:val="both"/>
        <w:rPr>
          <w:rFonts w:ascii="Times New Roman" w:hAnsi="Times New Roman" w:cs="Times New Roman"/>
          <w:color w:val="7030A0"/>
          <w:lang w:val="en-GB"/>
        </w:rPr>
      </w:pPr>
      <w:r w:rsidRPr="00820D61">
        <w:rPr>
          <w:rFonts w:ascii="Times New Roman" w:hAnsi="Times New Roman" w:cs="Times New Roman"/>
          <w:color w:val="7030A0"/>
          <w:lang w:val="en-GB"/>
        </w:rPr>
        <w:fldChar w:fldCharType="end"/>
      </w:r>
    </w:p>
    <w:p w:rsidR="00F60E41" w:rsidRPr="00820D61" w:rsidRDefault="00F60E41" w:rsidP="00F60E41">
      <w:pPr>
        <w:jc w:val="both"/>
        <w:rPr>
          <w:rFonts w:ascii="Times New Roman" w:hAnsi="Times New Roman" w:cs="Times New Roman"/>
          <w:color w:val="7030A0"/>
          <w:lang w:val="en-GB"/>
        </w:rPr>
      </w:pPr>
    </w:p>
    <w:p w:rsidR="00F60E41" w:rsidRPr="00820D61" w:rsidRDefault="00F60E41" w:rsidP="00F60E41">
      <w:pPr>
        <w:rPr>
          <w:rFonts w:ascii="Times New Roman" w:hAnsi="Times New Roman" w:cs="Times New Roman"/>
          <w:color w:val="7030A0"/>
          <w:lang w:val="en-GB"/>
        </w:rPr>
      </w:pPr>
      <w:r w:rsidRPr="00820D61">
        <w:rPr>
          <w:rFonts w:ascii="Times New Roman" w:hAnsi="Times New Roman" w:cs="Times New Roman"/>
          <w:color w:val="7030A0"/>
          <w:lang w:val="en-GB"/>
        </w:rPr>
        <w:br w:type="page"/>
      </w:r>
    </w:p>
    <w:p w:rsidR="00F60E41" w:rsidRPr="00820D61" w:rsidRDefault="00F60E41" w:rsidP="00F60E41">
      <w:pPr>
        <w:rPr>
          <w:rFonts w:ascii="Times New Roman" w:hAnsi="Times New Roman" w:cs="Times New Roman"/>
          <w:color w:val="7030A0"/>
          <w:lang w:val="en-GB"/>
        </w:rPr>
      </w:pPr>
    </w:p>
    <w:p w:rsidR="00F60E41" w:rsidRPr="00820D61" w:rsidRDefault="000F6905" w:rsidP="00F60E41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A.3</w:t>
      </w:r>
      <w:r w:rsidR="00F60E41" w:rsidRPr="00820D61">
        <w:rPr>
          <w:rFonts w:ascii="Times New Roman" w:hAnsi="Times New Roman" w:cs="Times New Roman"/>
          <w:b/>
          <w:lang w:val="en-GB"/>
        </w:rPr>
        <w:t>: Biomass detailed impact inventory.</w:t>
      </w:r>
    </w:p>
    <w:p w:rsidR="00F60E41" w:rsidRPr="00820D61" w:rsidRDefault="00F60E41" w:rsidP="00F60E41">
      <w:pPr>
        <w:jc w:val="both"/>
        <w:rPr>
          <w:rFonts w:ascii="Times New Roman" w:hAnsi="Times New Roman" w:cs="Times New Roman"/>
          <w:color w:val="7030A0"/>
          <w:lang w:val="en-GB"/>
        </w:rPr>
      </w:pPr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Units: kg CO2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eq</w:t>
      </w:r>
      <w:proofErr w:type="spellEnd"/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 (CC, Climate Change), kg SO2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eq</w:t>
      </w:r>
      <w:proofErr w:type="spellEnd"/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 (TA, Terrestrial acidification), kg P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eq</w:t>
      </w:r>
      <w:proofErr w:type="spellEnd"/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 (FE, Freshwater Eutrophication), kg N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eq</w:t>
      </w:r>
      <w:proofErr w:type="spellEnd"/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 (ME, Marine Eutrophication), kg oil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eq</w:t>
      </w:r>
      <w:proofErr w:type="spellEnd"/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 (FD, Fossil Depletion), kg 1-4DB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eq</w:t>
      </w:r>
      <w:proofErr w:type="spellEnd"/>
      <w:r w:rsidRPr="00820D61">
        <w:rPr>
          <w:rFonts w:ascii="Times New Roman" w:hAnsi="Times New Roman" w:cs="Times New Roman"/>
          <w:bCs/>
          <w:sz w:val="18"/>
          <w:lang w:val="en-GB"/>
        </w:rPr>
        <w:t xml:space="preserve"> (ET, </w:t>
      </w:r>
      <w:proofErr w:type="spellStart"/>
      <w:r w:rsidRPr="00820D61">
        <w:rPr>
          <w:rFonts w:ascii="Times New Roman" w:hAnsi="Times New Roman" w:cs="Times New Roman"/>
          <w:bCs/>
          <w:sz w:val="18"/>
          <w:lang w:val="en-GB"/>
        </w:rPr>
        <w:t>Ecotoxicity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029"/>
        <w:gridCol w:w="1029"/>
        <w:gridCol w:w="1029"/>
        <w:gridCol w:w="1029"/>
        <w:gridCol w:w="1029"/>
        <w:gridCol w:w="1029"/>
      </w:tblGrid>
      <w:tr w:rsidR="00F60E41" w:rsidRPr="00820D61" w:rsidTr="00113DC1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</w:tcBorders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F60E41" w:rsidRPr="00820D61" w:rsidRDefault="00F60E41" w:rsidP="0011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D61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F60E41" w:rsidRPr="00820D61" w:rsidRDefault="00F60E41" w:rsidP="0011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D61">
              <w:rPr>
                <w:rFonts w:ascii="Times New Roman" w:hAnsi="Times New Roman" w:cs="Times New Roman"/>
                <w:b/>
              </w:rPr>
              <w:t>TA</w:t>
            </w:r>
          </w:p>
        </w:tc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F60E41" w:rsidRPr="00820D61" w:rsidRDefault="00F60E41" w:rsidP="0011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D61">
              <w:rPr>
                <w:rFonts w:ascii="Times New Roman" w:hAnsi="Times New Roman" w:cs="Times New Roman"/>
                <w:b/>
              </w:rPr>
              <w:t>FE</w:t>
            </w:r>
          </w:p>
        </w:tc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F60E41" w:rsidRPr="00820D61" w:rsidRDefault="00F60E41" w:rsidP="0011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D61">
              <w:rPr>
                <w:rFonts w:ascii="Times New Roman" w:hAnsi="Times New Roman" w:cs="Times New Roman"/>
                <w:b/>
              </w:rPr>
              <w:t>ME</w:t>
            </w:r>
          </w:p>
        </w:tc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F60E41" w:rsidRPr="00820D61" w:rsidRDefault="00F60E41" w:rsidP="0011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D61">
              <w:rPr>
                <w:rFonts w:ascii="Times New Roman" w:hAnsi="Times New Roman" w:cs="Times New Roman"/>
                <w:b/>
              </w:rPr>
              <w:t>ET</w:t>
            </w:r>
          </w:p>
        </w:tc>
        <w:tc>
          <w:tcPr>
            <w:tcW w:w="0" w:type="auto"/>
            <w:shd w:val="clear" w:color="auto" w:fill="EEECE1" w:themeFill="background2"/>
            <w:noWrap/>
            <w:vAlign w:val="center"/>
            <w:hideMark/>
          </w:tcPr>
          <w:p w:rsidR="00F60E41" w:rsidRPr="00820D61" w:rsidRDefault="00F60E41" w:rsidP="00113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D61">
              <w:rPr>
                <w:rFonts w:ascii="Times New Roman" w:hAnsi="Times New Roman" w:cs="Times New Roman"/>
                <w:b/>
              </w:rPr>
              <w:t>FDP</w:t>
            </w:r>
          </w:p>
        </w:tc>
      </w:tr>
      <w:tr w:rsidR="00F60E41" w:rsidRPr="00820D61" w:rsidTr="00113DC1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proofErr w:type="spellStart"/>
            <w:r w:rsidRPr="00820D61">
              <w:rPr>
                <w:rFonts w:ascii="Times New Roman" w:hAnsi="Times New Roman" w:cs="Times New Roman"/>
              </w:rPr>
              <w:t>Transport</w:t>
            </w:r>
            <w:proofErr w:type="spellEnd"/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4.77E-03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98.0%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2.20E-05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96.5%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1.58E-07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98.7%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1.26E-06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97.1%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1.12E-05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97.3%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1.55E-03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99.8%</w:t>
            </w:r>
          </w:p>
        </w:tc>
      </w:tr>
      <w:tr w:rsidR="00F60E41" w:rsidRPr="00820D61" w:rsidTr="00113DC1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proofErr w:type="spellStart"/>
            <w:r w:rsidRPr="00820D61">
              <w:rPr>
                <w:rFonts w:ascii="Times New Roman" w:hAnsi="Times New Roman" w:cs="Times New Roman"/>
              </w:rPr>
              <w:t>Biowaste</w:t>
            </w:r>
            <w:proofErr w:type="spellEnd"/>
            <w:r w:rsidRPr="00820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</w:rPr>
              <w:t>composting</w:t>
            </w:r>
            <w:proofErr w:type="spellEnd"/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9.73E-05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7.94E-07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2.12E-09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3.71E-08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3.13E-07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3.45E-06</w:t>
            </w:r>
          </w:p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0.2%</w:t>
            </w:r>
          </w:p>
        </w:tc>
      </w:tr>
      <w:tr w:rsidR="00F60E41" w:rsidRPr="00820D61" w:rsidTr="00113DC1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4.87E-03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2.28E-05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1.60E-07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1.29E-06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1.16E-05</w:t>
            </w:r>
          </w:p>
        </w:tc>
        <w:tc>
          <w:tcPr>
            <w:tcW w:w="0" w:type="auto"/>
            <w:noWrap/>
            <w:hideMark/>
          </w:tcPr>
          <w:p w:rsidR="00F60E41" w:rsidRPr="00820D61" w:rsidRDefault="00F60E41" w:rsidP="00113DC1">
            <w:pPr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1.55E-03</w:t>
            </w:r>
          </w:p>
        </w:tc>
      </w:tr>
    </w:tbl>
    <w:p w:rsidR="00F60E41" w:rsidRPr="00820D61" w:rsidRDefault="00F60E41" w:rsidP="00F60E41">
      <w:pPr>
        <w:rPr>
          <w:rFonts w:ascii="Times New Roman" w:hAnsi="Times New Roman" w:cs="Times New Roman"/>
          <w:color w:val="7030A0"/>
          <w:lang w:val="en-GB"/>
        </w:rPr>
      </w:pPr>
    </w:p>
    <w:p w:rsidR="00F60E41" w:rsidRPr="00820D61" w:rsidRDefault="00F60E41" w:rsidP="00F60E41">
      <w:pPr>
        <w:rPr>
          <w:rFonts w:ascii="Times New Roman" w:hAnsi="Times New Roman" w:cs="Times New Roman"/>
          <w:color w:val="7030A0"/>
          <w:lang w:val="en-GB"/>
        </w:rPr>
      </w:pPr>
    </w:p>
    <w:p w:rsidR="00F60E41" w:rsidRPr="00820D61" w:rsidRDefault="00F60E41" w:rsidP="00F60E41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20D61">
        <w:rPr>
          <w:rFonts w:ascii="Times New Roman" w:hAnsi="Times New Roman" w:cs="Times New Roman"/>
          <w:sz w:val="28"/>
          <w:szCs w:val="28"/>
          <w:u w:val="single"/>
          <w:lang w:val="en-GB"/>
        </w:rPr>
        <w:t>Supplementary information 2: agronomic data</w:t>
      </w:r>
    </w:p>
    <w:p w:rsidR="00F60E41" w:rsidRPr="00820D61" w:rsidRDefault="00F60E41" w:rsidP="00F60E41">
      <w:pPr>
        <w:rPr>
          <w:rFonts w:ascii="Times New Roman" w:hAnsi="Times New Roman" w:cs="Times New Roman"/>
          <w:b/>
          <w:lang w:val="en-GB"/>
        </w:rPr>
      </w:pPr>
    </w:p>
    <w:p w:rsidR="00F45813" w:rsidRPr="00820D61" w:rsidRDefault="00F45813" w:rsidP="00F45813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Table B.1. </w:t>
      </w:r>
      <w:r w:rsidRPr="00820D61">
        <w:rPr>
          <w:rFonts w:ascii="Times New Roman" w:hAnsi="Times New Roman" w:cs="Times New Roman"/>
          <w:b/>
          <w:lang w:val="en-GB"/>
        </w:rPr>
        <w:t>Summarized agronomic and consumption data for the market basket products.</w:t>
      </w:r>
    </w:p>
    <w:p w:rsidR="00F45813" w:rsidRPr="00820D61" w:rsidRDefault="00F45813" w:rsidP="00F45813">
      <w:pPr>
        <w:jc w:val="both"/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t xml:space="preserve">Data for the kg/person. Data for consumption ranking </w:t>
      </w:r>
      <w:r>
        <w:rPr>
          <w:rFonts w:ascii="Times New Roman" w:hAnsi="Times New Roman" w:cs="Times New Roman"/>
          <w:sz w:val="18"/>
          <w:lang w:val="en-GB"/>
        </w:rPr>
        <w:fldChar w:fldCharType="begin" w:fldLock="1"/>
      </w:r>
      <w:r>
        <w:rPr>
          <w:rFonts w:ascii="Times New Roman" w:hAnsi="Times New Roman" w:cs="Times New Roman"/>
          <w:sz w:val="18"/>
          <w:lang w:val="en-GB"/>
        </w:rPr>
        <w:instrText>ADDIN CSL_CITATION {"citationItems":[{"id":"ITEM-1","itemData":{"URL":"http://agricultura.gencat.cat/ca/departament/estadistiques/alimentacio/consum-alimentari","accessed":{"date-parts":[["2019","1","25"]]},"author":[{"dropping-particle":"","family":"Gencat","given":"","non-dropping-particle":"","parse-names":false,"suffix":""}],"id":"ITEM-1","issued":{"date-parts":[["2016"]]},"title":"Consum alimentari. Departament d’Agricultura, Ramaderia, Pesca i Alimentació","type":"webpage"},"uris":["http://www.mendeley.com/documents/?uuid=793768e7-55a5-37dc-a655-a784f898e9e3"]}],"mendeley":{"formattedCitation":"(Gencat, 2016)","plainTextFormattedCitation":"(Gencat, 2016)","previouslyFormattedCitation":"(Gencat,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18"/>
          <w:lang w:val="en-GB"/>
        </w:rPr>
        <w:fldChar w:fldCharType="separate"/>
      </w:r>
      <w:r w:rsidRPr="00C969AD">
        <w:rPr>
          <w:rFonts w:ascii="Times New Roman" w:hAnsi="Times New Roman" w:cs="Times New Roman"/>
          <w:noProof/>
          <w:sz w:val="18"/>
          <w:lang w:val="en-GB"/>
        </w:rPr>
        <w:t>(Gencat, 2016)</w:t>
      </w:r>
      <w:r>
        <w:rPr>
          <w:rFonts w:ascii="Times New Roman" w:hAnsi="Times New Roman" w:cs="Times New Roman"/>
          <w:sz w:val="18"/>
          <w:lang w:val="en-GB"/>
        </w:rPr>
        <w:fldChar w:fldCharType="end"/>
      </w:r>
      <w:r w:rsidRPr="00820D61">
        <w:rPr>
          <w:rFonts w:ascii="Times New Roman" w:hAnsi="Times New Roman" w:cs="Times New Roman"/>
          <w:sz w:val="18"/>
          <w:lang w:val="en-GB"/>
        </w:rPr>
        <w:t>.</w:t>
      </w:r>
    </w:p>
    <w:tbl>
      <w:tblPr>
        <w:tblStyle w:val="Tablaconcuadrcula"/>
        <w:tblW w:w="4836" w:type="pct"/>
        <w:tblInd w:w="279" w:type="dxa"/>
        <w:tblLook w:val="04A0" w:firstRow="1" w:lastRow="0" w:firstColumn="1" w:lastColumn="0" w:noHBand="0" w:noVBand="1"/>
      </w:tblPr>
      <w:tblGrid>
        <w:gridCol w:w="962"/>
        <w:gridCol w:w="1512"/>
        <w:gridCol w:w="656"/>
        <w:gridCol w:w="1182"/>
        <w:gridCol w:w="1622"/>
        <w:gridCol w:w="1060"/>
        <w:gridCol w:w="1221"/>
      </w:tblGrid>
      <w:tr w:rsidR="00F45813" w:rsidRPr="00920911" w:rsidTr="00F45813">
        <w:trPr>
          <w:trHeight w:val="782"/>
        </w:trPr>
        <w:tc>
          <w:tcPr>
            <w:tcW w:w="586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0D61">
              <w:rPr>
                <w:rFonts w:ascii="Times New Roman" w:hAnsi="Times New Roman" w:cs="Times New Roman"/>
                <w:bCs/>
              </w:rPr>
              <w:t>Ranking position</w:t>
            </w:r>
          </w:p>
        </w:tc>
        <w:tc>
          <w:tcPr>
            <w:tcW w:w="920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Products</w:t>
            </w:r>
            <w:proofErr w:type="spellEnd"/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Year</w:t>
            </w:r>
            <w:proofErr w:type="spellEnd"/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Production</w:t>
            </w:r>
            <w:proofErr w:type="spellEnd"/>
          </w:p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kg/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</w:p>
        </w:tc>
        <w:tc>
          <w:tcPr>
            <w:tcW w:w="987" w:type="pct"/>
            <w:tcBorders>
              <w:bottom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Consumption</w:t>
            </w:r>
            <w:proofErr w:type="spellEnd"/>
          </w:p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kg/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20D61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0D61">
              <w:rPr>
                <w:rFonts w:ascii="Times New Roman" w:hAnsi="Times New Roman" w:cs="Times New Roman"/>
                <w:bCs/>
              </w:rPr>
              <w:t xml:space="preserve">nº </w:t>
            </w: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people's</w:t>
            </w:r>
            <w:proofErr w:type="spellEnd"/>
            <w:r w:rsidRPr="00820D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covered</w:t>
            </w:r>
            <w:proofErr w:type="spellEnd"/>
            <w:r w:rsidRPr="00820D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20D61">
              <w:rPr>
                <w:rFonts w:ascii="Times New Roman" w:hAnsi="Times New Roman" w:cs="Times New Roman"/>
                <w:bCs/>
              </w:rPr>
              <w:t>demand</w:t>
            </w:r>
            <w:proofErr w:type="spellEnd"/>
          </w:p>
        </w:tc>
        <w:tc>
          <w:tcPr>
            <w:tcW w:w="743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820D61"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820D6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2</w:t>
            </w:r>
            <w:r w:rsidRPr="00820D61">
              <w:rPr>
                <w:rFonts w:ascii="Times New Roman" w:hAnsi="Times New Roman" w:cs="Times New Roman"/>
                <w:bCs/>
                <w:lang w:val="en-GB"/>
              </w:rPr>
              <w:t xml:space="preserve"> to cover 1 person’s demand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TOMATO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987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43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2.8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LETTUCE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3.5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PEPPER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0.4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ZUCCHINI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1.1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15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BEAN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3" w:type="pct"/>
            <w:vMerge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3" w:type="pct"/>
            <w:vMerge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CUCUMBER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43" w:type="pct"/>
            <w:vMerge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15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3" w:type="pct"/>
            <w:vMerge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EGGPLANT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0.1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CABBAGE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0.4</w:t>
            </w:r>
          </w:p>
        </w:tc>
      </w:tr>
      <w:tr w:rsidR="00F45813" w:rsidRPr="00820D61" w:rsidTr="00F45813">
        <w:trPr>
          <w:trHeight w:val="315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15"/>
        </w:trPr>
        <w:tc>
          <w:tcPr>
            <w:tcW w:w="586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pct"/>
            <w:vMerge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D61">
              <w:rPr>
                <w:rFonts w:ascii="Times New Roman" w:hAnsi="Times New Roman" w:cs="Times New Roman"/>
                <w:b/>
                <w:bCs/>
              </w:rPr>
              <w:t>CHARD</w:t>
            </w: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987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43" w:type="pct"/>
            <w:vMerge w:val="restart"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-</w:t>
            </w: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43" w:type="pct"/>
            <w:vMerge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13" w:rsidRPr="00820D61" w:rsidTr="00F45813">
        <w:trPr>
          <w:trHeight w:val="300"/>
        </w:trPr>
        <w:tc>
          <w:tcPr>
            <w:tcW w:w="586" w:type="pct"/>
            <w:vMerge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noWrap/>
            <w:hideMark/>
          </w:tcPr>
          <w:p w:rsidR="00F45813" w:rsidRPr="00820D61" w:rsidRDefault="00F45813" w:rsidP="00CC583A">
            <w:pPr>
              <w:jc w:val="both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9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987" w:type="pct"/>
            <w:vMerge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:rsidR="00F45813" w:rsidRPr="00820D61" w:rsidRDefault="00F45813" w:rsidP="00CC583A">
            <w:pPr>
              <w:jc w:val="right"/>
              <w:rPr>
                <w:rFonts w:ascii="Times New Roman" w:hAnsi="Times New Roman" w:cs="Times New Roman"/>
              </w:rPr>
            </w:pPr>
            <w:r w:rsidRPr="00820D6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743" w:type="pct"/>
            <w:vMerge/>
            <w:noWrap/>
            <w:vAlign w:val="center"/>
            <w:hideMark/>
          </w:tcPr>
          <w:p w:rsidR="00F45813" w:rsidRPr="00820D61" w:rsidRDefault="00F45813" w:rsidP="00CC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813" w:rsidRDefault="00F45813" w:rsidP="00F60E41">
      <w:pPr>
        <w:rPr>
          <w:rFonts w:ascii="Times New Roman" w:hAnsi="Times New Roman" w:cs="Times New Roman"/>
          <w:sz w:val="18"/>
          <w:lang w:val="en-GB"/>
        </w:rPr>
      </w:pPr>
    </w:p>
    <w:p w:rsidR="00142E67" w:rsidRDefault="00142E67">
      <w:bookmarkStart w:id="0" w:name="_GoBack"/>
      <w:bookmarkEnd w:id="0"/>
    </w:p>
    <w:sectPr w:rsidR="00142E67" w:rsidSect="00F60E4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22" w:rsidRDefault="00D34A22">
      <w:pPr>
        <w:spacing w:after="0" w:line="240" w:lineRule="auto"/>
      </w:pPr>
      <w:r>
        <w:separator/>
      </w:r>
    </w:p>
  </w:endnote>
  <w:endnote w:type="continuationSeparator" w:id="0">
    <w:p w:rsidR="00D34A22" w:rsidRDefault="00D3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30110"/>
      <w:docPartObj>
        <w:docPartGallery w:val="Page Numbers (Bottom of Page)"/>
        <w:docPartUnique/>
      </w:docPartObj>
    </w:sdtPr>
    <w:sdtContent>
      <w:p w:rsidR="00113DC1" w:rsidRDefault="00113D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79">
          <w:rPr>
            <w:noProof/>
          </w:rPr>
          <w:t>5</w:t>
        </w:r>
        <w:r>
          <w:fldChar w:fldCharType="end"/>
        </w:r>
      </w:p>
    </w:sdtContent>
  </w:sdt>
  <w:p w:rsidR="00113DC1" w:rsidRDefault="00113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22" w:rsidRDefault="00D34A22">
      <w:pPr>
        <w:spacing w:after="0" w:line="240" w:lineRule="auto"/>
      </w:pPr>
      <w:r>
        <w:separator/>
      </w:r>
    </w:p>
  </w:footnote>
  <w:footnote w:type="continuationSeparator" w:id="0">
    <w:p w:rsidR="00D34A22" w:rsidRDefault="00D3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1"/>
    <w:rsid w:val="000F6905"/>
    <w:rsid w:val="00113DC1"/>
    <w:rsid w:val="00142E67"/>
    <w:rsid w:val="00D34A22"/>
    <w:rsid w:val="00F03579"/>
    <w:rsid w:val="00F45813"/>
    <w:rsid w:val="00F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2C0B"/>
  <w15:chartTrackingRefBased/>
  <w15:docId w15:val="{F6D93261-B1A6-4B5C-AB0F-B17250C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4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E4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6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6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6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E41"/>
  </w:style>
  <w:style w:type="character" w:styleId="Hipervnculo">
    <w:name w:val="Hyperlink"/>
    <w:basedOn w:val="Fuentedeprrafopredeter"/>
    <w:uiPriority w:val="99"/>
    <w:unhideWhenUsed/>
    <w:rsid w:val="000F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.Rufi@uab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Rufí Salís</dc:creator>
  <cp:keywords/>
  <dc:description/>
  <cp:lastModifiedBy>Martí Rufí Salís</cp:lastModifiedBy>
  <cp:revision>3</cp:revision>
  <dcterms:created xsi:type="dcterms:W3CDTF">2019-01-25T16:10:00Z</dcterms:created>
  <dcterms:modified xsi:type="dcterms:W3CDTF">2019-01-25T16:14:00Z</dcterms:modified>
</cp:coreProperties>
</file>