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04" w:rsidRDefault="00556804" w:rsidP="00556804">
      <w:pPr>
        <w:pStyle w:val="Heading1"/>
        <w:rPr>
          <w:u w:val="single"/>
          <w:lang w:val="en-US"/>
        </w:rPr>
      </w:pPr>
      <w:r w:rsidRPr="00CB1F50">
        <w:rPr>
          <w:u w:val="single"/>
          <w:lang w:val="en-US"/>
        </w:rPr>
        <w:t xml:space="preserve">Supplemental Data </w:t>
      </w:r>
    </w:p>
    <w:p w:rsidR="00556804" w:rsidRDefault="00556804" w:rsidP="00556804"/>
    <w:p w:rsidR="00556804" w:rsidRPr="00CB1F50" w:rsidRDefault="00556804" w:rsidP="00556804">
      <w:pPr>
        <w:pStyle w:val="Heading1"/>
        <w:rPr>
          <w:lang w:val="en-US"/>
        </w:rPr>
      </w:pPr>
      <w:r w:rsidRPr="00CB1F50">
        <w:rPr>
          <w:lang w:val="en-US"/>
        </w:rPr>
        <w:t>Supplement Table</w:t>
      </w:r>
    </w:p>
    <w:p w:rsidR="00556804" w:rsidRPr="00CB1F50" w:rsidRDefault="00556804" w:rsidP="00556804">
      <w:pPr>
        <w:pStyle w:val="Heading2"/>
        <w:rPr>
          <w:lang w:val="en-US"/>
        </w:rPr>
      </w:pPr>
      <w:r>
        <w:rPr>
          <w:lang w:val="en-US"/>
        </w:rPr>
        <w:t>Legend S</w:t>
      </w:r>
      <w:r w:rsidRPr="00CB1F50">
        <w:rPr>
          <w:lang w:val="en-US"/>
        </w:rPr>
        <w:t>upplement Table S1</w:t>
      </w:r>
      <w:r>
        <w:rPr>
          <w:lang w:val="en-US"/>
        </w:rPr>
        <w:t>:</w:t>
      </w:r>
      <w:r w:rsidRPr="00CB1F50">
        <w:rPr>
          <w:lang w:val="en-US"/>
        </w:rPr>
        <w:t xml:space="preserve"> </w:t>
      </w:r>
    </w:p>
    <w:p w:rsidR="00556804" w:rsidRPr="00CB1F50" w:rsidRDefault="00556804" w:rsidP="00556804"/>
    <w:p w:rsidR="00556804" w:rsidRPr="00424D6C" w:rsidRDefault="00556804" w:rsidP="00556804">
      <w:r w:rsidRPr="00CB1F50">
        <w:rPr>
          <w:b/>
        </w:rPr>
        <w:t xml:space="preserve">Supplement Table S1. Immunological phenotype in patients with </w:t>
      </w:r>
      <w:r w:rsidRPr="00FB5013">
        <w:rPr>
          <w:b/>
          <w:i/>
        </w:rPr>
        <w:t>NFKB2</w:t>
      </w:r>
      <w:r w:rsidRPr="00CB1F50">
        <w:rPr>
          <w:b/>
        </w:rPr>
        <w:t xml:space="preserve"> mutations.</w:t>
      </w:r>
      <w:r w:rsidRPr="00CB1F50">
        <w:t xml:space="preserve"> Black/ arrow down=decreased, grey=no information provided, white nv=normal value, white/arrow up=increased. MZ=marginal zone *IgD+CD27- of CD19+, **IgD-CD27+, ***IgD+CD27+.</w:t>
      </w:r>
      <w:r w:rsidRPr="00424D6C">
        <w:t xml:space="preserve"> </w:t>
      </w:r>
    </w:p>
    <w:p w:rsidR="00556804" w:rsidRDefault="00556804" w:rsidP="00556804"/>
    <w:p w:rsidR="00556804" w:rsidRPr="00CB1F50" w:rsidRDefault="00556804" w:rsidP="00556804">
      <w:pPr>
        <w:pStyle w:val="Heading2"/>
        <w:rPr>
          <w:lang w:val="en-US"/>
        </w:rPr>
      </w:pPr>
      <w:bookmarkStart w:id="0" w:name="_GoBack"/>
      <w:bookmarkEnd w:id="0"/>
      <w:r w:rsidRPr="00CB1F50">
        <w:rPr>
          <w:lang w:val="en-US"/>
        </w:rPr>
        <w:t>Supplemental Figure S1</w:t>
      </w:r>
    </w:p>
    <w:p w:rsidR="00556804" w:rsidRPr="00CB1F50" w:rsidRDefault="00556804" w:rsidP="00556804">
      <w:pPr>
        <w:pStyle w:val="Figure"/>
        <w:rPr>
          <w:noProof w:val="0"/>
        </w:rPr>
      </w:pPr>
      <w:r w:rsidRPr="00CB1F50">
        <w:rPr>
          <w:lang w:eastAsia="en-US"/>
        </w:rPr>
        <w:drawing>
          <wp:inline distT="0" distB="0" distL="0" distR="0" wp14:anchorId="2DC7E223" wp14:editId="683B152E">
            <wp:extent cx="3387256" cy="1845965"/>
            <wp:effectExtent l="0" t="0" r="3810" b="190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KB2_Figure_Füsse.tif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595" cy="18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804" w:rsidRDefault="00556804" w:rsidP="00556804">
      <w:pPr>
        <w:spacing w:after="480"/>
        <w:rPr>
          <w:color w:val="000000" w:themeColor="text1"/>
          <w:sz w:val="20"/>
        </w:rPr>
      </w:pPr>
      <w:r w:rsidRPr="00CB1F50">
        <w:rPr>
          <w:b/>
          <w:sz w:val="20"/>
        </w:rPr>
        <w:t>Supplemental Figure S1.</w:t>
      </w:r>
      <w:r w:rsidRPr="00CB1F50">
        <w:rPr>
          <w:sz w:val="20"/>
        </w:rPr>
        <w:t xml:space="preserve"> </w:t>
      </w:r>
      <w:r w:rsidRPr="00CB1F50">
        <w:rPr>
          <w:b/>
          <w:sz w:val="20"/>
        </w:rPr>
        <w:t xml:space="preserve">Vitiligo in Patient </w:t>
      </w:r>
      <w:r w:rsidRPr="00CB1F50">
        <w:rPr>
          <w:b/>
          <w:color w:val="000000" w:themeColor="text1"/>
          <w:sz w:val="20"/>
        </w:rPr>
        <w:t xml:space="preserve">P2 (Fam689). </w:t>
      </w:r>
      <w:r w:rsidRPr="00CB1F50">
        <w:rPr>
          <w:color w:val="000000" w:themeColor="text1"/>
          <w:sz w:val="20"/>
        </w:rPr>
        <w:t>The photograph demonstrates the pronounced vitiligo patient P2</w:t>
      </w:r>
      <w:r>
        <w:rPr>
          <w:color w:val="000000" w:themeColor="text1"/>
          <w:sz w:val="20"/>
        </w:rPr>
        <w:t>1</w:t>
      </w:r>
      <w:r w:rsidRPr="00CB1F50">
        <w:rPr>
          <w:color w:val="000000" w:themeColor="text1"/>
          <w:sz w:val="20"/>
        </w:rPr>
        <w:t xml:space="preserve"> is suffering from.</w:t>
      </w:r>
    </w:p>
    <w:p w:rsidR="00556804" w:rsidRDefault="00556804" w:rsidP="00556804">
      <w:pPr>
        <w:pStyle w:val="Heading2"/>
        <w:rPr>
          <w:rStyle w:val="FigureZchn"/>
        </w:rPr>
      </w:pPr>
      <w:r w:rsidRPr="00CB1F50">
        <w:rPr>
          <w:rStyle w:val="FigureZchn"/>
        </w:rPr>
        <w:lastRenderedPageBreak/>
        <w:t>Supplemental Figure S2</w:t>
      </w:r>
    </w:p>
    <w:p w:rsidR="00556804" w:rsidRPr="00CB1F50" w:rsidRDefault="00556804" w:rsidP="00556804">
      <w:pPr>
        <w:pStyle w:val="Heading2"/>
      </w:pPr>
      <w:r w:rsidRPr="00CB1F50">
        <w:rPr>
          <w:noProof/>
          <w:lang w:val="en-US"/>
        </w:rPr>
        <w:drawing>
          <wp:inline distT="0" distB="0" distL="0" distR="0" wp14:anchorId="3DA875F4" wp14:editId="02C1EF3B">
            <wp:extent cx="4788568" cy="5269832"/>
            <wp:effectExtent l="0" t="0" r="0" b="7620"/>
            <wp:docPr id="12" name="Grafik 12" descr="O:\_Forschung\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_Forschung\Pan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91295" cy="527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804" w:rsidRPr="00CB1F50" w:rsidRDefault="00556804" w:rsidP="00556804">
      <w:pPr>
        <w:spacing w:after="480"/>
        <w:rPr>
          <w:sz w:val="20"/>
        </w:rPr>
      </w:pPr>
      <w:r w:rsidRPr="00CB1F50">
        <w:rPr>
          <w:b/>
          <w:sz w:val="20"/>
        </w:rPr>
        <w:t xml:space="preserve">Supplemental Figure S2. </w:t>
      </w:r>
      <w:r w:rsidRPr="00CB1F50">
        <w:rPr>
          <w:sz w:val="20"/>
        </w:rPr>
        <w:t xml:space="preserve">Histology of </w:t>
      </w:r>
      <w:r w:rsidRPr="00CB1F50">
        <w:rPr>
          <w:i/>
          <w:sz w:val="20"/>
        </w:rPr>
        <w:t>NFKB2</w:t>
      </w:r>
      <w:r w:rsidRPr="00CB1F50">
        <w:rPr>
          <w:sz w:val="20"/>
        </w:rPr>
        <w:t xml:space="preserve">-mutated patients. </w:t>
      </w:r>
      <w:r w:rsidRPr="00CB1F50">
        <w:rPr>
          <w:b/>
          <w:sz w:val="20"/>
        </w:rPr>
        <w:t>(A-D)</w:t>
      </w:r>
      <w:r w:rsidRPr="00CB1F50">
        <w:rPr>
          <w:sz w:val="20"/>
        </w:rPr>
        <w:t xml:space="preserve"> P49 (Fam846). </w:t>
      </w:r>
      <w:r w:rsidRPr="00CB1F50">
        <w:rPr>
          <w:b/>
          <w:sz w:val="20"/>
        </w:rPr>
        <w:t>(A)</w:t>
      </w:r>
      <w:r w:rsidRPr="00CB1F50">
        <w:rPr>
          <w:sz w:val="20"/>
        </w:rPr>
        <w:t xml:space="preserve"> Duodenal biopsy with normal architecture and without inflammation but lacking stromal plasma cells. </w:t>
      </w:r>
      <w:r w:rsidRPr="00CB1F50">
        <w:rPr>
          <w:b/>
          <w:sz w:val="20"/>
        </w:rPr>
        <w:t>(B)</w:t>
      </w:r>
      <w:r w:rsidRPr="00CB1F50">
        <w:rPr>
          <w:sz w:val="20"/>
        </w:rPr>
        <w:t xml:space="preserve"> CD8 staining (brown) shows villi with high numbers of intraepithelial lymphocytes. </w:t>
      </w:r>
      <w:r w:rsidRPr="00CB1F50">
        <w:rPr>
          <w:b/>
          <w:sz w:val="20"/>
        </w:rPr>
        <w:t>(C, D)</w:t>
      </w:r>
      <w:r w:rsidRPr="00CB1F50">
        <w:rPr>
          <w:sz w:val="20"/>
        </w:rPr>
        <w:t xml:space="preserve"> Biopsies from the colon descen</w:t>
      </w:r>
      <w:r>
        <w:rPr>
          <w:sz w:val="20"/>
        </w:rPr>
        <w:t>d</w:t>
      </w:r>
      <w:r w:rsidRPr="00CB1F50">
        <w:rPr>
          <w:sz w:val="20"/>
        </w:rPr>
        <w:t xml:space="preserve">ens </w:t>
      </w:r>
      <w:r w:rsidRPr="00CB1F50">
        <w:rPr>
          <w:b/>
          <w:sz w:val="20"/>
        </w:rPr>
        <w:t>(C)</w:t>
      </w:r>
      <w:r w:rsidRPr="00CB1F50">
        <w:rPr>
          <w:sz w:val="20"/>
        </w:rPr>
        <w:t xml:space="preserve"> and rectum </w:t>
      </w:r>
      <w:r w:rsidRPr="00CB1F50">
        <w:rPr>
          <w:b/>
          <w:sz w:val="20"/>
        </w:rPr>
        <w:t>(D)</w:t>
      </w:r>
      <w:r w:rsidRPr="00CB1F50">
        <w:rPr>
          <w:sz w:val="20"/>
        </w:rPr>
        <w:t xml:space="preserve"> display minor chronic damage with few apoptotic bodies in the stroma (C; asterisk, exemplary), patchy eosinophilic infiltrate (C, D; arrowhead) and reduced crypt diameters. </w:t>
      </w:r>
      <w:r w:rsidRPr="00CB1F50">
        <w:rPr>
          <w:b/>
          <w:sz w:val="20"/>
        </w:rPr>
        <w:t>(E, F)</w:t>
      </w:r>
      <w:r w:rsidRPr="00CB1F50">
        <w:rPr>
          <w:sz w:val="20"/>
        </w:rPr>
        <w:t xml:space="preserve"> P41 (Fam246). </w:t>
      </w:r>
      <w:r w:rsidRPr="00CB1F50">
        <w:rPr>
          <w:b/>
          <w:sz w:val="20"/>
        </w:rPr>
        <w:t>(E)</w:t>
      </w:r>
      <w:r w:rsidRPr="00CB1F50">
        <w:rPr>
          <w:sz w:val="20"/>
        </w:rPr>
        <w:t xml:space="preserve"> Lymph node with sparse, small germinal centers (dotted line, exemplary) and cortical macrophage infiltration (asterisk, exemplary) and lacking plasma cells in the CD138 staining </w:t>
      </w:r>
      <w:r w:rsidRPr="00CB1F50">
        <w:rPr>
          <w:b/>
          <w:sz w:val="20"/>
        </w:rPr>
        <w:t>(F)</w:t>
      </w:r>
      <w:r w:rsidRPr="00CB1F50">
        <w:rPr>
          <w:sz w:val="20"/>
        </w:rPr>
        <w:t xml:space="preserve"> Original magnifications indicated by scale bars.</w:t>
      </w:r>
    </w:p>
    <w:p w:rsidR="00B8069F" w:rsidRDefault="00B8069F"/>
    <w:sectPr w:rsidR="00B8069F" w:rsidSect="00556804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04"/>
    <w:rsid w:val="00556804"/>
    <w:rsid w:val="00B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33BE7-B015-45B3-9533-8CA576A9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04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804"/>
    <w:pPr>
      <w:keepNext/>
      <w:keepLines/>
      <w:spacing w:after="240"/>
      <w:outlineLvl w:val="0"/>
    </w:pPr>
    <w:rPr>
      <w:rFonts w:eastAsiaTheme="majorEastAsia"/>
      <w:b/>
      <w:bCs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804"/>
    <w:pPr>
      <w:keepNext/>
      <w:keepLines/>
      <w:spacing w:before="200" w:after="0"/>
      <w:outlineLvl w:val="1"/>
    </w:pPr>
    <w:rPr>
      <w:rFonts w:eastAsiaTheme="majorEastAsia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804"/>
    <w:rPr>
      <w:rFonts w:ascii="Times New Roman" w:eastAsiaTheme="majorEastAsia" w:hAnsi="Times New Roman" w:cs="Times New Roman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56804"/>
    <w:rPr>
      <w:rFonts w:ascii="Times New Roman" w:eastAsiaTheme="majorEastAsia" w:hAnsi="Times New Roman" w:cs="Times New Roman"/>
      <w:b/>
      <w:bCs/>
      <w:sz w:val="24"/>
      <w:szCs w:val="24"/>
      <w:lang w:val="en-GB"/>
    </w:rPr>
  </w:style>
  <w:style w:type="paragraph" w:customStyle="1" w:styleId="Figure">
    <w:name w:val="Figure"/>
    <w:basedOn w:val="Normal"/>
    <w:link w:val="FigureZchn"/>
    <w:qFormat/>
    <w:rsid w:val="00556804"/>
    <w:pPr>
      <w:spacing w:before="480" w:after="480"/>
      <w:jc w:val="center"/>
    </w:pPr>
    <w:rPr>
      <w:noProof/>
      <w:lang w:eastAsia="de-DE"/>
    </w:rPr>
  </w:style>
  <w:style w:type="character" w:customStyle="1" w:styleId="FigureZchn">
    <w:name w:val="Figure Zchn"/>
    <w:basedOn w:val="DefaultParagraphFont"/>
    <w:link w:val="Figure"/>
    <w:rsid w:val="00556804"/>
    <w:rPr>
      <w:rFonts w:ascii="Times New Roman" w:hAnsi="Times New Roman" w:cs="Times New Roman"/>
      <w:noProof/>
      <w:sz w:val="24"/>
      <w:szCs w:val="24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55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1084</Characters>
  <Application>Microsoft Office Word</Application>
  <DocSecurity>0</DocSecurity>
  <Lines>9</Lines>
  <Paragraphs>2</Paragraphs>
  <ScaleCrop>false</ScaleCrop>
  <Company>PITSOLUTIONS PVT LTD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2019-02-06T07:09:00Z</dcterms:created>
  <dcterms:modified xsi:type="dcterms:W3CDTF">2019-02-06T07:14:00Z</dcterms:modified>
</cp:coreProperties>
</file>