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1104D196" w14:textId="492EFFAE" w:rsidR="00817DD6" w:rsidRPr="001549D3" w:rsidRDefault="008B7058" w:rsidP="0001436A">
      <w:pPr>
        <w:pStyle w:val="Title"/>
      </w:pPr>
      <w:bookmarkStart w:id="0" w:name="_Hlk534794503"/>
      <w:bookmarkEnd w:id="0"/>
      <w:r>
        <w:t>Investigation of the Charge-</w:t>
      </w:r>
      <w:r w:rsidRPr="00C50FDE">
        <w:t xml:space="preserve">transfer </w:t>
      </w:r>
      <w:r w:rsidR="00E11CCF" w:rsidRPr="00C50FDE">
        <w:t>b</w:t>
      </w:r>
      <w:r w:rsidR="006B3731" w:rsidRPr="00C50FDE">
        <w:rPr>
          <w:rFonts w:hint="eastAsia"/>
          <w:lang w:eastAsia="zh-CN"/>
        </w:rPr>
        <w:t>etween</w:t>
      </w:r>
      <w:r w:rsidRPr="00C50FDE">
        <w:t xml:space="preserve"> Ga-doped ZnO Nanoparticles </w:t>
      </w:r>
      <w:r w:rsidR="006B3731" w:rsidRPr="00C50FDE">
        <w:t xml:space="preserve">and Molecules </w:t>
      </w:r>
      <w:r w:rsidRPr="00C50FDE">
        <w:t>Using Surface-enhanced Raman Scattering: Doping Induced B</w:t>
      </w:r>
      <w:r>
        <w:t>and-gap Shrinkage</w:t>
      </w:r>
    </w:p>
    <w:p w14:paraId="642478E1" w14:textId="0FF1B934" w:rsidR="008B7058" w:rsidRPr="00376CC5" w:rsidRDefault="008B7058" w:rsidP="008B7058">
      <w:pPr>
        <w:pStyle w:val="AuthorList"/>
      </w:pPr>
      <w:r>
        <w:t>Peng Li</w:t>
      </w:r>
      <w:r w:rsidRPr="00A545C6">
        <w:rPr>
          <w:vertAlign w:val="superscript"/>
        </w:rPr>
        <w:t>1</w:t>
      </w:r>
      <w:r>
        <w:rPr>
          <w:vertAlign w:val="superscript"/>
        </w:rPr>
        <w:t>,2</w:t>
      </w:r>
      <w:r w:rsidRPr="00376CC5">
        <w:t xml:space="preserve">, </w:t>
      </w:r>
      <w:r>
        <w:t>Xiaolei Wang</w:t>
      </w:r>
      <w:r>
        <w:rPr>
          <w:vertAlign w:val="superscript"/>
        </w:rPr>
        <w:t>1,2</w:t>
      </w:r>
      <w:r w:rsidRPr="00376CC5">
        <w:t xml:space="preserve">, </w:t>
      </w:r>
      <w:r>
        <w:t>Xiaolei Zhang</w:t>
      </w:r>
      <w:r w:rsidRPr="009B4331">
        <w:rPr>
          <w:vertAlign w:val="superscript"/>
        </w:rPr>
        <w:t>1</w:t>
      </w:r>
      <w:r>
        <w:rPr>
          <w:vertAlign w:val="superscript"/>
        </w:rPr>
        <w:t>,2</w:t>
      </w:r>
      <w:r>
        <w:t>, Lixia Zhang</w:t>
      </w:r>
      <w:r w:rsidRPr="009B4331">
        <w:rPr>
          <w:vertAlign w:val="superscript"/>
        </w:rPr>
        <w:t>2</w:t>
      </w:r>
      <w:r>
        <w:t>, Xuwei Yang</w:t>
      </w:r>
      <w:r w:rsidRPr="009B4331">
        <w:rPr>
          <w:vertAlign w:val="superscript"/>
        </w:rPr>
        <w:t>2*</w:t>
      </w:r>
      <w:r>
        <w:t xml:space="preserve"> and Bing Zhao</w:t>
      </w:r>
      <w:r w:rsidRPr="00A545C6">
        <w:rPr>
          <w:vertAlign w:val="superscript"/>
        </w:rPr>
        <w:t>1</w:t>
      </w:r>
      <w:r>
        <w:rPr>
          <w:vertAlign w:val="superscript"/>
        </w:rPr>
        <w:t>,2</w:t>
      </w:r>
      <w:r w:rsidRPr="00A545C6">
        <w:rPr>
          <w:vertAlign w:val="superscript"/>
        </w:rPr>
        <w:t>*</w:t>
      </w:r>
    </w:p>
    <w:p w14:paraId="7EBF612E" w14:textId="77777777" w:rsidR="008B7058" w:rsidRPr="00376CC5" w:rsidRDefault="008B7058" w:rsidP="008B7058">
      <w:pPr>
        <w:spacing w:before="240" w:after="0"/>
        <w:rPr>
          <w:b/>
        </w:rPr>
      </w:pPr>
      <w:r w:rsidRPr="00376CC5">
        <w:rPr>
          <w:vertAlign w:val="superscript"/>
        </w:rPr>
        <w:t>1</w:t>
      </w:r>
      <w:r>
        <w:t>State Key Laboratory of Supramolecular Structure and Materials,</w:t>
      </w:r>
      <w:bookmarkStart w:id="1" w:name="OLE_LINK2"/>
      <w:bookmarkStart w:id="2" w:name="OLE_LINK3"/>
      <w:r>
        <w:t xml:space="preserve"> Jilin University, Changchun, People’s Republic of China</w:t>
      </w:r>
      <w:bookmarkEnd w:id="1"/>
      <w:bookmarkEnd w:id="2"/>
    </w:p>
    <w:p w14:paraId="0F001BD9" w14:textId="77777777" w:rsidR="008B7058" w:rsidRPr="00376CC5" w:rsidRDefault="008B7058" w:rsidP="008B7058">
      <w:pPr>
        <w:spacing w:after="0"/>
        <w:rPr>
          <w:b/>
        </w:rPr>
      </w:pPr>
      <w:r w:rsidRPr="00376CC5">
        <w:rPr>
          <w:vertAlign w:val="superscript"/>
        </w:rPr>
        <w:t>2</w:t>
      </w:r>
      <w:r>
        <w:t>College of Chemistry,</w:t>
      </w:r>
      <w:r w:rsidRPr="00376CC5">
        <w:t xml:space="preserve"> </w:t>
      </w:r>
      <w:r>
        <w:t>Jilin University, Changchun, People’s Republic of China</w:t>
      </w:r>
    </w:p>
    <w:p w14:paraId="12390A4F" w14:textId="25F9A678" w:rsidR="008B7058" w:rsidRDefault="008B7058" w:rsidP="008B7058">
      <w:pPr>
        <w:spacing w:before="240" w:after="0"/>
        <w:rPr>
          <w:rStyle w:val="Hyperlink"/>
        </w:rPr>
      </w:pPr>
      <w:r w:rsidRPr="00376CC5">
        <w:rPr>
          <w:b/>
        </w:rPr>
        <w:t xml:space="preserve">* Correspondence: </w:t>
      </w:r>
      <w:r w:rsidRPr="00376CC5">
        <w:rPr>
          <w:b/>
        </w:rPr>
        <w:br/>
      </w:r>
      <w:r>
        <w:t>Prof. Bing Zhao</w:t>
      </w:r>
      <w:r w:rsidRPr="00376CC5">
        <w:br/>
      </w:r>
      <w:hyperlink r:id="rId8" w:history="1">
        <w:r w:rsidRPr="00D16C11">
          <w:rPr>
            <w:rStyle w:val="Hyperlink"/>
          </w:rPr>
          <w:t>zhaob@jlu.edu.cn</w:t>
        </w:r>
      </w:hyperlink>
    </w:p>
    <w:p w14:paraId="757406F5" w14:textId="7F3BDC23" w:rsidR="009D5F1A" w:rsidRDefault="009D5F1A" w:rsidP="008B7058">
      <w:pPr>
        <w:spacing w:before="240" w:after="0"/>
        <w:rPr>
          <w:rStyle w:val="Hyperlink"/>
        </w:rPr>
      </w:pPr>
    </w:p>
    <w:p w14:paraId="367923BA" w14:textId="605C5788" w:rsidR="009D5F1A" w:rsidRDefault="009D5F1A" w:rsidP="008B7058">
      <w:pPr>
        <w:spacing w:before="240" w:after="0"/>
        <w:rPr>
          <w:rStyle w:val="Hyperlink"/>
        </w:rPr>
      </w:pPr>
    </w:p>
    <w:p w14:paraId="5196E8C0" w14:textId="256C009E" w:rsidR="009D5F1A" w:rsidRDefault="009D5F1A" w:rsidP="008B7058">
      <w:pPr>
        <w:spacing w:before="240" w:after="0"/>
        <w:rPr>
          <w:rStyle w:val="Hyperlink"/>
        </w:rPr>
      </w:pPr>
    </w:p>
    <w:p w14:paraId="75674A4A" w14:textId="77777777" w:rsidR="009D5F1A" w:rsidRDefault="009D5F1A" w:rsidP="008B7058">
      <w:pPr>
        <w:spacing w:before="240" w:after="0"/>
      </w:pPr>
    </w:p>
    <w:p w14:paraId="778C5B17" w14:textId="60646C6D" w:rsidR="009D5F1A" w:rsidRDefault="009D5F1A" w:rsidP="009D5F1A">
      <w:pPr>
        <w:rPr>
          <w:lang w:eastAsia="zh-CN"/>
        </w:rPr>
      </w:pPr>
    </w:p>
    <w:p w14:paraId="07A07EB2" w14:textId="33293820" w:rsidR="00E34782" w:rsidRDefault="00E34782" w:rsidP="009D5F1A">
      <w:pPr>
        <w:rPr>
          <w:lang w:eastAsia="zh-CN"/>
        </w:rPr>
      </w:pPr>
    </w:p>
    <w:p w14:paraId="4F5AE5B6" w14:textId="77777777" w:rsidR="00E34782" w:rsidRDefault="00E34782" w:rsidP="009D5F1A">
      <w:pPr>
        <w:rPr>
          <w:lang w:eastAsia="zh-CN"/>
        </w:rPr>
      </w:pPr>
    </w:p>
    <w:p w14:paraId="0D12E757" w14:textId="2941A430" w:rsidR="007D0FC4" w:rsidRDefault="007D0FC4" w:rsidP="009D5F1A">
      <w:pPr>
        <w:rPr>
          <w:lang w:eastAsia="zh-CN"/>
        </w:rPr>
      </w:pPr>
    </w:p>
    <w:p w14:paraId="56448606" w14:textId="77777777" w:rsidR="007D0FC4" w:rsidRPr="009D5F1A" w:rsidRDefault="007D0FC4" w:rsidP="009D5F1A">
      <w:pPr>
        <w:rPr>
          <w:lang w:eastAsia="zh-CN"/>
        </w:rPr>
      </w:pPr>
    </w:p>
    <w:p w14:paraId="6A15DD4D" w14:textId="1B5AD831" w:rsidR="00994A3D" w:rsidRDefault="009D5F1A" w:rsidP="009D5F1A">
      <w:pPr>
        <w:spacing w:after="0"/>
        <w:jc w:val="center"/>
      </w:pPr>
      <w:r w:rsidRPr="00F3145D">
        <w:rPr>
          <w:noProof/>
          <w:szCs w:val="24"/>
        </w:rPr>
        <w:lastRenderedPageBreak/>
        <w:drawing>
          <wp:inline distT="0" distB="0" distL="0" distR="0" wp14:anchorId="36E5041C" wp14:editId="5AC6E562">
            <wp:extent cx="3233420" cy="2157730"/>
            <wp:effectExtent l="0" t="0" r="5080" b="0"/>
            <wp:docPr id="3" name="图片 3" descr="C:\Users\Administrator\Desktop\氧化锌文章图\Supporting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氧化锌文章图\Supporting 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3420" cy="2157730"/>
                    </a:xfrm>
                    <a:prstGeom prst="rect">
                      <a:avLst/>
                    </a:prstGeom>
                    <a:noFill/>
                    <a:ln>
                      <a:noFill/>
                    </a:ln>
                  </pic:spPr>
                </pic:pic>
              </a:graphicData>
            </a:graphic>
          </wp:inline>
        </w:drawing>
      </w:r>
    </w:p>
    <w:p w14:paraId="4E79F237" w14:textId="67D0F08D" w:rsidR="009D5F1A" w:rsidRDefault="009D5F1A" w:rsidP="002B4A57">
      <w:pPr>
        <w:rPr>
          <w:bCs/>
          <w:szCs w:val="21"/>
          <w:lang w:val="en-GB"/>
        </w:rPr>
      </w:pPr>
      <w:r w:rsidRPr="00F46422">
        <w:rPr>
          <w:b/>
          <w:bCs/>
          <w:szCs w:val="21"/>
          <w:lang w:val="en-GB"/>
        </w:rPr>
        <w:t xml:space="preserve">Figure S1. </w:t>
      </w:r>
      <w:r w:rsidRPr="00F46422">
        <w:rPr>
          <w:bCs/>
          <w:szCs w:val="21"/>
          <w:lang w:val="en-GB"/>
        </w:rPr>
        <w:t xml:space="preserve">The relationship between FWHM of XRD and the </w:t>
      </w:r>
      <w:r>
        <w:rPr>
          <w:bCs/>
          <w:szCs w:val="21"/>
          <w:lang w:val="en-GB"/>
        </w:rPr>
        <w:t>r</w:t>
      </w:r>
      <w:r w:rsidRPr="00F46422">
        <w:rPr>
          <w:bCs/>
          <w:szCs w:val="21"/>
          <w:lang w:val="en-GB"/>
        </w:rPr>
        <w:t>atio of Ga&amp;Zn.</w:t>
      </w:r>
    </w:p>
    <w:p w14:paraId="55A94C07" w14:textId="77777777" w:rsidR="00BE7D01" w:rsidRDefault="00BE7D01" w:rsidP="002B4A57">
      <w:pPr>
        <w:rPr>
          <w:bCs/>
          <w:szCs w:val="21"/>
          <w:lang w:val="en-GB"/>
        </w:rPr>
      </w:pPr>
    </w:p>
    <w:p w14:paraId="014D7C96" w14:textId="375EC17E" w:rsidR="00FC2A4A" w:rsidRDefault="00FC2A4A" w:rsidP="002B4A57">
      <w:pPr>
        <w:rPr>
          <w:lang w:val="en-GB"/>
        </w:rPr>
      </w:pPr>
      <w:r w:rsidRPr="00FC2A4A">
        <w:rPr>
          <w:noProof/>
          <w:lang w:val="en-GB"/>
        </w:rPr>
        <w:drawing>
          <wp:inline distT="0" distB="0" distL="0" distR="0" wp14:anchorId="62564341" wp14:editId="225EEDC8">
            <wp:extent cx="3072765" cy="2051685"/>
            <wp:effectExtent l="0" t="0" r="0" b="5715"/>
            <wp:docPr id="2" name="图片 2"/>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2051685"/>
                    </a:xfrm>
                    <a:prstGeom prst="rect">
                      <a:avLst/>
                    </a:prstGeom>
                    <a:noFill/>
                    <a:ln>
                      <a:noFill/>
                    </a:ln>
                  </pic:spPr>
                </pic:pic>
              </a:graphicData>
            </a:graphic>
          </wp:inline>
        </w:drawing>
      </w:r>
      <w:r w:rsidRPr="00FC2A4A">
        <w:rPr>
          <w:noProof/>
        </w:rPr>
        <w:t xml:space="preserve"> </w:t>
      </w:r>
      <w:r w:rsidRPr="00FC2A4A">
        <w:rPr>
          <w:noProof/>
          <w:lang w:val="en-GB"/>
        </w:rPr>
        <w:drawing>
          <wp:inline distT="0" distB="0" distL="0" distR="0" wp14:anchorId="3F1F5BFE" wp14:editId="3118E34F">
            <wp:extent cx="3072765" cy="2051685"/>
            <wp:effectExtent l="0" t="0" r="0" b="5715"/>
            <wp:docPr id="6" name="图片 6"/>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2051685"/>
                    </a:xfrm>
                    <a:prstGeom prst="rect">
                      <a:avLst/>
                    </a:prstGeom>
                    <a:noFill/>
                    <a:ln>
                      <a:noFill/>
                    </a:ln>
                  </pic:spPr>
                </pic:pic>
              </a:graphicData>
            </a:graphic>
          </wp:inline>
        </w:drawing>
      </w:r>
      <w:r w:rsidRPr="00FC2A4A">
        <w:rPr>
          <w:noProof/>
          <w:lang w:val="en-GB"/>
        </w:rPr>
        <w:drawing>
          <wp:inline distT="0" distB="0" distL="0" distR="0" wp14:anchorId="0C94D729" wp14:editId="450EE61C">
            <wp:extent cx="3072765" cy="2051685"/>
            <wp:effectExtent l="0" t="0" r="0" b="5715"/>
            <wp:docPr id="9" name="图片 9"/>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765" cy="2051685"/>
                    </a:xfrm>
                    <a:prstGeom prst="rect">
                      <a:avLst/>
                    </a:prstGeom>
                    <a:noFill/>
                    <a:ln>
                      <a:noFill/>
                    </a:ln>
                  </pic:spPr>
                </pic:pic>
              </a:graphicData>
            </a:graphic>
          </wp:inline>
        </w:drawing>
      </w:r>
      <w:r w:rsidRPr="00FC2A4A">
        <w:rPr>
          <w:lang w:val="en-GB"/>
        </w:rPr>
        <w:t xml:space="preserve"> </w:t>
      </w:r>
    </w:p>
    <w:p w14:paraId="4931D1F2" w14:textId="5AD69D94" w:rsidR="00FC2A4A" w:rsidRPr="00C50FDE" w:rsidRDefault="00FC2A4A" w:rsidP="00BE7D01">
      <w:pPr>
        <w:spacing w:before="0"/>
        <w:jc w:val="both"/>
        <w:rPr>
          <w:sz w:val="21"/>
        </w:rPr>
      </w:pPr>
      <w:r w:rsidRPr="00C50FDE">
        <w:rPr>
          <w:b/>
        </w:rPr>
        <w:t>Figure S2.</w:t>
      </w:r>
      <w:r w:rsidRPr="00C50FDE">
        <w:t xml:space="preserve"> XPS spectra of ZnO and Ga-doped ZnO NPs with different ratio of Ga&amp;Zn: (a) Wide scan, (b) Narrow scan at Ga2p</w:t>
      </w:r>
      <w:r w:rsidRPr="00C50FDE">
        <w:rPr>
          <w:vertAlign w:val="subscript"/>
        </w:rPr>
        <w:t>3/2</w:t>
      </w:r>
      <w:r w:rsidRPr="00C50FDE">
        <w:t xml:space="preserve"> and Ga2p</w:t>
      </w:r>
      <w:r w:rsidRPr="00C50FDE">
        <w:rPr>
          <w:vertAlign w:val="subscript"/>
        </w:rPr>
        <w:t>1/2</w:t>
      </w:r>
      <w:r w:rsidRPr="00C50FDE">
        <w:t>, (c) Narrow scan at Zn2p</w:t>
      </w:r>
      <w:r w:rsidRPr="00C50FDE">
        <w:rPr>
          <w:vertAlign w:val="subscript"/>
        </w:rPr>
        <w:t>3/2</w:t>
      </w:r>
      <w:r w:rsidRPr="00C50FDE">
        <w:t xml:space="preserve"> and Zn2p</w:t>
      </w:r>
      <w:r w:rsidRPr="00C50FDE">
        <w:rPr>
          <w:vertAlign w:val="subscript"/>
        </w:rPr>
        <w:t>1/2</w:t>
      </w:r>
      <w:r w:rsidRPr="00C50FDE">
        <w:t xml:space="preserve"> peak.</w:t>
      </w:r>
    </w:p>
    <w:p w14:paraId="4A269EBE" w14:textId="6E0DE43B" w:rsidR="009D5F1A" w:rsidRDefault="009D5F1A" w:rsidP="009D5F1A">
      <w:pPr>
        <w:spacing w:after="0"/>
        <w:jc w:val="center"/>
      </w:pPr>
      <w:r w:rsidRPr="00F3145D">
        <w:rPr>
          <w:noProof/>
          <w:szCs w:val="24"/>
        </w:rPr>
        <w:lastRenderedPageBreak/>
        <w:drawing>
          <wp:inline distT="0" distB="0" distL="0" distR="0" wp14:anchorId="749779B2" wp14:editId="282EFF4E">
            <wp:extent cx="3182875" cy="2124000"/>
            <wp:effectExtent l="0" t="0" r="0" b="0"/>
            <wp:docPr id="4" name="图片 4" descr="C:\Users\Administrator\Desktop\氧化锌文章图\Supporting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氧化锌文章图\Supporting Figure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2875" cy="2124000"/>
                    </a:xfrm>
                    <a:prstGeom prst="rect">
                      <a:avLst/>
                    </a:prstGeom>
                    <a:noFill/>
                    <a:ln>
                      <a:noFill/>
                    </a:ln>
                  </pic:spPr>
                </pic:pic>
              </a:graphicData>
            </a:graphic>
          </wp:inline>
        </w:drawing>
      </w:r>
    </w:p>
    <w:p w14:paraId="6CFF57F5" w14:textId="5AF66463" w:rsidR="009D5F1A" w:rsidRPr="00F46422" w:rsidRDefault="009D5F1A" w:rsidP="009D5F1A">
      <w:pPr>
        <w:spacing w:line="360" w:lineRule="auto"/>
        <w:rPr>
          <w:bCs/>
          <w:szCs w:val="21"/>
          <w:lang w:val="en-GB"/>
        </w:rPr>
      </w:pPr>
      <w:bookmarkStart w:id="3" w:name="_Hlk535165182"/>
      <w:r w:rsidRPr="00F46422">
        <w:rPr>
          <w:b/>
          <w:bCs/>
          <w:szCs w:val="21"/>
          <w:lang w:val="en-GB"/>
        </w:rPr>
        <w:t>Figure S</w:t>
      </w:r>
      <w:r w:rsidR="00B970C8">
        <w:rPr>
          <w:b/>
          <w:bCs/>
          <w:szCs w:val="21"/>
          <w:lang w:val="en-GB"/>
        </w:rPr>
        <w:t>3</w:t>
      </w:r>
      <w:r w:rsidRPr="00F46422">
        <w:rPr>
          <w:b/>
          <w:bCs/>
          <w:szCs w:val="21"/>
          <w:lang w:val="en-GB"/>
        </w:rPr>
        <w:t>.</w:t>
      </w:r>
      <w:r w:rsidRPr="00F46422">
        <w:rPr>
          <w:bCs/>
          <w:szCs w:val="21"/>
          <w:lang w:val="en-GB"/>
        </w:rPr>
        <w:t xml:space="preserve"> The Raman spectra of pure ZnO NPs in the range of 200-1800cm</w:t>
      </w:r>
      <w:r w:rsidRPr="00F46422">
        <w:rPr>
          <w:bCs/>
          <w:szCs w:val="21"/>
          <w:vertAlign w:val="superscript"/>
          <w:lang w:val="en-GB"/>
        </w:rPr>
        <w:t>-1</w:t>
      </w:r>
      <w:r w:rsidRPr="00F46422">
        <w:rPr>
          <w:bCs/>
          <w:szCs w:val="21"/>
          <w:lang w:val="en-GB"/>
        </w:rPr>
        <w:t>.</w:t>
      </w:r>
      <w:bookmarkEnd w:id="3"/>
    </w:p>
    <w:p w14:paraId="35EAC3C3" w14:textId="1EB08DCC" w:rsidR="009D5F1A" w:rsidRPr="009D5F1A" w:rsidRDefault="009D5F1A" w:rsidP="009D5F1A">
      <w:pPr>
        <w:spacing w:after="0"/>
        <w:jc w:val="center"/>
        <w:rPr>
          <w:rFonts w:cs="Times New Roman"/>
          <w:szCs w:val="24"/>
          <w:u w:val="single"/>
          <w:lang w:val="en-GB"/>
        </w:rPr>
      </w:pPr>
      <w:r>
        <w:rPr>
          <w:rFonts w:hint="eastAsia"/>
          <w:noProof/>
          <w:szCs w:val="24"/>
        </w:rPr>
        <w:drawing>
          <wp:inline distT="0" distB="0" distL="0" distR="0" wp14:anchorId="5DEF697A" wp14:editId="195E47DD">
            <wp:extent cx="5842236" cy="2124000"/>
            <wp:effectExtent l="0" t="0" r="6350" b="0"/>
            <wp:docPr id="5" name="图片 5" descr="EF-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9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2236" cy="2124000"/>
                    </a:xfrm>
                    <a:prstGeom prst="rect">
                      <a:avLst/>
                    </a:prstGeom>
                    <a:noFill/>
                    <a:ln>
                      <a:noFill/>
                    </a:ln>
                  </pic:spPr>
                </pic:pic>
              </a:graphicData>
            </a:graphic>
          </wp:inline>
        </w:drawing>
      </w:r>
    </w:p>
    <w:p w14:paraId="27CE0297" w14:textId="7FDBA33D" w:rsidR="009D5F1A" w:rsidRDefault="009D5F1A" w:rsidP="007D0FC4">
      <w:pPr>
        <w:jc w:val="both"/>
        <w:rPr>
          <w:rFonts w:cs="Times New Roman"/>
          <w:szCs w:val="24"/>
          <w:u w:val="single"/>
        </w:rPr>
      </w:pPr>
      <w:r w:rsidRPr="00F46422">
        <w:rPr>
          <w:b/>
          <w:bCs/>
          <w:szCs w:val="21"/>
          <w:lang w:val="en-GB"/>
        </w:rPr>
        <w:t>Figure S</w:t>
      </w:r>
      <w:r w:rsidR="00B970C8">
        <w:rPr>
          <w:b/>
          <w:bCs/>
          <w:szCs w:val="21"/>
          <w:lang w:val="en-GB"/>
        </w:rPr>
        <w:t>4</w:t>
      </w:r>
      <w:r w:rsidRPr="00F46422">
        <w:rPr>
          <w:b/>
          <w:bCs/>
          <w:szCs w:val="21"/>
          <w:lang w:val="en-GB"/>
        </w:rPr>
        <w:t>.</w:t>
      </w:r>
      <w:r w:rsidRPr="00F46422">
        <w:rPr>
          <w:bCs/>
          <w:szCs w:val="21"/>
          <w:lang w:val="en-GB"/>
        </w:rPr>
        <w:t xml:space="preserve"> (a) a, b, c are the Normal Raman spectra of 4-MBA solution (0.1mol/L) and SERS spectra of 4-MBA adsorbed on pure and Ga-doped (6%,</w:t>
      </w:r>
      <w:r>
        <w:rPr>
          <w:bCs/>
          <w:szCs w:val="21"/>
          <w:lang w:val="en-GB"/>
        </w:rPr>
        <w:t xml:space="preserve"> </w:t>
      </w:r>
      <w:r w:rsidRPr="00F46422">
        <w:rPr>
          <w:bCs/>
          <w:szCs w:val="21"/>
          <w:lang w:val="en-GB"/>
        </w:rPr>
        <w:t>in</w:t>
      </w:r>
      <w:r>
        <w:rPr>
          <w:bCs/>
          <w:szCs w:val="21"/>
          <w:lang w:val="en-GB"/>
        </w:rPr>
        <w:t>i</w:t>
      </w:r>
      <w:r w:rsidRPr="00F46422">
        <w:rPr>
          <w:bCs/>
          <w:szCs w:val="21"/>
          <w:lang w:val="en-GB"/>
        </w:rPr>
        <w:t>tial ratio) ZnO nanoparticles, respectively. (b) The relationship between the EF (calculated by intensity of the 1594 cm</w:t>
      </w:r>
      <w:r w:rsidRPr="00F46422">
        <w:rPr>
          <w:bCs/>
          <w:szCs w:val="21"/>
          <w:vertAlign w:val="superscript"/>
          <w:lang w:val="en-GB"/>
        </w:rPr>
        <w:t>-1</w:t>
      </w:r>
      <w:r w:rsidRPr="00F46422">
        <w:rPr>
          <w:bCs/>
          <w:szCs w:val="21"/>
          <w:lang w:val="en-GB"/>
        </w:rPr>
        <w:t xml:space="preserve"> peak) and the actual ratio of Ga&amp;Zn for Ga-doped ZnO NPs.</w:t>
      </w:r>
    </w:p>
    <w:p w14:paraId="6DC80F25" w14:textId="77777777" w:rsidR="009D5F1A" w:rsidRPr="00C12B37" w:rsidRDefault="009D5F1A" w:rsidP="00C12B37">
      <w:pPr>
        <w:jc w:val="both"/>
        <w:rPr>
          <w:rStyle w:val="RSCB02ArticleTextChar"/>
          <w:rFonts w:ascii="Times New Roman" w:hAnsi="Times New Roman"/>
          <w:b/>
          <w:sz w:val="24"/>
          <w:szCs w:val="24"/>
          <w:lang w:eastAsia="zh-CN"/>
        </w:rPr>
      </w:pPr>
      <w:r w:rsidRPr="00C12B37">
        <w:rPr>
          <w:rStyle w:val="RSCB02ArticleTextChar"/>
          <w:rFonts w:ascii="Times New Roman" w:hAnsi="Times New Roman"/>
          <w:b/>
          <w:sz w:val="24"/>
          <w:szCs w:val="24"/>
        </w:rPr>
        <w:t>The enhancement factor (EF) of the Ga-doped ZnO nanoparticles.</w:t>
      </w:r>
    </w:p>
    <w:p w14:paraId="2EF9E518" w14:textId="6B76164F" w:rsidR="009D5F1A" w:rsidRPr="00C12B37" w:rsidRDefault="009D5F1A" w:rsidP="00C12B37">
      <w:pPr>
        <w:jc w:val="both"/>
        <w:rPr>
          <w:rStyle w:val="RSCB02ArticleTextChar"/>
          <w:rFonts w:ascii="Times New Roman" w:hAnsi="Times New Roman"/>
          <w:sz w:val="24"/>
          <w:szCs w:val="24"/>
          <w:lang w:eastAsia="zh-CN"/>
        </w:rPr>
      </w:pPr>
      <w:r w:rsidRPr="00C12B37">
        <w:rPr>
          <w:rStyle w:val="RSCB02ArticleTextChar"/>
          <w:rFonts w:ascii="Times New Roman" w:hAnsi="Times New Roman"/>
          <w:sz w:val="24"/>
          <w:szCs w:val="24"/>
          <w:lang w:eastAsia="zh-CN"/>
        </w:rPr>
        <w:t xml:space="preserve">To estimate and compare the enhancement ability of </w:t>
      </w:r>
      <w:bookmarkStart w:id="4" w:name="OLE_LINK4"/>
      <w:r w:rsidRPr="00C12B37">
        <w:rPr>
          <w:rStyle w:val="RSCB02ArticleTextChar"/>
          <w:rFonts w:ascii="Times New Roman" w:hAnsi="Times New Roman"/>
          <w:sz w:val="24"/>
          <w:szCs w:val="24"/>
          <w:lang w:eastAsia="zh-CN"/>
        </w:rPr>
        <w:t>Ga-doped ZnO</w:t>
      </w:r>
      <w:bookmarkEnd w:id="4"/>
      <w:r w:rsidRPr="00C12B37">
        <w:rPr>
          <w:rStyle w:val="RSCB02ArticleTextChar"/>
          <w:rFonts w:ascii="Times New Roman" w:hAnsi="Times New Roman"/>
          <w:sz w:val="24"/>
          <w:szCs w:val="24"/>
          <w:lang w:eastAsia="zh-CN"/>
        </w:rPr>
        <w:t xml:space="preserve"> NPs with various ratio of Ga&amp;Zn acc</w:t>
      </w:r>
      <w:r w:rsidR="00832EA5">
        <w:rPr>
          <w:rStyle w:val="RSCB02ArticleTextChar"/>
          <w:rFonts w:ascii="Times New Roman" w:hAnsi="Times New Roman" w:hint="eastAsia"/>
          <w:sz w:val="24"/>
          <w:szCs w:val="24"/>
          <w:lang w:eastAsia="zh-CN"/>
        </w:rPr>
        <w:t>u</w:t>
      </w:r>
      <w:r w:rsidRPr="00C12B37">
        <w:rPr>
          <w:rStyle w:val="RSCB02ArticleTextChar"/>
          <w:rFonts w:ascii="Times New Roman" w:hAnsi="Times New Roman"/>
          <w:sz w:val="24"/>
          <w:szCs w:val="24"/>
          <w:lang w:eastAsia="zh-CN"/>
        </w:rPr>
        <w:t xml:space="preserve">rately, we calculated the magnitude of the enhancement factor (EF) by the following </w:t>
      </w:r>
      <w:r w:rsidRPr="00C50FDE">
        <w:rPr>
          <w:rStyle w:val="RSCB02ArticleTextChar"/>
          <w:rFonts w:ascii="Times New Roman" w:hAnsi="Times New Roman"/>
          <w:sz w:val="24"/>
          <w:szCs w:val="24"/>
          <w:lang w:eastAsia="zh-CN"/>
        </w:rPr>
        <w:t>equation</w:t>
      </w:r>
      <w:r w:rsidR="005347CC" w:rsidRPr="00C50FDE">
        <w:rPr>
          <w:rStyle w:val="RSCB02ArticleTextChar"/>
          <w:rFonts w:ascii="Times New Roman" w:hAnsi="Times New Roman"/>
          <w:sz w:val="24"/>
          <w:szCs w:val="24"/>
          <w:lang w:eastAsia="zh-CN"/>
        </w:rPr>
        <w:t xml:space="preserve"> </w:t>
      </w:r>
      <w:r w:rsidR="005347CC" w:rsidRPr="00C50FDE">
        <w:rPr>
          <w:rStyle w:val="RSCB02ArticleTextChar"/>
          <w:rFonts w:ascii="Times New Roman" w:hAnsi="Times New Roman"/>
          <w:sz w:val="24"/>
          <w:szCs w:val="24"/>
          <w:lang w:eastAsia="zh-CN"/>
        </w:rPr>
        <w:fldChar w:fldCharType="begin"/>
      </w:r>
      <w:r w:rsidR="005347CC" w:rsidRPr="00C50FDE">
        <w:rPr>
          <w:rStyle w:val="RSCB02ArticleTextChar"/>
          <w:rFonts w:ascii="Times New Roman" w:hAnsi="Times New Roman"/>
          <w:sz w:val="24"/>
          <w:szCs w:val="24"/>
          <w:lang w:eastAsia="zh-CN"/>
        </w:rPr>
        <w:instrText xml:space="preserve"> ADDIN EN.CITE &lt;EndNote&gt;&lt;Cite&gt;&lt;Author&gt;Xie&lt;/Author&gt;&lt;Year&gt;2011&lt;/Year&gt;&lt;RecNum&gt;505&lt;/RecNum&gt;&lt;DisplayText&gt;(Xie et al., 2011; Zhao et al., 2015)&lt;/DisplayText&gt;&lt;record&gt;&lt;rec-number&gt;505&lt;/rec-number&gt;&lt;foreign-keys&gt;&lt;key app="EN" db-id="29favsta59tzwnedv595xtf4pdzf5p9zwdfv" timestamp="1547590184"&gt;505&lt;/key&gt;&lt;/foreign-keys&gt;&lt;ref-type name="Journal Article"&gt;17&lt;/ref-type&gt;&lt;contributors&gt;&lt;authors&gt;&lt;author&gt;Xie, Yunfei&lt;/author&gt;&lt;author&gt;Wang, Xu&lt;/author&gt;&lt;author&gt;Han, Xiaoxia&lt;/author&gt;&lt;author&gt;Song, Wei&lt;/author&gt;&lt;author&gt;Ruan, Weidong&lt;/author&gt;&lt;author&gt;Liu, Junqiu&lt;/author&gt;&lt;author&gt;Zhao, Bing&lt;/author&gt;&lt;author&gt;Ozaki, Yukihiro&lt;/author&gt;&lt;/authors&gt;&lt;/contributors&gt;&lt;titles&gt;&lt;title&gt;Selective SERS detection of each polycyclic aromatic hydrocarbon (PAH) in a mixture of five kinds of PAHs&lt;/title&gt;&lt;secondary-title&gt;Journal of Raman Spectroscopy&lt;/secondary-title&gt;&lt;/titles&gt;&lt;periodical&gt;&lt;full-title&gt;Journal of Raman Spectroscopy&lt;/full-title&gt;&lt;/periodical&gt;&lt;pages&gt;945-950&lt;/pages&gt;&lt;volume&gt;42&lt;/volume&gt;&lt;number&gt;5&lt;/number&gt;&lt;dates&gt;&lt;year&gt;2011&lt;/year&gt;&lt;/dates&gt;&lt;isbn&gt;0377-0486&lt;/isbn&gt;&lt;urls&gt;&lt;/urls&gt;&lt;/record&gt;&lt;/Cite&gt;&lt;Cite&gt;&lt;Author&gt;Zhao&lt;/Author&gt;&lt;Year&gt;2015&lt;/Year&gt;&lt;RecNum&gt;504&lt;/RecNum&gt;&lt;record&gt;&lt;rec-number&gt;504&lt;/rec-number&gt;&lt;foreign-keys&gt;&lt;key app="EN" db-id="29favsta59tzwnedv595xtf4pdzf5p9zwdfv" timestamp="1547590129"&gt;504&lt;/key&gt;&lt;/foreign-keys&gt;&lt;ref-type name="Journal Article"&gt;17&lt;/ref-type&gt;&lt;contributors&gt;&lt;authors&gt;&lt;author&gt;Zhao, Hongyue&lt;/author&gt;&lt;author&gt;Jin, Jing&lt;/author&gt;&lt;author&gt;Tian, Weijun&lt;/author&gt;&lt;author&gt;Li, Ran&lt;/author&gt;&lt;author&gt;Yu, Zhi&lt;/author&gt;&lt;author&gt;Song, Wei&lt;/author&gt;&lt;author&gt;Cong, Qian&lt;/author&gt;&lt;author&gt;Zhao, Bing&lt;/author&gt;&lt;author&gt;Ozaki, Yukihiro&lt;/author&gt;&lt;/authors&gt;&lt;/contributors&gt;&lt;titles&gt;&lt;title&gt;Three-dimensional superhydrophobic surface-enhanced Raman spectroscopy substrate for sensitive detection of pollutants in real environments&lt;/title&gt;&lt;secondary-title&gt;Journal of Materials Chemistry A&lt;/secondary-title&gt;&lt;/titles&gt;&lt;periodical&gt;&lt;full-title&gt;Journal of Materials Chemistry A&lt;/full-title&gt;&lt;/periodical&gt;&lt;pages&gt;4330-4337&lt;/pages&gt;&lt;volume&gt;3&lt;/volume&gt;&lt;number&gt;8&lt;/number&gt;&lt;dates&gt;&lt;year&gt;2015&lt;/year&gt;&lt;/dates&gt;&lt;urls&gt;&lt;/urls&gt;&lt;/record&gt;&lt;/Cite&gt;&lt;/EndNote&gt;</w:instrText>
      </w:r>
      <w:r w:rsidR="005347CC" w:rsidRPr="00C50FDE">
        <w:rPr>
          <w:rStyle w:val="RSCB02ArticleTextChar"/>
          <w:rFonts w:ascii="Times New Roman" w:hAnsi="Times New Roman"/>
          <w:sz w:val="24"/>
          <w:szCs w:val="24"/>
          <w:lang w:eastAsia="zh-CN"/>
        </w:rPr>
        <w:fldChar w:fldCharType="separate"/>
      </w:r>
      <w:r w:rsidR="005347CC" w:rsidRPr="00C50FDE">
        <w:rPr>
          <w:rStyle w:val="RSCB02ArticleTextChar"/>
          <w:rFonts w:ascii="Times New Roman" w:hAnsi="Times New Roman"/>
          <w:noProof/>
          <w:sz w:val="24"/>
          <w:szCs w:val="24"/>
          <w:lang w:eastAsia="zh-CN"/>
        </w:rPr>
        <w:t>(Xie et al., 2011; Zhao et al., 2015)</w:t>
      </w:r>
      <w:r w:rsidR="005347CC" w:rsidRPr="00C50FDE">
        <w:rPr>
          <w:rStyle w:val="RSCB02ArticleTextChar"/>
          <w:rFonts w:ascii="Times New Roman" w:hAnsi="Times New Roman"/>
          <w:sz w:val="24"/>
          <w:szCs w:val="24"/>
          <w:lang w:eastAsia="zh-CN"/>
        </w:rPr>
        <w:fldChar w:fldCharType="end"/>
      </w:r>
      <w:r w:rsidRPr="00C50FDE">
        <w:rPr>
          <w:rStyle w:val="RSCB02ArticleTextChar"/>
          <w:rFonts w:ascii="Times New Roman" w:hAnsi="Times New Roman"/>
          <w:sz w:val="24"/>
          <w:szCs w:val="24"/>
          <w:lang w:eastAsia="zh-CN"/>
        </w:rPr>
        <w:t>:</w:t>
      </w:r>
    </w:p>
    <w:p w14:paraId="43D69DDD" w14:textId="77777777" w:rsidR="009D5F1A" w:rsidRPr="00C12B37" w:rsidRDefault="009D5F1A" w:rsidP="00C12B37">
      <w:pPr>
        <w:jc w:val="center"/>
        <w:rPr>
          <w:rStyle w:val="RSCB02ArticleTextChar"/>
          <w:rFonts w:ascii="Times New Roman" w:hAnsi="Times New Roman"/>
          <w:sz w:val="24"/>
          <w:szCs w:val="24"/>
          <w:lang w:eastAsia="zh-CN"/>
        </w:rPr>
      </w:pPr>
      <w:r w:rsidRPr="00C12B37">
        <w:rPr>
          <w:rStyle w:val="RSCB02ArticleTextChar"/>
          <w:rFonts w:ascii="Times New Roman" w:hAnsi="Times New Roman"/>
          <w:sz w:val="24"/>
          <w:szCs w:val="24"/>
          <w:lang w:eastAsia="zh-CN"/>
        </w:rPr>
        <w:t>EF=(I</w:t>
      </w:r>
      <w:r w:rsidRPr="00C12B37">
        <w:rPr>
          <w:rStyle w:val="RSCB02ArticleTextChar"/>
          <w:rFonts w:ascii="Times New Roman" w:hAnsi="Times New Roman"/>
          <w:sz w:val="24"/>
          <w:szCs w:val="24"/>
          <w:vertAlign w:val="subscript"/>
          <w:lang w:eastAsia="zh-CN"/>
        </w:rPr>
        <w:t>SERS</w:t>
      </w:r>
      <w:r w:rsidRPr="00C12B37">
        <w:rPr>
          <w:rStyle w:val="RSCB02ArticleTextChar"/>
          <w:rFonts w:ascii="Times New Roman" w:hAnsi="Times New Roman"/>
          <w:sz w:val="24"/>
          <w:szCs w:val="24"/>
          <w:lang w:eastAsia="zh-CN"/>
        </w:rPr>
        <w:t>/N</w:t>
      </w:r>
      <w:r w:rsidRPr="00C12B37">
        <w:rPr>
          <w:rStyle w:val="RSCB02ArticleTextChar"/>
          <w:rFonts w:ascii="Times New Roman" w:hAnsi="Times New Roman"/>
          <w:sz w:val="24"/>
          <w:szCs w:val="24"/>
          <w:vertAlign w:val="subscript"/>
          <w:lang w:eastAsia="zh-CN"/>
        </w:rPr>
        <w:t>SERS</w:t>
      </w:r>
      <w:r w:rsidRPr="00C12B37">
        <w:rPr>
          <w:rStyle w:val="RSCB02ArticleTextChar"/>
          <w:rFonts w:ascii="Times New Roman" w:hAnsi="Times New Roman"/>
          <w:sz w:val="24"/>
          <w:szCs w:val="24"/>
          <w:lang w:eastAsia="zh-CN"/>
        </w:rPr>
        <w:t>)/(I</w:t>
      </w:r>
      <w:r w:rsidRPr="00C12B37">
        <w:rPr>
          <w:rStyle w:val="RSCB02ArticleTextChar"/>
          <w:rFonts w:ascii="Times New Roman" w:hAnsi="Times New Roman"/>
          <w:sz w:val="24"/>
          <w:szCs w:val="24"/>
          <w:vertAlign w:val="subscript"/>
          <w:lang w:eastAsia="zh-CN"/>
        </w:rPr>
        <w:t>bulk</w:t>
      </w:r>
      <w:r w:rsidRPr="00C12B37">
        <w:rPr>
          <w:rStyle w:val="RSCB02ArticleTextChar"/>
          <w:rFonts w:ascii="Times New Roman" w:hAnsi="Times New Roman"/>
          <w:sz w:val="24"/>
          <w:szCs w:val="24"/>
          <w:lang w:eastAsia="zh-CN"/>
        </w:rPr>
        <w:t>/N</w:t>
      </w:r>
      <w:r w:rsidRPr="00C12B37">
        <w:rPr>
          <w:rStyle w:val="RSCB02ArticleTextChar"/>
          <w:rFonts w:ascii="Times New Roman" w:hAnsi="Times New Roman"/>
          <w:sz w:val="24"/>
          <w:szCs w:val="24"/>
          <w:vertAlign w:val="subscript"/>
          <w:lang w:eastAsia="zh-CN"/>
        </w:rPr>
        <w:t>bulk</w:t>
      </w:r>
      <w:r w:rsidRPr="00C12B37">
        <w:rPr>
          <w:rStyle w:val="RSCB02ArticleTextChar"/>
          <w:rFonts w:ascii="Times New Roman" w:hAnsi="Times New Roman"/>
          <w:sz w:val="24"/>
          <w:szCs w:val="24"/>
          <w:lang w:eastAsia="zh-CN"/>
        </w:rPr>
        <w:t>)</w:t>
      </w:r>
    </w:p>
    <w:p w14:paraId="77127422" w14:textId="101299BC" w:rsidR="009D5F1A" w:rsidRPr="00C50FDE" w:rsidRDefault="009D5F1A" w:rsidP="00C12B37">
      <w:pPr>
        <w:jc w:val="both"/>
        <w:rPr>
          <w:rStyle w:val="RSCB02ArticleTextChar"/>
          <w:rFonts w:ascii="Times New Roman" w:hAnsi="Times New Roman"/>
          <w:sz w:val="24"/>
          <w:szCs w:val="24"/>
          <w:lang w:eastAsia="zh-CN"/>
        </w:rPr>
      </w:pPr>
      <w:r w:rsidRPr="00C12B37">
        <w:rPr>
          <w:rStyle w:val="RSCB02ArticleTextChar"/>
          <w:rFonts w:ascii="Times New Roman" w:hAnsi="Times New Roman"/>
          <w:sz w:val="24"/>
          <w:szCs w:val="24"/>
          <w:lang w:eastAsia="zh-CN"/>
        </w:rPr>
        <w:t>Where I</w:t>
      </w:r>
      <w:r w:rsidRPr="00C12B37">
        <w:rPr>
          <w:rStyle w:val="RSCB02ArticleTextChar"/>
          <w:rFonts w:ascii="Times New Roman" w:hAnsi="Times New Roman"/>
          <w:sz w:val="24"/>
          <w:szCs w:val="24"/>
          <w:vertAlign w:val="subscript"/>
          <w:lang w:eastAsia="zh-CN"/>
        </w:rPr>
        <w:t>SERS</w:t>
      </w:r>
      <w:r w:rsidRPr="00C12B37">
        <w:rPr>
          <w:rStyle w:val="RSCB02ArticleTextChar"/>
          <w:rFonts w:ascii="Times New Roman" w:hAnsi="Times New Roman"/>
          <w:sz w:val="24"/>
          <w:szCs w:val="24"/>
          <w:lang w:eastAsia="zh-CN"/>
        </w:rPr>
        <w:t xml:space="preserve"> and I</w:t>
      </w:r>
      <w:r w:rsidRPr="00C12B37">
        <w:rPr>
          <w:rStyle w:val="RSCB02ArticleTextChar"/>
          <w:rFonts w:ascii="Times New Roman" w:hAnsi="Times New Roman"/>
          <w:sz w:val="24"/>
          <w:szCs w:val="24"/>
          <w:vertAlign w:val="subscript"/>
          <w:lang w:eastAsia="zh-CN"/>
        </w:rPr>
        <w:t>bulk</w:t>
      </w:r>
      <w:r w:rsidRPr="00C12B37">
        <w:rPr>
          <w:rStyle w:val="RSCB02ArticleTextChar"/>
          <w:rFonts w:ascii="Times New Roman" w:hAnsi="Times New Roman"/>
          <w:sz w:val="24"/>
          <w:szCs w:val="24"/>
          <w:lang w:eastAsia="zh-CN"/>
        </w:rPr>
        <w:t xml:space="preserve"> are the SERS intensities of 4-MBA on the Ga-doped ZnO NPs and normal Raman scattering intensity of the 4-MBA solution (0.1 mol/L) which was dropped (10μL) onto the gl</w:t>
      </w:r>
      <w:r w:rsidR="00816AC3">
        <w:rPr>
          <w:rStyle w:val="RSCB02ArticleTextChar"/>
          <w:rFonts w:ascii="Times New Roman" w:hAnsi="Times New Roman"/>
          <w:sz w:val="24"/>
          <w:szCs w:val="24"/>
          <w:lang w:eastAsia="zh-CN"/>
        </w:rPr>
        <w:t>a</w:t>
      </w:r>
      <w:r w:rsidRPr="00C12B37">
        <w:rPr>
          <w:rStyle w:val="RSCB02ArticleTextChar"/>
          <w:rFonts w:ascii="Times New Roman" w:hAnsi="Times New Roman"/>
          <w:sz w:val="24"/>
          <w:szCs w:val="24"/>
          <w:lang w:eastAsia="zh-CN"/>
        </w:rPr>
        <w:t>ss and dried become a round s</w:t>
      </w:r>
      <w:r w:rsidR="00D915E8">
        <w:rPr>
          <w:rStyle w:val="RSCB02ArticleTextChar"/>
          <w:rFonts w:ascii="Times New Roman" w:hAnsi="Times New Roman"/>
          <w:sz w:val="24"/>
          <w:szCs w:val="24"/>
          <w:lang w:eastAsia="zh-CN"/>
        </w:rPr>
        <w:t>po</w:t>
      </w:r>
      <w:r w:rsidRPr="00C12B37">
        <w:rPr>
          <w:rStyle w:val="RSCB02ArticleTextChar"/>
          <w:rFonts w:ascii="Times New Roman" w:hAnsi="Times New Roman"/>
          <w:sz w:val="24"/>
          <w:szCs w:val="24"/>
          <w:lang w:eastAsia="zh-CN"/>
        </w:rPr>
        <w:t>t, respectively. N</w:t>
      </w:r>
      <w:r w:rsidRPr="00C12B37">
        <w:rPr>
          <w:rStyle w:val="RSCB02ArticleTextChar"/>
          <w:rFonts w:ascii="Times New Roman" w:hAnsi="Times New Roman"/>
          <w:sz w:val="24"/>
          <w:szCs w:val="24"/>
          <w:vertAlign w:val="subscript"/>
          <w:lang w:eastAsia="zh-CN"/>
        </w:rPr>
        <w:t>SERS</w:t>
      </w:r>
      <w:r w:rsidRPr="00C12B37">
        <w:rPr>
          <w:rStyle w:val="RSCB02ArticleTextChar"/>
          <w:rFonts w:ascii="Times New Roman" w:hAnsi="Times New Roman"/>
          <w:sz w:val="24"/>
          <w:szCs w:val="24"/>
          <w:lang w:eastAsia="zh-CN"/>
        </w:rPr>
        <w:t xml:space="preserve"> and </w:t>
      </w:r>
      <w:bookmarkStart w:id="5" w:name="OLE_LINK5"/>
      <w:r w:rsidRPr="00C12B37">
        <w:rPr>
          <w:rStyle w:val="RSCB02ArticleTextChar"/>
          <w:rFonts w:ascii="Times New Roman" w:hAnsi="Times New Roman"/>
          <w:sz w:val="24"/>
          <w:szCs w:val="24"/>
          <w:lang w:eastAsia="zh-CN"/>
        </w:rPr>
        <w:t>N</w:t>
      </w:r>
      <w:r w:rsidRPr="00C12B37">
        <w:rPr>
          <w:rStyle w:val="RSCB02ArticleTextChar"/>
          <w:rFonts w:ascii="Times New Roman" w:hAnsi="Times New Roman"/>
          <w:sz w:val="24"/>
          <w:szCs w:val="24"/>
          <w:vertAlign w:val="subscript"/>
          <w:lang w:eastAsia="zh-CN"/>
        </w:rPr>
        <w:t>bulk</w:t>
      </w:r>
      <w:r w:rsidRPr="00C12B37">
        <w:rPr>
          <w:rStyle w:val="RSCB02ArticleTextChar"/>
          <w:rFonts w:ascii="Times New Roman" w:hAnsi="Times New Roman"/>
          <w:sz w:val="24"/>
          <w:szCs w:val="24"/>
          <w:lang w:eastAsia="zh-CN"/>
        </w:rPr>
        <w:t xml:space="preserve"> are</w:t>
      </w:r>
      <w:bookmarkEnd w:id="5"/>
      <w:r w:rsidRPr="00C12B37">
        <w:rPr>
          <w:rStyle w:val="RSCB02ArticleTextChar"/>
          <w:rFonts w:ascii="Times New Roman" w:hAnsi="Times New Roman"/>
          <w:sz w:val="24"/>
          <w:szCs w:val="24"/>
          <w:lang w:eastAsia="zh-CN"/>
        </w:rPr>
        <w:t xml:space="preserve"> the numbers of the 4-MBA molecule adsorbed on the Ga-doped ZnO NPs and bulk molecule illuminated by the 633 nm laser excitation to obtain the corresponding SERS and normal Raman spectra, respectively. In our experiment, the laser spot is 1 μm in diameter and the penetration depth is 17 μm of the focused laser beam used; the diameter of round sp</w:t>
      </w:r>
      <w:r w:rsidR="006D3C0B">
        <w:rPr>
          <w:rStyle w:val="RSCB02ArticleTextChar"/>
          <w:rFonts w:ascii="Times New Roman" w:hAnsi="Times New Roman"/>
          <w:sz w:val="24"/>
          <w:szCs w:val="24"/>
          <w:lang w:eastAsia="zh-CN"/>
        </w:rPr>
        <w:t>o</w:t>
      </w:r>
      <w:r w:rsidRPr="00C12B37">
        <w:rPr>
          <w:rStyle w:val="RSCB02ArticleTextChar"/>
          <w:rFonts w:ascii="Times New Roman" w:hAnsi="Times New Roman"/>
          <w:sz w:val="24"/>
          <w:szCs w:val="24"/>
          <w:lang w:eastAsia="zh-CN"/>
        </w:rPr>
        <w:t>t of 4-MBA solution is 3 cm; therefore, the N</w:t>
      </w:r>
      <w:r w:rsidRPr="00C12B37">
        <w:rPr>
          <w:rStyle w:val="RSCB02ArticleTextChar"/>
          <w:rFonts w:ascii="Times New Roman" w:hAnsi="Times New Roman"/>
          <w:sz w:val="24"/>
          <w:szCs w:val="24"/>
          <w:vertAlign w:val="subscript"/>
          <w:lang w:eastAsia="zh-CN"/>
        </w:rPr>
        <w:t>bulk</w:t>
      </w:r>
      <w:r w:rsidRPr="00C12B37">
        <w:rPr>
          <w:rStyle w:val="RSCB02ArticleTextChar"/>
          <w:rFonts w:ascii="Times New Roman" w:hAnsi="Times New Roman"/>
          <w:sz w:val="24"/>
          <w:szCs w:val="24"/>
          <w:lang w:eastAsia="zh-CN"/>
        </w:rPr>
        <w:t xml:space="preserve"> were calculated to be 6.69×10</w:t>
      </w:r>
      <w:r w:rsidRPr="00C12B37">
        <w:rPr>
          <w:rStyle w:val="RSCB02ArticleTextChar"/>
          <w:rFonts w:ascii="Times New Roman" w:hAnsi="Times New Roman"/>
          <w:sz w:val="24"/>
          <w:szCs w:val="24"/>
          <w:vertAlign w:val="superscript"/>
          <w:lang w:eastAsia="zh-CN"/>
        </w:rPr>
        <w:t>8</w:t>
      </w:r>
      <w:r w:rsidRPr="00C12B37">
        <w:rPr>
          <w:rStyle w:val="RSCB02ArticleTextChar"/>
          <w:rFonts w:ascii="Times New Roman" w:hAnsi="Times New Roman"/>
          <w:sz w:val="24"/>
          <w:szCs w:val="24"/>
          <w:lang w:eastAsia="zh-CN"/>
        </w:rPr>
        <w:t xml:space="preserve">. The mass of Ga-doped ZnO NPs in our </w:t>
      </w:r>
      <w:r w:rsidRPr="00C12B37">
        <w:rPr>
          <w:rStyle w:val="RSCB02ArticleTextChar"/>
          <w:rFonts w:ascii="Times New Roman" w:hAnsi="Times New Roman"/>
          <w:sz w:val="24"/>
          <w:szCs w:val="24"/>
          <w:lang w:eastAsia="zh-CN"/>
        </w:rPr>
        <w:lastRenderedPageBreak/>
        <w:t xml:space="preserve">experiment was 20 mg and the concentration and volume of the 4-MBA solution which was used to modify the Ga-doped </w:t>
      </w:r>
      <w:r w:rsidRPr="00C50FDE">
        <w:rPr>
          <w:rStyle w:val="RSCB02ArticleTextChar"/>
          <w:rFonts w:ascii="Times New Roman" w:hAnsi="Times New Roman"/>
          <w:sz w:val="24"/>
          <w:szCs w:val="24"/>
          <w:lang w:eastAsia="zh-CN"/>
        </w:rPr>
        <w:t>ZnO NPs were 10</w:t>
      </w:r>
      <w:r w:rsidRPr="00C50FDE">
        <w:rPr>
          <w:rStyle w:val="RSCB02ArticleTextChar"/>
          <w:rFonts w:ascii="Times New Roman" w:hAnsi="Times New Roman"/>
          <w:sz w:val="24"/>
          <w:szCs w:val="24"/>
          <w:vertAlign w:val="superscript"/>
          <w:lang w:eastAsia="zh-CN"/>
        </w:rPr>
        <w:t>-3</w:t>
      </w:r>
      <w:r w:rsidRPr="00C50FDE">
        <w:rPr>
          <w:rStyle w:val="RSCB02ArticleTextChar"/>
          <w:rFonts w:ascii="Times New Roman" w:hAnsi="Times New Roman"/>
          <w:sz w:val="24"/>
          <w:szCs w:val="24"/>
          <w:lang w:eastAsia="zh-CN"/>
        </w:rPr>
        <w:t xml:space="preserve"> mol/L and 20 mL, respectively; the density of Ga-doped ZnO NPs is 5.606 g/cm</w:t>
      </w:r>
      <w:r w:rsidRPr="00C50FDE">
        <w:rPr>
          <w:rStyle w:val="RSCB02ArticleTextChar"/>
          <w:rFonts w:ascii="Times New Roman" w:hAnsi="Times New Roman"/>
          <w:sz w:val="24"/>
          <w:szCs w:val="24"/>
          <w:vertAlign w:val="superscript"/>
          <w:lang w:eastAsia="zh-CN"/>
        </w:rPr>
        <w:t>-3</w:t>
      </w:r>
      <w:r w:rsidRPr="00C50FDE">
        <w:rPr>
          <w:rStyle w:val="RSCB02ArticleTextChar"/>
          <w:rFonts w:ascii="Times New Roman" w:hAnsi="Times New Roman"/>
          <w:sz w:val="24"/>
          <w:szCs w:val="24"/>
          <w:lang w:eastAsia="zh-CN"/>
        </w:rPr>
        <w:t>; So, the number of molecules for SERS signal (N</w:t>
      </w:r>
      <w:r w:rsidRPr="00C50FDE">
        <w:rPr>
          <w:rStyle w:val="RSCB02ArticleTextChar"/>
          <w:rFonts w:ascii="Times New Roman" w:hAnsi="Times New Roman"/>
          <w:sz w:val="24"/>
          <w:szCs w:val="24"/>
          <w:vertAlign w:val="subscript"/>
          <w:lang w:eastAsia="zh-CN"/>
        </w:rPr>
        <w:t>SERS</w:t>
      </w:r>
      <w:r w:rsidRPr="00C50FDE">
        <w:rPr>
          <w:rStyle w:val="RSCB02ArticleTextChar"/>
          <w:rFonts w:ascii="Times New Roman" w:hAnsi="Times New Roman"/>
          <w:sz w:val="24"/>
          <w:szCs w:val="24"/>
          <w:lang w:eastAsia="zh-CN"/>
        </w:rPr>
        <w:t>) was calculated as 1.01×10</w:t>
      </w:r>
      <w:r w:rsidRPr="00C50FDE">
        <w:rPr>
          <w:rStyle w:val="RSCB02ArticleTextChar"/>
          <w:rFonts w:ascii="Times New Roman" w:hAnsi="Times New Roman"/>
          <w:sz w:val="24"/>
          <w:szCs w:val="24"/>
          <w:vertAlign w:val="superscript"/>
          <w:lang w:eastAsia="zh-CN"/>
        </w:rPr>
        <w:t>7</w:t>
      </w:r>
      <w:r w:rsidRPr="00C50FDE">
        <w:rPr>
          <w:rStyle w:val="RSCB02ArticleTextChar"/>
          <w:rFonts w:ascii="Times New Roman" w:hAnsi="Times New Roman"/>
          <w:sz w:val="24"/>
          <w:szCs w:val="24"/>
          <w:lang w:eastAsia="zh-CN"/>
        </w:rPr>
        <w:t>. The I</w:t>
      </w:r>
      <w:r w:rsidRPr="00C50FDE">
        <w:rPr>
          <w:rStyle w:val="RSCB02ArticleTextChar"/>
          <w:rFonts w:ascii="Times New Roman" w:hAnsi="Times New Roman"/>
          <w:sz w:val="24"/>
          <w:szCs w:val="24"/>
          <w:vertAlign w:val="subscript"/>
          <w:lang w:eastAsia="zh-CN"/>
        </w:rPr>
        <w:t>SERS</w:t>
      </w:r>
      <w:r w:rsidRPr="00C50FDE">
        <w:rPr>
          <w:rStyle w:val="RSCB02ArticleTextChar"/>
          <w:rFonts w:ascii="Times New Roman" w:hAnsi="Times New Roman"/>
          <w:sz w:val="24"/>
          <w:szCs w:val="24"/>
          <w:lang w:eastAsia="zh-CN"/>
        </w:rPr>
        <w:t xml:space="preserve"> and I</w:t>
      </w:r>
      <w:r w:rsidRPr="00C50FDE">
        <w:rPr>
          <w:rStyle w:val="RSCB02ArticleTextChar"/>
          <w:rFonts w:ascii="Times New Roman" w:hAnsi="Times New Roman"/>
          <w:sz w:val="24"/>
          <w:szCs w:val="24"/>
          <w:vertAlign w:val="subscript"/>
          <w:lang w:eastAsia="zh-CN"/>
        </w:rPr>
        <w:t>bulk</w:t>
      </w:r>
      <w:r w:rsidRPr="00C50FDE">
        <w:rPr>
          <w:rStyle w:val="RSCB02ArticleTextChar"/>
          <w:rFonts w:ascii="Times New Roman" w:hAnsi="Times New Roman"/>
          <w:sz w:val="24"/>
          <w:szCs w:val="24"/>
          <w:lang w:eastAsia="zh-CN"/>
        </w:rPr>
        <w:t xml:space="preserve"> were determined by the intensity of 1594 cm</w:t>
      </w:r>
      <w:r w:rsidRPr="00C50FDE">
        <w:rPr>
          <w:rStyle w:val="RSCB02ArticleTextChar"/>
          <w:rFonts w:ascii="Times New Roman" w:hAnsi="Times New Roman"/>
          <w:sz w:val="24"/>
          <w:szCs w:val="24"/>
          <w:vertAlign w:val="superscript"/>
          <w:lang w:eastAsia="zh-CN"/>
        </w:rPr>
        <w:t>-1</w:t>
      </w:r>
      <w:r w:rsidRPr="00C50FDE">
        <w:rPr>
          <w:rStyle w:val="RSCB02ArticleTextChar"/>
          <w:rFonts w:ascii="Times New Roman" w:hAnsi="Times New Roman"/>
          <w:sz w:val="24"/>
          <w:szCs w:val="24"/>
          <w:lang w:eastAsia="zh-CN"/>
        </w:rPr>
        <w:t xml:space="preserve"> peak in the Figure S</w:t>
      </w:r>
      <w:r w:rsidR="00BE7D01" w:rsidRPr="00C50FDE">
        <w:rPr>
          <w:rStyle w:val="RSCB02ArticleTextChar"/>
          <w:rFonts w:ascii="Times New Roman" w:hAnsi="Times New Roman"/>
          <w:sz w:val="24"/>
          <w:szCs w:val="24"/>
          <w:lang w:eastAsia="zh-CN"/>
        </w:rPr>
        <w:t>4</w:t>
      </w:r>
      <w:r w:rsidRPr="00C50FDE">
        <w:rPr>
          <w:rStyle w:val="RSCB02ArticleTextChar"/>
          <w:rFonts w:ascii="Times New Roman" w:hAnsi="Times New Roman"/>
          <w:sz w:val="24"/>
          <w:szCs w:val="24"/>
          <w:lang w:eastAsia="zh-CN"/>
        </w:rPr>
        <w:t>a, the EF of pure and Ga-doped (6%, initial ratio) ZnO NPs were 3.29×10</w:t>
      </w:r>
      <w:r w:rsidRPr="00C50FDE">
        <w:rPr>
          <w:rStyle w:val="RSCB02ArticleTextChar"/>
          <w:rFonts w:ascii="Times New Roman" w:hAnsi="Times New Roman"/>
          <w:sz w:val="24"/>
          <w:szCs w:val="24"/>
          <w:vertAlign w:val="superscript"/>
          <w:lang w:eastAsia="zh-CN"/>
        </w:rPr>
        <w:t>3</w:t>
      </w:r>
      <w:r w:rsidRPr="00C50FDE">
        <w:rPr>
          <w:rStyle w:val="RSCB02ArticleTextChar"/>
          <w:rFonts w:ascii="Times New Roman" w:hAnsi="Times New Roman"/>
          <w:sz w:val="24"/>
          <w:szCs w:val="24"/>
          <w:lang w:eastAsia="zh-CN"/>
        </w:rPr>
        <w:t xml:space="preserve"> and 8.13×10</w:t>
      </w:r>
      <w:r w:rsidRPr="00C50FDE">
        <w:rPr>
          <w:rStyle w:val="RSCB02ArticleTextChar"/>
          <w:rFonts w:ascii="Times New Roman" w:hAnsi="Times New Roman"/>
          <w:sz w:val="24"/>
          <w:szCs w:val="24"/>
          <w:vertAlign w:val="superscript"/>
          <w:lang w:eastAsia="zh-CN"/>
        </w:rPr>
        <w:t>3</w:t>
      </w:r>
      <w:r w:rsidRPr="00C50FDE">
        <w:rPr>
          <w:rStyle w:val="RSCB02ArticleTextChar"/>
          <w:rFonts w:ascii="Times New Roman" w:hAnsi="Times New Roman"/>
          <w:sz w:val="24"/>
          <w:szCs w:val="24"/>
          <w:lang w:eastAsia="zh-CN"/>
        </w:rPr>
        <w:t>, moreover, what we should note is that the EF was underestimated due to the number of molecules for SERS signal (N</w:t>
      </w:r>
      <w:r w:rsidRPr="00C50FDE">
        <w:rPr>
          <w:rStyle w:val="RSCB02ArticleTextChar"/>
          <w:rFonts w:ascii="Times New Roman" w:hAnsi="Times New Roman"/>
          <w:sz w:val="24"/>
          <w:szCs w:val="24"/>
          <w:vertAlign w:val="subscript"/>
          <w:lang w:eastAsia="zh-CN"/>
        </w:rPr>
        <w:t>SERS</w:t>
      </w:r>
      <w:r w:rsidRPr="00C50FDE">
        <w:rPr>
          <w:rStyle w:val="RSCB02ArticleTextChar"/>
          <w:rFonts w:ascii="Times New Roman" w:hAnsi="Times New Roman"/>
          <w:sz w:val="24"/>
          <w:szCs w:val="24"/>
          <w:lang w:eastAsia="zh-CN"/>
        </w:rPr>
        <w:t>) was overrated. The EF of Ga-doped ZnO NPs with other ratio was also calculated by the same method and shown in the Table S</w:t>
      </w:r>
      <w:r w:rsidR="006D3C0B" w:rsidRPr="00C50FDE">
        <w:rPr>
          <w:rStyle w:val="RSCB02ArticleTextChar"/>
          <w:rFonts w:ascii="Times New Roman" w:hAnsi="Times New Roman"/>
          <w:sz w:val="24"/>
          <w:szCs w:val="24"/>
          <w:lang w:eastAsia="zh-CN"/>
        </w:rPr>
        <w:t>1</w:t>
      </w:r>
      <w:r w:rsidRPr="00C50FDE">
        <w:rPr>
          <w:rStyle w:val="RSCB02ArticleTextChar"/>
          <w:rFonts w:ascii="Times New Roman" w:hAnsi="Times New Roman"/>
          <w:sz w:val="24"/>
          <w:szCs w:val="24"/>
          <w:lang w:eastAsia="zh-CN"/>
        </w:rPr>
        <w:t>. The relationship between the EF and the actual ratio of Ga&amp;Zn of Ga-doped ZnO nanoparticles was shown in Figure S</w:t>
      </w:r>
      <w:r w:rsidR="00BE7D01" w:rsidRPr="00C50FDE">
        <w:rPr>
          <w:rStyle w:val="RSCB02ArticleTextChar"/>
          <w:rFonts w:ascii="Times New Roman" w:hAnsi="Times New Roman"/>
          <w:sz w:val="24"/>
          <w:szCs w:val="24"/>
          <w:lang w:eastAsia="zh-CN"/>
        </w:rPr>
        <w:t>4</w:t>
      </w:r>
      <w:r w:rsidRPr="00C50FDE">
        <w:rPr>
          <w:rStyle w:val="RSCB02ArticleTextChar"/>
          <w:rFonts w:ascii="Times New Roman" w:hAnsi="Times New Roman"/>
          <w:sz w:val="24"/>
          <w:szCs w:val="24"/>
          <w:lang w:eastAsia="zh-CN"/>
        </w:rPr>
        <w:t>b, the change tendency of EF was completely consistent with the change tendency of the intensity of the 1594 cm</w:t>
      </w:r>
      <w:r w:rsidRPr="00C50FDE">
        <w:rPr>
          <w:rStyle w:val="RSCB02ArticleTextChar"/>
          <w:rFonts w:ascii="Times New Roman" w:hAnsi="Times New Roman"/>
          <w:sz w:val="24"/>
          <w:szCs w:val="24"/>
          <w:vertAlign w:val="superscript"/>
          <w:lang w:eastAsia="zh-CN"/>
        </w:rPr>
        <w:t>-1</w:t>
      </w:r>
      <w:r w:rsidRPr="00C50FDE">
        <w:rPr>
          <w:rStyle w:val="RSCB02ArticleTextChar"/>
          <w:rFonts w:ascii="Times New Roman" w:hAnsi="Times New Roman"/>
          <w:sz w:val="24"/>
          <w:szCs w:val="24"/>
          <w:lang w:eastAsia="zh-CN"/>
        </w:rPr>
        <w:t xml:space="preserve"> peak which was shown in Figure </w:t>
      </w:r>
      <w:r w:rsidR="00BE7D01" w:rsidRPr="00C50FDE">
        <w:rPr>
          <w:rStyle w:val="RSCB02ArticleTextChar"/>
          <w:rFonts w:ascii="Times New Roman" w:hAnsi="Times New Roman"/>
          <w:sz w:val="24"/>
          <w:szCs w:val="24"/>
          <w:lang w:eastAsia="zh-CN"/>
        </w:rPr>
        <w:t>5</w:t>
      </w:r>
      <w:r w:rsidRPr="00C50FDE">
        <w:rPr>
          <w:rStyle w:val="RSCB02ArticleTextChar"/>
          <w:rFonts w:ascii="Times New Roman" w:hAnsi="Times New Roman"/>
          <w:sz w:val="24"/>
          <w:szCs w:val="24"/>
          <w:lang w:eastAsia="zh-CN"/>
        </w:rPr>
        <w:t>b.</w:t>
      </w:r>
    </w:p>
    <w:p w14:paraId="526101E8" w14:textId="77777777" w:rsidR="0018641C" w:rsidRPr="00BE7D01" w:rsidRDefault="0018641C" w:rsidP="00C12B37">
      <w:pPr>
        <w:jc w:val="both"/>
        <w:rPr>
          <w:rStyle w:val="RSCB02ArticleTextChar"/>
          <w:rFonts w:ascii="Times New Roman" w:hAnsi="Times New Roman"/>
          <w:sz w:val="24"/>
          <w:szCs w:val="24"/>
          <w:lang w:eastAsia="zh-CN"/>
        </w:rPr>
      </w:pPr>
    </w:p>
    <w:p w14:paraId="5D54B890" w14:textId="21508109" w:rsidR="00C12B37" w:rsidRPr="00FE6C68" w:rsidRDefault="00C12B37" w:rsidP="00C12B37">
      <w:pPr>
        <w:spacing w:line="360" w:lineRule="auto"/>
        <w:rPr>
          <w:bCs/>
          <w:szCs w:val="21"/>
        </w:rPr>
      </w:pPr>
      <w:r w:rsidRPr="00FE6C68">
        <w:rPr>
          <w:b/>
          <w:bCs/>
          <w:szCs w:val="21"/>
        </w:rPr>
        <w:t>Table S</w:t>
      </w:r>
      <w:r w:rsidR="00FD18A6">
        <w:rPr>
          <w:b/>
          <w:bCs/>
          <w:szCs w:val="21"/>
        </w:rPr>
        <w:t>1</w:t>
      </w:r>
      <w:r w:rsidRPr="00FE6C68">
        <w:rPr>
          <w:b/>
          <w:bCs/>
          <w:szCs w:val="21"/>
        </w:rPr>
        <w:t xml:space="preserve">. </w:t>
      </w:r>
      <w:r w:rsidRPr="00FE6C68">
        <w:rPr>
          <w:bCs/>
          <w:szCs w:val="21"/>
        </w:rPr>
        <w:t>The EF of Ga-doped ZnO NPs with various ratio of Ga&amp;Zn.</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384"/>
        <w:gridCol w:w="737"/>
        <w:gridCol w:w="737"/>
        <w:gridCol w:w="737"/>
        <w:gridCol w:w="737"/>
        <w:gridCol w:w="737"/>
        <w:gridCol w:w="737"/>
        <w:gridCol w:w="737"/>
        <w:gridCol w:w="737"/>
        <w:gridCol w:w="737"/>
        <w:gridCol w:w="737"/>
      </w:tblGrid>
      <w:tr w:rsidR="00C12B37" w:rsidRPr="00C12B37" w14:paraId="473C37F9" w14:textId="77777777" w:rsidTr="00BC164B">
        <w:trPr>
          <w:trHeight w:hRule="exact" w:val="510"/>
        </w:trPr>
        <w:tc>
          <w:tcPr>
            <w:tcW w:w="1384" w:type="dxa"/>
            <w:tcBorders>
              <w:top w:val="single" w:sz="12" w:space="0" w:color="auto"/>
              <w:bottom w:val="single" w:sz="12" w:space="0" w:color="auto"/>
              <w:right w:val="single" w:sz="12" w:space="0" w:color="auto"/>
            </w:tcBorders>
            <w:vAlign w:val="center"/>
          </w:tcPr>
          <w:p w14:paraId="163952AB" w14:textId="443D789D" w:rsidR="00C12B37" w:rsidRPr="00C12B37" w:rsidRDefault="00C12B37" w:rsidP="008F7651">
            <w:pPr>
              <w:spacing w:line="360" w:lineRule="auto"/>
              <w:rPr>
                <w:rFonts w:cs="Times New Roman"/>
                <w:bCs/>
                <w:szCs w:val="24"/>
                <w:lang w:val="en-GB"/>
              </w:rPr>
            </w:pPr>
            <w:r w:rsidRPr="00C12B37">
              <w:rPr>
                <w:rFonts w:cs="Times New Roman"/>
                <w:bCs/>
                <w:szCs w:val="24"/>
                <w:lang w:val="en-GB"/>
              </w:rPr>
              <w:t>Initial ratio (%)</w:t>
            </w:r>
          </w:p>
        </w:tc>
        <w:tc>
          <w:tcPr>
            <w:tcW w:w="737" w:type="dxa"/>
            <w:tcBorders>
              <w:top w:val="single" w:sz="12" w:space="0" w:color="auto"/>
              <w:left w:val="single" w:sz="12" w:space="0" w:color="auto"/>
              <w:bottom w:val="single" w:sz="4" w:space="0" w:color="auto"/>
            </w:tcBorders>
            <w:vAlign w:val="center"/>
          </w:tcPr>
          <w:p w14:paraId="3025223E"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w:t>
            </w:r>
          </w:p>
        </w:tc>
        <w:tc>
          <w:tcPr>
            <w:tcW w:w="737" w:type="dxa"/>
            <w:tcBorders>
              <w:top w:val="single" w:sz="12" w:space="0" w:color="auto"/>
              <w:bottom w:val="single" w:sz="4" w:space="0" w:color="auto"/>
            </w:tcBorders>
            <w:vAlign w:val="center"/>
          </w:tcPr>
          <w:p w14:paraId="1B9F803D"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0.3</w:t>
            </w:r>
          </w:p>
        </w:tc>
        <w:tc>
          <w:tcPr>
            <w:tcW w:w="737" w:type="dxa"/>
            <w:tcBorders>
              <w:top w:val="single" w:sz="12" w:space="0" w:color="auto"/>
              <w:bottom w:val="single" w:sz="4" w:space="0" w:color="auto"/>
            </w:tcBorders>
            <w:vAlign w:val="center"/>
          </w:tcPr>
          <w:p w14:paraId="51076439"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0.5</w:t>
            </w:r>
          </w:p>
        </w:tc>
        <w:tc>
          <w:tcPr>
            <w:tcW w:w="737" w:type="dxa"/>
            <w:tcBorders>
              <w:top w:val="single" w:sz="12" w:space="0" w:color="auto"/>
              <w:bottom w:val="single" w:sz="4" w:space="0" w:color="auto"/>
            </w:tcBorders>
            <w:vAlign w:val="center"/>
          </w:tcPr>
          <w:p w14:paraId="239CC429"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0.7</w:t>
            </w:r>
          </w:p>
        </w:tc>
        <w:tc>
          <w:tcPr>
            <w:tcW w:w="737" w:type="dxa"/>
            <w:tcBorders>
              <w:top w:val="single" w:sz="12" w:space="0" w:color="auto"/>
              <w:bottom w:val="single" w:sz="4" w:space="0" w:color="auto"/>
            </w:tcBorders>
            <w:vAlign w:val="center"/>
          </w:tcPr>
          <w:p w14:paraId="501E307C"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0.9</w:t>
            </w:r>
          </w:p>
        </w:tc>
        <w:tc>
          <w:tcPr>
            <w:tcW w:w="737" w:type="dxa"/>
            <w:tcBorders>
              <w:top w:val="single" w:sz="12" w:space="0" w:color="auto"/>
              <w:bottom w:val="single" w:sz="4" w:space="0" w:color="auto"/>
            </w:tcBorders>
            <w:vAlign w:val="center"/>
          </w:tcPr>
          <w:p w14:paraId="3136EBDA"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2</w:t>
            </w:r>
          </w:p>
        </w:tc>
        <w:tc>
          <w:tcPr>
            <w:tcW w:w="737" w:type="dxa"/>
            <w:tcBorders>
              <w:top w:val="single" w:sz="12" w:space="0" w:color="auto"/>
              <w:bottom w:val="single" w:sz="4" w:space="0" w:color="auto"/>
            </w:tcBorders>
            <w:vAlign w:val="center"/>
          </w:tcPr>
          <w:p w14:paraId="2302C5C4"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4</w:t>
            </w:r>
          </w:p>
        </w:tc>
        <w:tc>
          <w:tcPr>
            <w:tcW w:w="737" w:type="dxa"/>
            <w:tcBorders>
              <w:top w:val="single" w:sz="12" w:space="0" w:color="auto"/>
              <w:bottom w:val="single" w:sz="4" w:space="0" w:color="auto"/>
            </w:tcBorders>
            <w:vAlign w:val="center"/>
          </w:tcPr>
          <w:p w14:paraId="3C69B331"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6</w:t>
            </w:r>
          </w:p>
        </w:tc>
        <w:tc>
          <w:tcPr>
            <w:tcW w:w="737" w:type="dxa"/>
            <w:tcBorders>
              <w:top w:val="single" w:sz="12" w:space="0" w:color="auto"/>
              <w:bottom w:val="single" w:sz="4" w:space="0" w:color="auto"/>
            </w:tcBorders>
            <w:vAlign w:val="center"/>
          </w:tcPr>
          <w:p w14:paraId="3E0C211D"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8</w:t>
            </w:r>
          </w:p>
        </w:tc>
        <w:tc>
          <w:tcPr>
            <w:tcW w:w="737" w:type="dxa"/>
            <w:tcBorders>
              <w:top w:val="single" w:sz="12" w:space="0" w:color="auto"/>
              <w:bottom w:val="single" w:sz="4" w:space="0" w:color="auto"/>
            </w:tcBorders>
            <w:vAlign w:val="center"/>
          </w:tcPr>
          <w:p w14:paraId="725F25DB"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10</w:t>
            </w:r>
          </w:p>
        </w:tc>
      </w:tr>
      <w:tr w:rsidR="00C12B37" w:rsidRPr="00C12B37" w14:paraId="2474FCB7" w14:textId="77777777" w:rsidTr="00BC164B">
        <w:trPr>
          <w:trHeight w:hRule="exact" w:val="510"/>
        </w:trPr>
        <w:tc>
          <w:tcPr>
            <w:tcW w:w="1384" w:type="dxa"/>
            <w:tcBorders>
              <w:top w:val="single" w:sz="12" w:space="0" w:color="auto"/>
              <w:bottom w:val="single" w:sz="12" w:space="0" w:color="auto"/>
              <w:right w:val="single" w:sz="12" w:space="0" w:color="auto"/>
            </w:tcBorders>
            <w:vAlign w:val="center"/>
          </w:tcPr>
          <w:p w14:paraId="6C3C1735"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Actual ratio (%)</w:t>
            </w:r>
          </w:p>
        </w:tc>
        <w:tc>
          <w:tcPr>
            <w:tcW w:w="737" w:type="dxa"/>
            <w:tcBorders>
              <w:top w:val="single" w:sz="12" w:space="0" w:color="auto"/>
              <w:left w:val="single" w:sz="12" w:space="0" w:color="auto"/>
              <w:bottom w:val="single" w:sz="4" w:space="0" w:color="auto"/>
            </w:tcBorders>
            <w:vAlign w:val="center"/>
          </w:tcPr>
          <w:p w14:paraId="58533E98"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w:t>
            </w:r>
          </w:p>
        </w:tc>
        <w:tc>
          <w:tcPr>
            <w:tcW w:w="737" w:type="dxa"/>
            <w:tcBorders>
              <w:top w:val="single" w:sz="12" w:space="0" w:color="auto"/>
              <w:bottom w:val="single" w:sz="4" w:space="0" w:color="auto"/>
            </w:tcBorders>
            <w:vAlign w:val="center"/>
          </w:tcPr>
          <w:p w14:paraId="0C952E41"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0.29</w:t>
            </w:r>
          </w:p>
        </w:tc>
        <w:tc>
          <w:tcPr>
            <w:tcW w:w="737" w:type="dxa"/>
            <w:tcBorders>
              <w:top w:val="single" w:sz="12" w:space="0" w:color="auto"/>
              <w:bottom w:val="single" w:sz="4" w:space="0" w:color="auto"/>
            </w:tcBorders>
            <w:vAlign w:val="center"/>
          </w:tcPr>
          <w:p w14:paraId="521C2FB4"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0.39</w:t>
            </w:r>
          </w:p>
        </w:tc>
        <w:tc>
          <w:tcPr>
            <w:tcW w:w="737" w:type="dxa"/>
            <w:tcBorders>
              <w:top w:val="single" w:sz="12" w:space="0" w:color="auto"/>
              <w:bottom w:val="single" w:sz="4" w:space="0" w:color="auto"/>
            </w:tcBorders>
            <w:vAlign w:val="center"/>
          </w:tcPr>
          <w:p w14:paraId="1E5F0028"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0.56</w:t>
            </w:r>
          </w:p>
        </w:tc>
        <w:tc>
          <w:tcPr>
            <w:tcW w:w="737" w:type="dxa"/>
            <w:tcBorders>
              <w:top w:val="single" w:sz="12" w:space="0" w:color="auto"/>
              <w:bottom w:val="single" w:sz="4" w:space="0" w:color="auto"/>
            </w:tcBorders>
            <w:vAlign w:val="center"/>
          </w:tcPr>
          <w:p w14:paraId="3D95CA5C"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0.66</w:t>
            </w:r>
          </w:p>
        </w:tc>
        <w:tc>
          <w:tcPr>
            <w:tcW w:w="737" w:type="dxa"/>
            <w:tcBorders>
              <w:top w:val="single" w:sz="12" w:space="0" w:color="auto"/>
              <w:bottom w:val="single" w:sz="4" w:space="0" w:color="auto"/>
            </w:tcBorders>
            <w:vAlign w:val="center"/>
          </w:tcPr>
          <w:p w14:paraId="3680FE5E"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1.4</w:t>
            </w:r>
          </w:p>
        </w:tc>
        <w:tc>
          <w:tcPr>
            <w:tcW w:w="737" w:type="dxa"/>
            <w:tcBorders>
              <w:top w:val="single" w:sz="12" w:space="0" w:color="auto"/>
              <w:bottom w:val="single" w:sz="4" w:space="0" w:color="auto"/>
            </w:tcBorders>
            <w:vAlign w:val="center"/>
          </w:tcPr>
          <w:p w14:paraId="0DAB38EA"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2.7</w:t>
            </w:r>
          </w:p>
        </w:tc>
        <w:tc>
          <w:tcPr>
            <w:tcW w:w="737" w:type="dxa"/>
            <w:tcBorders>
              <w:top w:val="single" w:sz="12" w:space="0" w:color="auto"/>
              <w:bottom w:val="single" w:sz="4" w:space="0" w:color="auto"/>
            </w:tcBorders>
            <w:vAlign w:val="center"/>
          </w:tcPr>
          <w:p w14:paraId="7CB31789"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3.8</w:t>
            </w:r>
          </w:p>
        </w:tc>
        <w:tc>
          <w:tcPr>
            <w:tcW w:w="737" w:type="dxa"/>
            <w:tcBorders>
              <w:top w:val="single" w:sz="12" w:space="0" w:color="auto"/>
              <w:bottom w:val="single" w:sz="4" w:space="0" w:color="auto"/>
            </w:tcBorders>
            <w:vAlign w:val="center"/>
          </w:tcPr>
          <w:p w14:paraId="7D9ADB40"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5.0</w:t>
            </w:r>
          </w:p>
        </w:tc>
        <w:tc>
          <w:tcPr>
            <w:tcW w:w="737" w:type="dxa"/>
            <w:tcBorders>
              <w:top w:val="single" w:sz="12" w:space="0" w:color="auto"/>
              <w:bottom w:val="single" w:sz="4" w:space="0" w:color="auto"/>
            </w:tcBorders>
            <w:vAlign w:val="center"/>
          </w:tcPr>
          <w:p w14:paraId="38DA2973"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6.1</w:t>
            </w:r>
          </w:p>
        </w:tc>
      </w:tr>
      <w:tr w:rsidR="00C12B37" w:rsidRPr="00C12B37" w14:paraId="558A1D5C" w14:textId="77777777" w:rsidTr="00BC164B">
        <w:trPr>
          <w:trHeight w:hRule="exact" w:val="510"/>
        </w:trPr>
        <w:tc>
          <w:tcPr>
            <w:tcW w:w="1384" w:type="dxa"/>
            <w:tcBorders>
              <w:top w:val="single" w:sz="12" w:space="0" w:color="auto"/>
              <w:bottom w:val="single" w:sz="12" w:space="0" w:color="auto"/>
              <w:right w:val="single" w:sz="12" w:space="0" w:color="auto"/>
            </w:tcBorders>
            <w:vAlign w:val="center"/>
          </w:tcPr>
          <w:p w14:paraId="370FCD73" w14:textId="6111882F" w:rsidR="00C12B37" w:rsidRPr="00C12B37" w:rsidRDefault="00C12B37" w:rsidP="008F7651">
            <w:pPr>
              <w:spacing w:line="360" w:lineRule="auto"/>
              <w:rPr>
                <w:rFonts w:cs="Times New Roman"/>
                <w:bCs/>
                <w:szCs w:val="24"/>
                <w:lang w:val="en-GB"/>
              </w:rPr>
            </w:pPr>
            <w:r w:rsidRPr="00C12B37">
              <w:rPr>
                <w:rFonts w:cs="Times New Roman"/>
                <w:bCs/>
                <w:szCs w:val="24"/>
                <w:lang w:val="en-GB"/>
              </w:rPr>
              <w:t>EF</w:t>
            </w:r>
            <w:r w:rsidR="00BC164B">
              <w:rPr>
                <w:rFonts w:cs="Times New Roman"/>
                <w:bCs/>
                <w:szCs w:val="24"/>
                <w:lang w:val="en-GB"/>
              </w:rPr>
              <w:t xml:space="preserve"> </w:t>
            </w:r>
            <w:r w:rsidRPr="00C12B37">
              <w:rPr>
                <w:rFonts w:cs="Times New Roman"/>
                <w:bCs/>
                <w:szCs w:val="24"/>
                <w:lang w:val="en-GB"/>
              </w:rPr>
              <w:t>(</w:t>
            </w:r>
            <w:r w:rsidRPr="00C12B37">
              <w:rPr>
                <w:rStyle w:val="RSCB02ArticleTextChar"/>
                <w:rFonts w:ascii="Times New Roman" w:hAnsi="Times New Roman"/>
                <w:sz w:val="24"/>
                <w:szCs w:val="24"/>
                <w:lang w:eastAsia="zh-CN"/>
              </w:rPr>
              <w:t>×10</w:t>
            </w:r>
            <w:r w:rsidRPr="00C12B37">
              <w:rPr>
                <w:rStyle w:val="RSCB02ArticleTextChar"/>
                <w:rFonts w:ascii="Times New Roman" w:hAnsi="Times New Roman"/>
                <w:sz w:val="24"/>
                <w:szCs w:val="24"/>
                <w:vertAlign w:val="superscript"/>
                <w:lang w:eastAsia="zh-CN"/>
              </w:rPr>
              <w:t>3</w:t>
            </w:r>
            <w:r w:rsidRPr="00C12B37">
              <w:rPr>
                <w:rFonts w:cs="Times New Roman"/>
                <w:bCs/>
                <w:szCs w:val="24"/>
                <w:lang w:val="en-GB"/>
              </w:rPr>
              <w:t>)</w:t>
            </w:r>
          </w:p>
        </w:tc>
        <w:tc>
          <w:tcPr>
            <w:tcW w:w="737" w:type="dxa"/>
            <w:tcBorders>
              <w:top w:val="single" w:sz="12" w:space="0" w:color="auto"/>
              <w:left w:val="single" w:sz="12" w:space="0" w:color="auto"/>
              <w:bottom w:val="single" w:sz="12" w:space="0" w:color="auto"/>
            </w:tcBorders>
            <w:vAlign w:val="center"/>
          </w:tcPr>
          <w:p w14:paraId="74498DDD"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3.29</w:t>
            </w:r>
          </w:p>
        </w:tc>
        <w:tc>
          <w:tcPr>
            <w:tcW w:w="737" w:type="dxa"/>
            <w:tcBorders>
              <w:top w:val="single" w:sz="12" w:space="0" w:color="auto"/>
              <w:bottom w:val="single" w:sz="12" w:space="0" w:color="auto"/>
            </w:tcBorders>
            <w:vAlign w:val="center"/>
          </w:tcPr>
          <w:p w14:paraId="44D4565D"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4.49</w:t>
            </w:r>
          </w:p>
        </w:tc>
        <w:tc>
          <w:tcPr>
            <w:tcW w:w="737" w:type="dxa"/>
            <w:tcBorders>
              <w:top w:val="single" w:sz="12" w:space="0" w:color="auto"/>
              <w:bottom w:val="single" w:sz="12" w:space="0" w:color="auto"/>
            </w:tcBorders>
            <w:vAlign w:val="center"/>
          </w:tcPr>
          <w:p w14:paraId="21020A06"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4.96</w:t>
            </w:r>
          </w:p>
        </w:tc>
        <w:tc>
          <w:tcPr>
            <w:tcW w:w="737" w:type="dxa"/>
            <w:tcBorders>
              <w:top w:val="single" w:sz="12" w:space="0" w:color="auto"/>
              <w:bottom w:val="single" w:sz="12" w:space="0" w:color="auto"/>
            </w:tcBorders>
            <w:vAlign w:val="center"/>
          </w:tcPr>
          <w:p w14:paraId="664752A8"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4.44</w:t>
            </w:r>
          </w:p>
        </w:tc>
        <w:tc>
          <w:tcPr>
            <w:tcW w:w="737" w:type="dxa"/>
            <w:tcBorders>
              <w:top w:val="single" w:sz="12" w:space="0" w:color="auto"/>
              <w:bottom w:val="single" w:sz="12" w:space="0" w:color="auto"/>
            </w:tcBorders>
            <w:vAlign w:val="center"/>
          </w:tcPr>
          <w:p w14:paraId="593AE600"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3.43</w:t>
            </w:r>
          </w:p>
        </w:tc>
        <w:tc>
          <w:tcPr>
            <w:tcW w:w="737" w:type="dxa"/>
            <w:tcBorders>
              <w:top w:val="single" w:sz="12" w:space="0" w:color="auto"/>
              <w:bottom w:val="single" w:sz="12" w:space="0" w:color="auto"/>
            </w:tcBorders>
            <w:vAlign w:val="center"/>
          </w:tcPr>
          <w:p w14:paraId="43966837"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3.87</w:t>
            </w:r>
          </w:p>
        </w:tc>
        <w:tc>
          <w:tcPr>
            <w:tcW w:w="737" w:type="dxa"/>
            <w:tcBorders>
              <w:top w:val="single" w:sz="12" w:space="0" w:color="auto"/>
              <w:bottom w:val="single" w:sz="12" w:space="0" w:color="auto"/>
            </w:tcBorders>
            <w:vAlign w:val="center"/>
          </w:tcPr>
          <w:p w14:paraId="7C28D421"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4.88</w:t>
            </w:r>
          </w:p>
        </w:tc>
        <w:tc>
          <w:tcPr>
            <w:tcW w:w="737" w:type="dxa"/>
            <w:tcBorders>
              <w:top w:val="single" w:sz="12" w:space="0" w:color="auto"/>
              <w:bottom w:val="single" w:sz="12" w:space="0" w:color="auto"/>
            </w:tcBorders>
            <w:vAlign w:val="center"/>
          </w:tcPr>
          <w:p w14:paraId="455EE123"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8.13</w:t>
            </w:r>
          </w:p>
        </w:tc>
        <w:tc>
          <w:tcPr>
            <w:tcW w:w="737" w:type="dxa"/>
            <w:tcBorders>
              <w:top w:val="single" w:sz="12" w:space="0" w:color="auto"/>
              <w:bottom w:val="single" w:sz="12" w:space="0" w:color="auto"/>
            </w:tcBorders>
            <w:vAlign w:val="center"/>
          </w:tcPr>
          <w:p w14:paraId="63EFCBF6"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5.55</w:t>
            </w:r>
          </w:p>
        </w:tc>
        <w:tc>
          <w:tcPr>
            <w:tcW w:w="737" w:type="dxa"/>
            <w:tcBorders>
              <w:top w:val="single" w:sz="12" w:space="0" w:color="auto"/>
              <w:bottom w:val="single" w:sz="12" w:space="0" w:color="auto"/>
            </w:tcBorders>
            <w:vAlign w:val="center"/>
          </w:tcPr>
          <w:p w14:paraId="01708AD1" w14:textId="77777777" w:rsidR="00C12B37" w:rsidRPr="00C12B37" w:rsidRDefault="00C12B37" w:rsidP="008F7651">
            <w:pPr>
              <w:spacing w:line="360" w:lineRule="auto"/>
              <w:rPr>
                <w:rFonts w:cs="Times New Roman"/>
                <w:bCs/>
                <w:szCs w:val="24"/>
                <w:lang w:val="en-GB"/>
              </w:rPr>
            </w:pPr>
            <w:r w:rsidRPr="00C12B37">
              <w:rPr>
                <w:rFonts w:cs="Times New Roman"/>
                <w:bCs/>
                <w:szCs w:val="24"/>
                <w:lang w:val="en-GB"/>
              </w:rPr>
              <w:t>5.52</w:t>
            </w:r>
          </w:p>
        </w:tc>
      </w:tr>
    </w:tbl>
    <w:p w14:paraId="2E953D6C" w14:textId="0E9F85BD" w:rsidR="00C12B37" w:rsidRPr="00DE3780" w:rsidRDefault="0018641C" w:rsidP="007D0FC4">
      <w:pPr>
        <w:spacing w:after="0" w:line="360" w:lineRule="auto"/>
        <w:jc w:val="center"/>
        <w:rPr>
          <w:bCs/>
          <w:sz w:val="18"/>
          <w:szCs w:val="18"/>
          <w:lang w:val="en-GB"/>
        </w:rPr>
      </w:pPr>
      <w:r>
        <w:rPr>
          <w:rFonts w:hint="eastAsia"/>
          <w:bCs/>
          <w:noProof/>
          <w:sz w:val="18"/>
          <w:szCs w:val="18"/>
          <w:lang w:val="en-GB"/>
        </w:rPr>
        <w:drawing>
          <wp:inline distT="0" distB="0" distL="0" distR="0" wp14:anchorId="37D56A0E" wp14:editId="3C4DDE7B">
            <wp:extent cx="4857115" cy="359918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115" cy="3599180"/>
                    </a:xfrm>
                    <a:prstGeom prst="rect">
                      <a:avLst/>
                    </a:prstGeom>
                    <a:noFill/>
                    <a:ln>
                      <a:noFill/>
                    </a:ln>
                  </pic:spPr>
                </pic:pic>
              </a:graphicData>
            </a:graphic>
          </wp:inline>
        </w:drawing>
      </w:r>
    </w:p>
    <w:p w14:paraId="07B80AA5" w14:textId="5159ED13" w:rsidR="0018641C" w:rsidRPr="009E4BE1" w:rsidRDefault="0018641C" w:rsidP="0018641C">
      <w:pPr>
        <w:jc w:val="both"/>
        <w:rPr>
          <w:bCs/>
          <w:szCs w:val="21"/>
          <w:lang w:val="en-GB"/>
        </w:rPr>
      </w:pPr>
      <w:bookmarkStart w:id="6" w:name="_GoBack"/>
      <w:r w:rsidRPr="00C50FDE">
        <w:rPr>
          <w:b/>
          <w:bCs/>
          <w:szCs w:val="21"/>
          <w:lang w:val="en-GB"/>
        </w:rPr>
        <w:t>Figure S</w:t>
      </w:r>
      <w:r w:rsidR="00BE7D01" w:rsidRPr="00C50FDE">
        <w:rPr>
          <w:b/>
          <w:bCs/>
          <w:szCs w:val="21"/>
          <w:lang w:val="en-GB"/>
        </w:rPr>
        <w:t>5</w:t>
      </w:r>
      <w:r w:rsidRPr="00C50FDE">
        <w:rPr>
          <w:b/>
          <w:bCs/>
          <w:szCs w:val="21"/>
          <w:lang w:val="en-GB"/>
        </w:rPr>
        <w:t>.</w:t>
      </w:r>
      <w:r w:rsidRPr="00C50FDE">
        <w:rPr>
          <w:bCs/>
          <w:szCs w:val="21"/>
          <w:lang w:val="en-GB"/>
        </w:rPr>
        <w:t xml:space="preserve"> Raman spectra </w:t>
      </w:r>
      <w:bookmarkEnd w:id="6"/>
      <w:r w:rsidRPr="009E4BE1">
        <w:rPr>
          <w:bCs/>
          <w:szCs w:val="21"/>
          <w:lang w:val="en-GB"/>
        </w:rPr>
        <w:t>of 4-MBA adsorbed on Ga-doped ZnO (3.8%, actual ratio) and pure ZnO NPs, the date was obtained at exci</w:t>
      </w:r>
      <w:r w:rsidR="00FD16B0">
        <w:rPr>
          <w:bCs/>
          <w:szCs w:val="21"/>
          <w:lang w:val="en-GB"/>
        </w:rPr>
        <w:t>t</w:t>
      </w:r>
      <w:r w:rsidRPr="009E4BE1">
        <w:rPr>
          <w:bCs/>
          <w:szCs w:val="21"/>
          <w:lang w:val="en-GB"/>
        </w:rPr>
        <w:t>ation</w:t>
      </w:r>
      <w:r w:rsidR="00FD16B0">
        <w:rPr>
          <w:bCs/>
          <w:szCs w:val="21"/>
          <w:lang w:val="en-GB"/>
        </w:rPr>
        <w:t>s</w:t>
      </w:r>
      <w:r w:rsidRPr="009E4BE1">
        <w:rPr>
          <w:bCs/>
          <w:szCs w:val="21"/>
          <w:lang w:val="en-GB"/>
        </w:rPr>
        <w:t xml:space="preserve"> of: (a) 532, (b) 633, (c) 785 nm; (d) The relationship between I</w:t>
      </w:r>
      <w:r w:rsidRPr="009E4BE1">
        <w:rPr>
          <w:bCs/>
          <w:szCs w:val="21"/>
          <w:vertAlign w:val="subscript"/>
          <w:lang w:val="en-GB"/>
        </w:rPr>
        <w:t>doped</w:t>
      </w:r>
      <w:r w:rsidRPr="009E4BE1">
        <w:rPr>
          <w:bCs/>
          <w:szCs w:val="21"/>
          <w:lang w:val="en-GB"/>
        </w:rPr>
        <w:t>/I</w:t>
      </w:r>
      <w:r w:rsidRPr="009E4BE1">
        <w:rPr>
          <w:bCs/>
          <w:szCs w:val="21"/>
          <w:vertAlign w:val="subscript"/>
          <w:lang w:val="en-GB"/>
        </w:rPr>
        <w:t>pure</w:t>
      </w:r>
      <w:r w:rsidRPr="009E4BE1">
        <w:rPr>
          <w:bCs/>
          <w:szCs w:val="21"/>
          <w:lang w:val="en-GB"/>
        </w:rPr>
        <w:t xml:space="preserve"> and laser wavelength, </w:t>
      </w:r>
      <w:bookmarkStart w:id="7" w:name="OLE_LINK1"/>
      <w:r w:rsidRPr="009E4BE1">
        <w:rPr>
          <w:bCs/>
          <w:szCs w:val="21"/>
          <w:lang w:val="en-GB"/>
        </w:rPr>
        <w:t>I</w:t>
      </w:r>
      <w:r w:rsidRPr="009E4BE1">
        <w:rPr>
          <w:bCs/>
          <w:szCs w:val="21"/>
          <w:vertAlign w:val="subscript"/>
          <w:lang w:val="en-GB"/>
        </w:rPr>
        <w:t>doped</w:t>
      </w:r>
      <w:r w:rsidRPr="009E4BE1">
        <w:rPr>
          <w:bCs/>
          <w:szCs w:val="21"/>
          <w:lang w:val="en-GB"/>
        </w:rPr>
        <w:t xml:space="preserve"> and I</w:t>
      </w:r>
      <w:r w:rsidRPr="009E4BE1">
        <w:rPr>
          <w:bCs/>
          <w:szCs w:val="21"/>
          <w:vertAlign w:val="subscript"/>
          <w:lang w:val="en-GB"/>
        </w:rPr>
        <w:t>pure</w:t>
      </w:r>
      <w:r w:rsidRPr="009E4BE1">
        <w:rPr>
          <w:bCs/>
          <w:szCs w:val="21"/>
          <w:lang w:val="en-GB"/>
        </w:rPr>
        <w:t xml:space="preserve"> are</w:t>
      </w:r>
      <w:bookmarkEnd w:id="7"/>
      <w:r w:rsidRPr="009E4BE1">
        <w:rPr>
          <w:bCs/>
          <w:szCs w:val="21"/>
          <w:lang w:val="en-GB"/>
        </w:rPr>
        <w:t xml:space="preserve"> the intensity of 1594 cm</w:t>
      </w:r>
      <w:r w:rsidRPr="009E4BE1">
        <w:rPr>
          <w:bCs/>
          <w:szCs w:val="21"/>
          <w:vertAlign w:val="superscript"/>
          <w:lang w:val="en-GB"/>
        </w:rPr>
        <w:t>-1</w:t>
      </w:r>
      <w:r w:rsidRPr="009E4BE1">
        <w:rPr>
          <w:bCs/>
          <w:szCs w:val="21"/>
          <w:lang w:val="en-GB"/>
        </w:rPr>
        <w:t xml:space="preserve"> when the molecules adsorbed on Ga-doped ZnO (3.8%, actual ratio) and pure ZnO NPs, respectively.</w:t>
      </w:r>
    </w:p>
    <w:p w14:paraId="75E2207B" w14:textId="77777777" w:rsidR="0018641C" w:rsidRPr="0018641C" w:rsidRDefault="0018641C" w:rsidP="0018641C">
      <w:pPr>
        <w:rPr>
          <w:rStyle w:val="RSCB02ArticleTextChar"/>
          <w:rFonts w:ascii="Times New Roman" w:hAnsi="Times New Roman"/>
          <w:sz w:val="24"/>
          <w:szCs w:val="24"/>
          <w:lang w:eastAsia="zh-CN"/>
        </w:rPr>
      </w:pPr>
      <w:r w:rsidRPr="0018641C">
        <w:rPr>
          <w:rStyle w:val="RSCB02ArticleTextChar"/>
          <w:rFonts w:ascii="Times New Roman" w:hAnsi="Times New Roman"/>
          <w:b/>
          <w:sz w:val="24"/>
          <w:szCs w:val="24"/>
        </w:rPr>
        <w:lastRenderedPageBreak/>
        <w:t xml:space="preserve">The </w:t>
      </w:r>
      <w:r w:rsidRPr="0018641C">
        <w:rPr>
          <w:rStyle w:val="RSCB02ArticleTextChar"/>
          <w:rFonts w:ascii="Times New Roman" w:hAnsi="Times New Roman"/>
          <w:b/>
          <w:sz w:val="24"/>
          <w:szCs w:val="24"/>
          <w:lang w:eastAsia="zh-CN"/>
        </w:rPr>
        <w:t>SERS spectra of Ga-doped ZnO nanoparticles under various laser wavelength.</w:t>
      </w:r>
    </w:p>
    <w:p w14:paraId="7B65BC41" w14:textId="1942E67C" w:rsidR="00DE23E8" w:rsidRDefault="0018641C" w:rsidP="00587CCA">
      <w:pPr>
        <w:jc w:val="both"/>
        <w:rPr>
          <w:rStyle w:val="RSCB02ArticleTextChar"/>
          <w:rFonts w:ascii="Times New Roman" w:hAnsi="Times New Roman"/>
          <w:sz w:val="24"/>
          <w:szCs w:val="24"/>
        </w:rPr>
      </w:pPr>
      <w:r w:rsidRPr="0018641C">
        <w:rPr>
          <w:rStyle w:val="RSCB02ArticleTextChar"/>
          <w:rFonts w:ascii="Times New Roman" w:hAnsi="Times New Roman"/>
          <w:sz w:val="24"/>
          <w:szCs w:val="24"/>
        </w:rPr>
        <w:t>According to Figure S</w:t>
      </w:r>
      <w:r w:rsidR="00BE7D01">
        <w:rPr>
          <w:rStyle w:val="RSCB02ArticleTextChar"/>
          <w:rFonts w:ascii="Times New Roman" w:hAnsi="Times New Roman"/>
          <w:sz w:val="24"/>
          <w:szCs w:val="24"/>
          <w:lang w:eastAsia="zh-CN"/>
        </w:rPr>
        <w:t>5</w:t>
      </w:r>
      <w:r w:rsidRPr="0018641C">
        <w:rPr>
          <w:rStyle w:val="RSCB02ArticleTextChar"/>
          <w:rFonts w:ascii="Times New Roman" w:hAnsi="Times New Roman"/>
          <w:sz w:val="24"/>
          <w:szCs w:val="24"/>
        </w:rPr>
        <w:t xml:space="preserve">(a,b,c), we can see that the absolute intensity of SERS signal were decreased with the laser wavelength increased whether the molecules adsorbed on the Ga-doped or pure ZnO </w:t>
      </w:r>
      <w:r w:rsidRPr="0018641C">
        <w:rPr>
          <w:rStyle w:val="RSCB02ArticleTextChar"/>
          <w:rFonts w:ascii="Times New Roman" w:hAnsi="Times New Roman"/>
          <w:sz w:val="24"/>
          <w:szCs w:val="24"/>
          <w:lang w:eastAsia="zh-CN"/>
        </w:rPr>
        <w:t>NP</w:t>
      </w:r>
      <w:r w:rsidRPr="0018641C">
        <w:rPr>
          <w:rStyle w:val="RSCB02ArticleTextChar"/>
          <w:rFonts w:ascii="Times New Roman" w:hAnsi="Times New Roman"/>
          <w:sz w:val="24"/>
          <w:szCs w:val="24"/>
        </w:rPr>
        <w:t>s. Then we plo</w:t>
      </w:r>
      <w:r w:rsidR="00587CCA">
        <w:rPr>
          <w:rStyle w:val="RSCB02ArticleTextChar"/>
          <w:rFonts w:ascii="Times New Roman" w:hAnsi="Times New Roman"/>
          <w:sz w:val="24"/>
          <w:szCs w:val="24"/>
        </w:rPr>
        <w:t>t</w:t>
      </w:r>
      <w:r w:rsidRPr="0018641C">
        <w:rPr>
          <w:rStyle w:val="RSCB02ArticleTextChar"/>
          <w:rFonts w:ascii="Times New Roman" w:hAnsi="Times New Roman"/>
          <w:sz w:val="24"/>
          <w:szCs w:val="24"/>
        </w:rPr>
        <w:t>ted the I</w:t>
      </w:r>
      <w:r w:rsidRPr="0018641C">
        <w:rPr>
          <w:rStyle w:val="RSCB02ArticleTextChar"/>
          <w:rFonts w:ascii="Times New Roman" w:hAnsi="Times New Roman"/>
          <w:sz w:val="24"/>
          <w:szCs w:val="24"/>
          <w:vertAlign w:val="subscript"/>
        </w:rPr>
        <w:t>doped</w:t>
      </w:r>
      <w:r w:rsidRPr="0018641C">
        <w:rPr>
          <w:rStyle w:val="RSCB02ArticleTextChar"/>
          <w:rFonts w:ascii="Times New Roman" w:hAnsi="Times New Roman"/>
          <w:sz w:val="24"/>
          <w:szCs w:val="24"/>
        </w:rPr>
        <w:t>/I</w:t>
      </w:r>
      <w:r w:rsidRPr="0018641C">
        <w:rPr>
          <w:rStyle w:val="RSCB02ArticleTextChar"/>
          <w:rFonts w:ascii="Times New Roman" w:hAnsi="Times New Roman"/>
          <w:sz w:val="24"/>
          <w:szCs w:val="24"/>
          <w:vertAlign w:val="subscript"/>
        </w:rPr>
        <w:t>pure</w:t>
      </w:r>
      <w:r w:rsidRPr="0018641C">
        <w:rPr>
          <w:rStyle w:val="RSCB02ArticleTextChar"/>
          <w:rFonts w:ascii="Times New Roman" w:hAnsi="Times New Roman"/>
          <w:sz w:val="24"/>
          <w:szCs w:val="24"/>
        </w:rPr>
        <w:t xml:space="preserve"> (I</w:t>
      </w:r>
      <w:r w:rsidRPr="0018641C">
        <w:rPr>
          <w:rStyle w:val="RSCB02ArticleTextChar"/>
          <w:rFonts w:ascii="Times New Roman" w:hAnsi="Times New Roman"/>
          <w:sz w:val="24"/>
          <w:szCs w:val="24"/>
          <w:vertAlign w:val="subscript"/>
        </w:rPr>
        <w:t>doped</w:t>
      </w:r>
      <w:r w:rsidRPr="0018641C">
        <w:rPr>
          <w:rStyle w:val="RSCB02ArticleTextChar"/>
          <w:rFonts w:ascii="Times New Roman" w:hAnsi="Times New Roman"/>
          <w:sz w:val="24"/>
          <w:szCs w:val="24"/>
        </w:rPr>
        <w:t xml:space="preserve"> and I</w:t>
      </w:r>
      <w:r w:rsidRPr="0018641C">
        <w:rPr>
          <w:rStyle w:val="RSCB02ArticleTextChar"/>
          <w:rFonts w:ascii="Times New Roman" w:hAnsi="Times New Roman"/>
          <w:sz w:val="24"/>
          <w:szCs w:val="24"/>
          <w:vertAlign w:val="subscript"/>
        </w:rPr>
        <w:t>pure</w:t>
      </w:r>
      <w:r w:rsidRPr="0018641C">
        <w:rPr>
          <w:rStyle w:val="RSCB02ArticleTextChar"/>
          <w:rFonts w:ascii="Times New Roman" w:hAnsi="Times New Roman"/>
          <w:sz w:val="24"/>
          <w:szCs w:val="24"/>
        </w:rPr>
        <w:t xml:space="preserve"> are the intensity of 1594 cm</w:t>
      </w:r>
      <w:r w:rsidRPr="0018641C">
        <w:rPr>
          <w:rStyle w:val="RSCB02ArticleTextChar"/>
          <w:rFonts w:ascii="Times New Roman" w:hAnsi="Times New Roman"/>
          <w:sz w:val="24"/>
          <w:szCs w:val="24"/>
          <w:vertAlign w:val="superscript"/>
        </w:rPr>
        <w:t>-1</w:t>
      </w:r>
      <w:r w:rsidRPr="0018641C">
        <w:rPr>
          <w:rStyle w:val="RSCB02ArticleTextChar"/>
          <w:rFonts w:ascii="Times New Roman" w:hAnsi="Times New Roman"/>
          <w:sz w:val="24"/>
          <w:szCs w:val="24"/>
        </w:rPr>
        <w:t xml:space="preserve"> when the molecules adsorbed on Ga-doped ZnO (3.8%, actual ratio) and pure ZnO </w:t>
      </w:r>
      <w:r w:rsidRPr="0018641C">
        <w:rPr>
          <w:rStyle w:val="RSCB02ArticleTextChar"/>
          <w:rFonts w:ascii="Times New Roman" w:hAnsi="Times New Roman"/>
          <w:sz w:val="24"/>
          <w:szCs w:val="24"/>
          <w:lang w:eastAsia="zh-CN"/>
        </w:rPr>
        <w:t>NP</w:t>
      </w:r>
      <w:r w:rsidRPr="0018641C">
        <w:rPr>
          <w:rStyle w:val="RSCB02ArticleTextChar"/>
          <w:rFonts w:ascii="Times New Roman" w:hAnsi="Times New Roman"/>
          <w:sz w:val="24"/>
          <w:szCs w:val="24"/>
        </w:rPr>
        <w:t>s, respectively) versus laser wavelength as shown in Figure S</w:t>
      </w:r>
      <w:r w:rsidR="00BE7D01">
        <w:rPr>
          <w:rStyle w:val="RSCB02ArticleTextChar"/>
          <w:rFonts w:ascii="Times New Roman" w:hAnsi="Times New Roman"/>
          <w:sz w:val="24"/>
          <w:szCs w:val="24"/>
          <w:lang w:eastAsia="zh-CN"/>
        </w:rPr>
        <w:t>5</w:t>
      </w:r>
      <w:r w:rsidRPr="0018641C">
        <w:rPr>
          <w:rStyle w:val="RSCB02ArticleTextChar"/>
          <w:rFonts w:ascii="Times New Roman" w:hAnsi="Times New Roman"/>
          <w:sz w:val="24"/>
          <w:szCs w:val="24"/>
          <w:lang w:eastAsia="zh-CN"/>
        </w:rPr>
        <w:t>d</w:t>
      </w:r>
      <w:r w:rsidRPr="0018641C">
        <w:rPr>
          <w:rStyle w:val="RSCB02ArticleTextChar"/>
          <w:rFonts w:ascii="Times New Roman" w:hAnsi="Times New Roman"/>
          <w:sz w:val="24"/>
          <w:szCs w:val="24"/>
        </w:rPr>
        <w:t>, the specific value at 532 and 633 nm is similar, however, it was increased at the 785 nm. The interesting phenomenon is certainly proved the validity of the schematic diagram of the possible charge transfer</w:t>
      </w:r>
      <w:r w:rsidR="007C04D0">
        <w:rPr>
          <w:rStyle w:val="RSCB02ArticleTextChar"/>
          <w:rFonts w:ascii="Times New Roman" w:hAnsi="Times New Roman"/>
          <w:sz w:val="24"/>
          <w:szCs w:val="24"/>
        </w:rPr>
        <w:t xml:space="preserve"> (CT)</w:t>
      </w:r>
      <w:r w:rsidRPr="0018641C">
        <w:rPr>
          <w:rStyle w:val="RSCB02ArticleTextChar"/>
          <w:rFonts w:ascii="Times New Roman" w:hAnsi="Times New Roman"/>
          <w:sz w:val="24"/>
          <w:szCs w:val="24"/>
        </w:rPr>
        <w:t xml:space="preserve"> resonance process in our ZnO-molecules system presented at Figure </w:t>
      </w:r>
      <w:r w:rsidR="002F3002">
        <w:rPr>
          <w:rStyle w:val="RSCB02ArticleTextChar"/>
          <w:rFonts w:ascii="Times New Roman" w:hAnsi="Times New Roman"/>
          <w:sz w:val="24"/>
          <w:szCs w:val="24"/>
        </w:rPr>
        <w:t>6</w:t>
      </w:r>
      <w:r w:rsidRPr="0018641C">
        <w:rPr>
          <w:rStyle w:val="RSCB02ArticleTextChar"/>
          <w:rFonts w:ascii="Times New Roman" w:hAnsi="Times New Roman"/>
          <w:sz w:val="24"/>
          <w:szCs w:val="24"/>
        </w:rPr>
        <w:t>a. The excitation energy of 532, 633 and 785 nm are 2.33, 1.96</w:t>
      </w:r>
      <w:r w:rsidR="00BE7D01">
        <w:rPr>
          <w:rStyle w:val="RSCB02ArticleTextChar"/>
          <w:rFonts w:ascii="Times New Roman" w:hAnsi="Times New Roman"/>
          <w:sz w:val="24"/>
          <w:szCs w:val="24"/>
        </w:rPr>
        <w:t>,</w:t>
      </w:r>
      <w:r w:rsidRPr="0018641C">
        <w:rPr>
          <w:rStyle w:val="RSCB02ArticleTextChar"/>
          <w:rFonts w:ascii="Times New Roman" w:hAnsi="Times New Roman"/>
          <w:sz w:val="24"/>
          <w:szCs w:val="24"/>
        </w:rPr>
        <w:t xml:space="preserve"> and 1.58 eV, respectively. In Figure </w:t>
      </w:r>
      <w:r w:rsidR="00BE7D01">
        <w:rPr>
          <w:rStyle w:val="RSCB02ArticleTextChar"/>
          <w:rFonts w:ascii="Times New Roman" w:hAnsi="Times New Roman"/>
          <w:sz w:val="24"/>
          <w:szCs w:val="24"/>
        </w:rPr>
        <w:t>6</w:t>
      </w:r>
      <w:r w:rsidRPr="0018641C">
        <w:rPr>
          <w:rStyle w:val="RSCB02ArticleTextChar"/>
          <w:rFonts w:ascii="Times New Roman" w:hAnsi="Times New Roman"/>
          <w:sz w:val="24"/>
          <w:szCs w:val="24"/>
        </w:rPr>
        <w:t xml:space="preserve">a, the energy required for resonance process Ⅳ and Ⅴ are 1.35 and 1.70 eV (molecules adsorbed on pure ZnO </w:t>
      </w:r>
      <w:r w:rsidRPr="0018641C">
        <w:rPr>
          <w:rStyle w:val="RSCB02ArticleTextChar"/>
          <w:rFonts w:ascii="Times New Roman" w:hAnsi="Times New Roman"/>
          <w:sz w:val="24"/>
          <w:szCs w:val="24"/>
          <w:lang w:eastAsia="zh-CN"/>
        </w:rPr>
        <w:t>NP</w:t>
      </w:r>
      <w:r w:rsidRPr="0018641C">
        <w:rPr>
          <w:rStyle w:val="RSCB02ArticleTextChar"/>
          <w:rFonts w:ascii="Times New Roman" w:hAnsi="Times New Roman"/>
          <w:sz w:val="24"/>
          <w:szCs w:val="24"/>
        </w:rPr>
        <w:t xml:space="preserve">s), so the excitation energy of 532 and 633 nm are enough for the two process while the excitation energy of 785 nm can only make sure the process Ⅳ happens and it is insufficient for the process Ⅴ. The band gap of Ga-doped ZnO is narrowing when we introduced the Ga into ZnO </w:t>
      </w:r>
      <w:r w:rsidRPr="0018641C">
        <w:rPr>
          <w:rStyle w:val="RSCB02ArticleTextChar"/>
          <w:rFonts w:ascii="Times New Roman" w:hAnsi="Times New Roman"/>
          <w:sz w:val="24"/>
          <w:szCs w:val="24"/>
          <w:lang w:eastAsia="zh-CN"/>
        </w:rPr>
        <w:t>NP</w:t>
      </w:r>
      <w:r w:rsidRPr="0018641C">
        <w:rPr>
          <w:rStyle w:val="RSCB02ArticleTextChar"/>
          <w:rFonts w:ascii="Times New Roman" w:hAnsi="Times New Roman"/>
          <w:sz w:val="24"/>
          <w:szCs w:val="24"/>
        </w:rPr>
        <w:t>s, and meanwhile the difference value between the valence band and surface state level of Ga-doped ZnO is decreased. So</w:t>
      </w:r>
      <w:r w:rsidR="006D3C0B">
        <w:rPr>
          <w:rStyle w:val="RSCB02ArticleTextChar"/>
          <w:rFonts w:ascii="Times New Roman" w:hAnsi="Times New Roman"/>
          <w:sz w:val="24"/>
          <w:szCs w:val="24"/>
        </w:rPr>
        <w:t>,</w:t>
      </w:r>
      <w:r w:rsidRPr="0018641C">
        <w:rPr>
          <w:rStyle w:val="RSCB02ArticleTextChar"/>
          <w:rFonts w:ascii="Times New Roman" w:hAnsi="Times New Roman"/>
          <w:sz w:val="24"/>
          <w:szCs w:val="24"/>
        </w:rPr>
        <w:t xml:space="preserve"> the I</w:t>
      </w:r>
      <w:r w:rsidRPr="0018641C">
        <w:rPr>
          <w:rStyle w:val="RSCB02ArticleTextChar"/>
          <w:rFonts w:ascii="Times New Roman" w:hAnsi="Times New Roman"/>
          <w:sz w:val="24"/>
          <w:szCs w:val="24"/>
          <w:vertAlign w:val="subscript"/>
        </w:rPr>
        <w:t>doped</w:t>
      </w:r>
      <w:r w:rsidRPr="0018641C">
        <w:rPr>
          <w:rStyle w:val="RSCB02ArticleTextChar"/>
          <w:rFonts w:ascii="Times New Roman" w:hAnsi="Times New Roman"/>
          <w:sz w:val="24"/>
          <w:szCs w:val="24"/>
        </w:rPr>
        <w:t>/I</w:t>
      </w:r>
      <w:r w:rsidRPr="0018641C">
        <w:rPr>
          <w:rStyle w:val="RSCB02ArticleTextChar"/>
          <w:rFonts w:ascii="Times New Roman" w:hAnsi="Times New Roman"/>
          <w:sz w:val="24"/>
          <w:szCs w:val="24"/>
          <w:vertAlign w:val="subscript"/>
        </w:rPr>
        <w:t>pure</w:t>
      </w:r>
      <w:r w:rsidRPr="0018641C">
        <w:rPr>
          <w:rStyle w:val="RSCB02ArticleTextChar"/>
          <w:rFonts w:ascii="Times New Roman" w:hAnsi="Times New Roman"/>
          <w:sz w:val="24"/>
          <w:szCs w:val="24"/>
        </w:rPr>
        <w:t xml:space="preserve"> was significantly increased at exci</w:t>
      </w:r>
      <w:r w:rsidR="009A353C">
        <w:rPr>
          <w:rStyle w:val="RSCB02ArticleTextChar"/>
          <w:rFonts w:ascii="Times New Roman" w:hAnsi="Times New Roman"/>
          <w:sz w:val="24"/>
          <w:szCs w:val="24"/>
        </w:rPr>
        <w:t>t</w:t>
      </w:r>
      <w:r w:rsidRPr="0018641C">
        <w:rPr>
          <w:rStyle w:val="RSCB02ArticleTextChar"/>
          <w:rFonts w:ascii="Times New Roman" w:hAnsi="Times New Roman"/>
          <w:sz w:val="24"/>
          <w:szCs w:val="24"/>
        </w:rPr>
        <w:t>ation</w:t>
      </w:r>
      <w:r w:rsidR="009A353C">
        <w:rPr>
          <w:rStyle w:val="RSCB02ArticleTextChar"/>
          <w:rFonts w:ascii="Times New Roman" w:hAnsi="Times New Roman"/>
          <w:sz w:val="24"/>
          <w:szCs w:val="24"/>
        </w:rPr>
        <w:t>s</w:t>
      </w:r>
      <w:r w:rsidRPr="0018641C">
        <w:rPr>
          <w:rStyle w:val="RSCB02ArticleTextChar"/>
          <w:rFonts w:ascii="Times New Roman" w:hAnsi="Times New Roman"/>
          <w:sz w:val="24"/>
          <w:szCs w:val="24"/>
        </w:rPr>
        <w:t xml:space="preserve"> of 785 nm due to the excitation energy of 785 nm is adequate for the resonance process Ⅳ and Ⅴ now.</w:t>
      </w:r>
      <w:r w:rsidRPr="0018641C">
        <w:rPr>
          <w:rStyle w:val="RSCB02ArticleTextChar"/>
          <w:rFonts w:ascii="Times New Roman" w:hAnsi="Times New Roman"/>
          <w:sz w:val="24"/>
          <w:szCs w:val="24"/>
          <w:lang w:eastAsia="zh-CN"/>
        </w:rPr>
        <w:t xml:space="preserve"> </w:t>
      </w:r>
      <w:r w:rsidRPr="0018641C">
        <w:rPr>
          <w:rStyle w:val="RSCB02ArticleTextChar"/>
          <w:rFonts w:ascii="Times New Roman" w:hAnsi="Times New Roman"/>
          <w:sz w:val="24"/>
          <w:szCs w:val="24"/>
        </w:rPr>
        <w:t>Hence, the reliability of the schematic diagram</w:t>
      </w:r>
      <w:r w:rsidRPr="0018641C">
        <w:rPr>
          <w:rStyle w:val="RSCB02ArticleTextChar"/>
          <w:rFonts w:ascii="Times New Roman" w:hAnsi="Times New Roman"/>
          <w:sz w:val="24"/>
          <w:szCs w:val="24"/>
          <w:lang w:eastAsia="zh-CN"/>
        </w:rPr>
        <w:t xml:space="preserve"> (Figure </w:t>
      </w:r>
      <w:r w:rsidR="00BE7D01">
        <w:rPr>
          <w:rStyle w:val="RSCB02ArticleTextChar"/>
          <w:rFonts w:ascii="Times New Roman" w:hAnsi="Times New Roman"/>
          <w:sz w:val="24"/>
          <w:szCs w:val="24"/>
          <w:lang w:eastAsia="zh-CN"/>
        </w:rPr>
        <w:t>6</w:t>
      </w:r>
      <w:r w:rsidRPr="0018641C">
        <w:rPr>
          <w:rStyle w:val="RSCB02ArticleTextChar"/>
          <w:rFonts w:ascii="Times New Roman" w:hAnsi="Times New Roman"/>
          <w:sz w:val="24"/>
          <w:szCs w:val="24"/>
          <w:lang w:eastAsia="zh-CN"/>
        </w:rPr>
        <w:t>a)</w:t>
      </w:r>
      <w:r w:rsidRPr="0018641C">
        <w:rPr>
          <w:rStyle w:val="RSCB02ArticleTextChar"/>
          <w:rFonts w:ascii="Times New Roman" w:hAnsi="Times New Roman"/>
          <w:sz w:val="24"/>
          <w:szCs w:val="24"/>
        </w:rPr>
        <w:t xml:space="preserve"> of the possible </w:t>
      </w:r>
      <w:r w:rsidR="00FC79C8">
        <w:rPr>
          <w:rStyle w:val="RSCB02ArticleTextChar"/>
          <w:rFonts w:ascii="Times New Roman" w:hAnsi="Times New Roman"/>
          <w:sz w:val="24"/>
          <w:szCs w:val="24"/>
        </w:rPr>
        <w:t>CT</w:t>
      </w:r>
      <w:r w:rsidRPr="0018641C">
        <w:rPr>
          <w:rStyle w:val="RSCB02ArticleTextChar"/>
          <w:rFonts w:ascii="Times New Roman" w:hAnsi="Times New Roman"/>
          <w:sz w:val="24"/>
          <w:szCs w:val="24"/>
        </w:rPr>
        <w:t xml:space="preserve"> resonance process in our ZnO-molecules system </w:t>
      </w:r>
      <w:r w:rsidRPr="0018641C">
        <w:rPr>
          <w:rStyle w:val="RSCB02ArticleTextChar"/>
          <w:rFonts w:ascii="Times New Roman" w:hAnsi="Times New Roman"/>
          <w:sz w:val="24"/>
          <w:szCs w:val="24"/>
          <w:lang w:eastAsia="zh-CN"/>
        </w:rPr>
        <w:t>was</w:t>
      </w:r>
      <w:r w:rsidRPr="0018641C">
        <w:rPr>
          <w:rStyle w:val="RSCB02ArticleTextChar"/>
          <w:rFonts w:ascii="Times New Roman" w:hAnsi="Times New Roman"/>
          <w:sz w:val="24"/>
          <w:szCs w:val="24"/>
        </w:rPr>
        <w:t xml:space="preserve"> testified by the SERS spectra obtained at excitations of 532</w:t>
      </w:r>
      <w:r w:rsidRPr="0018641C">
        <w:rPr>
          <w:rStyle w:val="RSCB02ArticleTextChar"/>
          <w:rFonts w:ascii="Times New Roman" w:hAnsi="Times New Roman"/>
          <w:sz w:val="24"/>
          <w:szCs w:val="24"/>
          <w:lang w:eastAsia="zh-CN"/>
        </w:rPr>
        <w:t>, 633</w:t>
      </w:r>
      <w:r w:rsidRPr="0018641C">
        <w:rPr>
          <w:rStyle w:val="RSCB02ArticleTextChar"/>
          <w:rFonts w:ascii="Times New Roman" w:hAnsi="Times New Roman"/>
          <w:sz w:val="24"/>
          <w:szCs w:val="24"/>
        </w:rPr>
        <w:t xml:space="preserve"> and 785 nm</w:t>
      </w:r>
      <w:r w:rsidR="00D22E0F">
        <w:rPr>
          <w:rStyle w:val="RSCB02ArticleTextChar"/>
          <w:rFonts w:ascii="Times New Roman" w:hAnsi="Times New Roman"/>
          <w:sz w:val="24"/>
          <w:szCs w:val="24"/>
        </w:rPr>
        <w:t>.</w:t>
      </w:r>
    </w:p>
    <w:p w14:paraId="33D7BF7A" w14:textId="60286353" w:rsidR="005347CC" w:rsidRPr="007E6617" w:rsidRDefault="00447233" w:rsidP="00587CCA">
      <w:pPr>
        <w:jc w:val="both"/>
        <w:rPr>
          <w:b/>
          <w:lang w:val="en-GB" w:eastAsia="zh-CN"/>
        </w:rPr>
      </w:pPr>
      <w:r w:rsidRPr="00447233">
        <w:rPr>
          <w:rFonts w:hint="eastAsia"/>
          <w:b/>
          <w:lang w:val="en-GB" w:eastAsia="zh-CN"/>
        </w:rPr>
        <w:t>R</w:t>
      </w:r>
      <w:r w:rsidRPr="00447233">
        <w:rPr>
          <w:b/>
          <w:lang w:val="en-GB" w:eastAsia="zh-CN"/>
        </w:rPr>
        <w:t>eferences</w:t>
      </w:r>
    </w:p>
    <w:p w14:paraId="1FF05B73" w14:textId="0DE07D69" w:rsidR="005347CC" w:rsidRPr="005347CC" w:rsidRDefault="005347CC" w:rsidP="005347CC">
      <w:pPr>
        <w:pStyle w:val="EndNoteBibliography"/>
        <w:spacing w:after="0"/>
        <w:ind w:left="720" w:hanging="720"/>
      </w:pPr>
      <w:r>
        <w:rPr>
          <w:lang w:val="en-GB" w:eastAsia="zh-CN"/>
        </w:rPr>
        <w:fldChar w:fldCharType="begin"/>
      </w:r>
      <w:r>
        <w:rPr>
          <w:lang w:val="en-GB" w:eastAsia="zh-CN"/>
        </w:rPr>
        <w:instrText xml:space="preserve"> ADDIN EN.REFLIST </w:instrText>
      </w:r>
      <w:r>
        <w:rPr>
          <w:lang w:val="en-GB" w:eastAsia="zh-CN"/>
        </w:rPr>
        <w:fldChar w:fldCharType="separate"/>
      </w:r>
      <w:r w:rsidRPr="005347CC">
        <w:t xml:space="preserve">Xie, Y., Wang, X., Han, X., Song, W., Ruan, W., Liu, J., et al. (2011). Selective SERS detection of each polycyclic aromatic hydrocarbon (PAH) in a mixture of five kinds of PAHs. </w:t>
      </w:r>
      <w:r w:rsidRPr="005347CC">
        <w:rPr>
          <w:i/>
        </w:rPr>
        <w:t>J</w:t>
      </w:r>
      <w:r w:rsidR="007E6617">
        <w:rPr>
          <w:i/>
        </w:rPr>
        <w:t>.</w:t>
      </w:r>
      <w:r w:rsidRPr="005347CC">
        <w:rPr>
          <w:i/>
        </w:rPr>
        <w:t xml:space="preserve"> Raman Spectrosc</w:t>
      </w:r>
      <w:r w:rsidR="007E6617">
        <w:rPr>
          <w:i/>
        </w:rPr>
        <w:t>.</w:t>
      </w:r>
      <w:r w:rsidRPr="005347CC">
        <w:t xml:space="preserve"> 42(5)</w:t>
      </w:r>
      <w:r w:rsidRPr="005347CC">
        <w:rPr>
          <w:b/>
        </w:rPr>
        <w:t>,</w:t>
      </w:r>
      <w:r w:rsidRPr="005347CC">
        <w:t xml:space="preserve"> 945-950</w:t>
      </w:r>
      <w:r w:rsidR="007E6617">
        <w:t xml:space="preserve">. doi: </w:t>
      </w:r>
      <w:r w:rsidR="00257B46" w:rsidRPr="00257B46">
        <w:t>10.1002/jrs.2818</w:t>
      </w:r>
      <w:r w:rsidRPr="005347CC">
        <w:t>.</w:t>
      </w:r>
    </w:p>
    <w:p w14:paraId="6F6046BC" w14:textId="629AC365" w:rsidR="005347CC" w:rsidRPr="005347CC" w:rsidRDefault="005347CC" w:rsidP="005347CC">
      <w:pPr>
        <w:pStyle w:val="EndNoteBibliography"/>
        <w:ind w:left="720" w:hanging="720"/>
      </w:pPr>
      <w:r w:rsidRPr="005347CC">
        <w:t xml:space="preserve">Zhao, H., Jin, J., Tian, W., Li, R., Yu, Z., Song, W., et al. (2015). Three-dimensional superhydrophobic surface-enhanced Raman spectroscopy substrate for sensitive detection of pollutants in real environments. </w:t>
      </w:r>
      <w:r w:rsidRPr="005347CC">
        <w:rPr>
          <w:i/>
        </w:rPr>
        <w:t>J</w:t>
      </w:r>
      <w:r w:rsidR="007E6617">
        <w:rPr>
          <w:i/>
        </w:rPr>
        <w:t>.</w:t>
      </w:r>
      <w:r w:rsidRPr="005347CC">
        <w:rPr>
          <w:i/>
        </w:rPr>
        <w:t xml:space="preserve"> Mater</w:t>
      </w:r>
      <w:r w:rsidR="007E6617">
        <w:rPr>
          <w:i/>
        </w:rPr>
        <w:t>.</w:t>
      </w:r>
      <w:r w:rsidRPr="005347CC">
        <w:rPr>
          <w:i/>
        </w:rPr>
        <w:t xml:space="preserve"> Chem</w:t>
      </w:r>
      <w:r w:rsidR="007E6617">
        <w:rPr>
          <w:i/>
        </w:rPr>
        <w:t>.</w:t>
      </w:r>
      <w:r w:rsidRPr="005347CC">
        <w:rPr>
          <w:i/>
        </w:rPr>
        <w:t xml:space="preserve"> A</w:t>
      </w:r>
      <w:r w:rsidRPr="005347CC">
        <w:t xml:space="preserve"> 3(8)</w:t>
      </w:r>
      <w:r w:rsidRPr="005347CC">
        <w:rPr>
          <w:b/>
        </w:rPr>
        <w:t>,</w:t>
      </w:r>
      <w:r w:rsidRPr="005347CC">
        <w:t xml:space="preserve"> 4330-4337</w:t>
      </w:r>
      <w:r w:rsidR="007E6617">
        <w:t xml:space="preserve">. doi: </w:t>
      </w:r>
      <w:r w:rsidR="00257B46" w:rsidRPr="00257B46">
        <w:t>10.1039/c4ta06590e</w:t>
      </w:r>
      <w:r w:rsidRPr="005347CC">
        <w:t>.</w:t>
      </w:r>
    </w:p>
    <w:p w14:paraId="124FAF2A" w14:textId="34BE4037" w:rsidR="00447233" w:rsidRPr="00587CCA" w:rsidRDefault="005347CC" w:rsidP="00587CCA">
      <w:pPr>
        <w:jc w:val="both"/>
        <w:rPr>
          <w:lang w:val="en-GB" w:eastAsia="zh-CN"/>
        </w:rPr>
      </w:pPr>
      <w:r>
        <w:rPr>
          <w:lang w:val="en-GB" w:eastAsia="zh-CN"/>
        </w:rPr>
        <w:fldChar w:fldCharType="end"/>
      </w:r>
    </w:p>
    <w:sectPr w:rsidR="00447233" w:rsidRPr="00587CCA"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B3B9E" w14:textId="77777777" w:rsidR="00CA478C" w:rsidRDefault="00CA478C" w:rsidP="00117666">
      <w:pPr>
        <w:spacing w:after="0"/>
      </w:pPr>
      <w:r>
        <w:separator/>
      </w:r>
    </w:p>
  </w:endnote>
  <w:endnote w:type="continuationSeparator" w:id="0">
    <w:p w14:paraId="3D5F221D" w14:textId="77777777" w:rsidR="00CA478C" w:rsidRDefault="00CA478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3D91B" w14:textId="77777777" w:rsidR="00CA478C" w:rsidRDefault="00CA478C" w:rsidP="00117666">
      <w:pPr>
        <w:spacing w:after="0"/>
      </w:pPr>
      <w:r>
        <w:separator/>
      </w:r>
    </w:p>
  </w:footnote>
  <w:footnote w:type="continuationSeparator" w:id="0">
    <w:p w14:paraId="32D91AAB" w14:textId="77777777" w:rsidR="00CA478C" w:rsidRDefault="00CA478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favsta59tzwnedv595xtf4pdzf5p9zwdfv&quot;&gt;My EndNote Library&lt;record-ids&gt;&lt;item&gt;504&lt;/item&gt;&lt;item&gt;505&lt;/item&gt;&lt;/record-ids&gt;&lt;/item&gt;&lt;/Libraries&gt;"/>
  </w:docVars>
  <w:rsids>
    <w:rsidRoot w:val="00ED20B5"/>
    <w:rsid w:val="0001436A"/>
    <w:rsid w:val="00034304"/>
    <w:rsid w:val="00035434"/>
    <w:rsid w:val="00052A14"/>
    <w:rsid w:val="00077D53"/>
    <w:rsid w:val="00105FD9"/>
    <w:rsid w:val="00117666"/>
    <w:rsid w:val="001549D3"/>
    <w:rsid w:val="00160065"/>
    <w:rsid w:val="00177D84"/>
    <w:rsid w:val="0018641C"/>
    <w:rsid w:val="00242579"/>
    <w:rsid w:val="00257B46"/>
    <w:rsid w:val="00267D18"/>
    <w:rsid w:val="00274FBA"/>
    <w:rsid w:val="002868E2"/>
    <w:rsid w:val="002869C3"/>
    <w:rsid w:val="002936E4"/>
    <w:rsid w:val="002B4A57"/>
    <w:rsid w:val="002C74CA"/>
    <w:rsid w:val="002F3002"/>
    <w:rsid w:val="003544FB"/>
    <w:rsid w:val="003D2F2D"/>
    <w:rsid w:val="00401590"/>
    <w:rsid w:val="00447233"/>
    <w:rsid w:val="00447801"/>
    <w:rsid w:val="00452E9C"/>
    <w:rsid w:val="0046704F"/>
    <w:rsid w:val="004735C8"/>
    <w:rsid w:val="004947A6"/>
    <w:rsid w:val="004961FF"/>
    <w:rsid w:val="00517A89"/>
    <w:rsid w:val="005250F2"/>
    <w:rsid w:val="005347CC"/>
    <w:rsid w:val="00587CCA"/>
    <w:rsid w:val="00593EEA"/>
    <w:rsid w:val="005A5EEE"/>
    <w:rsid w:val="006375C7"/>
    <w:rsid w:val="00654E8F"/>
    <w:rsid w:val="00660D05"/>
    <w:rsid w:val="006820B1"/>
    <w:rsid w:val="006B3731"/>
    <w:rsid w:val="006B7D14"/>
    <w:rsid w:val="006D3C0B"/>
    <w:rsid w:val="00701727"/>
    <w:rsid w:val="0070566C"/>
    <w:rsid w:val="00714C50"/>
    <w:rsid w:val="00725A7D"/>
    <w:rsid w:val="007501BE"/>
    <w:rsid w:val="00790BB3"/>
    <w:rsid w:val="007C04D0"/>
    <w:rsid w:val="007C206C"/>
    <w:rsid w:val="007D0FC4"/>
    <w:rsid w:val="007E6617"/>
    <w:rsid w:val="007F6EB2"/>
    <w:rsid w:val="00816AC3"/>
    <w:rsid w:val="00817DD6"/>
    <w:rsid w:val="00832EA5"/>
    <w:rsid w:val="0083759F"/>
    <w:rsid w:val="00885156"/>
    <w:rsid w:val="008B7058"/>
    <w:rsid w:val="008B7AFC"/>
    <w:rsid w:val="009151AA"/>
    <w:rsid w:val="00932663"/>
    <w:rsid w:val="0093429D"/>
    <w:rsid w:val="00943573"/>
    <w:rsid w:val="0094646A"/>
    <w:rsid w:val="00950503"/>
    <w:rsid w:val="009656B9"/>
    <w:rsid w:val="00970F7D"/>
    <w:rsid w:val="00994A3D"/>
    <w:rsid w:val="009A353C"/>
    <w:rsid w:val="009C2B12"/>
    <w:rsid w:val="009D5F1A"/>
    <w:rsid w:val="00A040CA"/>
    <w:rsid w:val="00A174D9"/>
    <w:rsid w:val="00A404D7"/>
    <w:rsid w:val="00AA4D24"/>
    <w:rsid w:val="00AB6715"/>
    <w:rsid w:val="00B1671E"/>
    <w:rsid w:val="00B25EB8"/>
    <w:rsid w:val="00B37F4D"/>
    <w:rsid w:val="00B970C8"/>
    <w:rsid w:val="00BB2FE1"/>
    <w:rsid w:val="00BC164B"/>
    <w:rsid w:val="00BE7D01"/>
    <w:rsid w:val="00C12B37"/>
    <w:rsid w:val="00C50FDE"/>
    <w:rsid w:val="00C52A7B"/>
    <w:rsid w:val="00C56BAF"/>
    <w:rsid w:val="00C679AA"/>
    <w:rsid w:val="00C75972"/>
    <w:rsid w:val="00CA478C"/>
    <w:rsid w:val="00CD066B"/>
    <w:rsid w:val="00CE4FEE"/>
    <w:rsid w:val="00D22E0F"/>
    <w:rsid w:val="00D754D8"/>
    <w:rsid w:val="00D915E8"/>
    <w:rsid w:val="00DB59C3"/>
    <w:rsid w:val="00DC259A"/>
    <w:rsid w:val="00DE23E8"/>
    <w:rsid w:val="00E11CCF"/>
    <w:rsid w:val="00E34782"/>
    <w:rsid w:val="00E35A30"/>
    <w:rsid w:val="00E52377"/>
    <w:rsid w:val="00E64E17"/>
    <w:rsid w:val="00E866C9"/>
    <w:rsid w:val="00EA3D3C"/>
    <w:rsid w:val="00EC090A"/>
    <w:rsid w:val="00ED20B5"/>
    <w:rsid w:val="00ED626E"/>
    <w:rsid w:val="00F46900"/>
    <w:rsid w:val="00F61D89"/>
    <w:rsid w:val="00FC2A4A"/>
    <w:rsid w:val="00FC79C8"/>
    <w:rsid w:val="00FD16B0"/>
    <w:rsid w:val="00FD1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RSCB02ArticleText">
    <w:name w:val="RSC B02 Article Text"/>
    <w:basedOn w:val="Normal"/>
    <w:link w:val="RSCB02ArticleTextChar"/>
    <w:qFormat/>
    <w:rsid w:val="009D5F1A"/>
    <w:pPr>
      <w:spacing w:before="0" w:after="0" w:line="240" w:lineRule="exact"/>
      <w:jc w:val="both"/>
    </w:pPr>
    <w:rPr>
      <w:rFonts w:ascii="Calibri" w:eastAsia="SimSun" w:hAnsi="Calibri" w:cs="Times New Roman"/>
      <w:w w:val="108"/>
      <w:sz w:val="18"/>
      <w:szCs w:val="18"/>
      <w:lang w:val="en-GB"/>
    </w:rPr>
  </w:style>
  <w:style w:type="character" w:customStyle="1" w:styleId="RSCB02ArticleTextChar">
    <w:name w:val="RSC B02 Article Text Char"/>
    <w:link w:val="RSCB02ArticleText"/>
    <w:rsid w:val="009D5F1A"/>
    <w:rPr>
      <w:rFonts w:ascii="Calibri" w:eastAsia="SimSun" w:hAnsi="Calibri" w:cs="Times New Roman"/>
      <w:w w:val="108"/>
      <w:sz w:val="18"/>
      <w:szCs w:val="18"/>
      <w:lang w:val="en-GB"/>
    </w:rPr>
  </w:style>
  <w:style w:type="paragraph" w:customStyle="1" w:styleId="EndNoteBibliographyTitle">
    <w:name w:val="EndNote Bibliography Title"/>
    <w:basedOn w:val="Normal"/>
    <w:link w:val="EndNoteBibliographyTitle0"/>
    <w:rsid w:val="005347CC"/>
    <w:pPr>
      <w:spacing w:after="0"/>
      <w:jc w:val="center"/>
    </w:pPr>
    <w:rPr>
      <w:rFonts w:cs="Times New Roman"/>
      <w:noProof/>
    </w:rPr>
  </w:style>
  <w:style w:type="character" w:customStyle="1" w:styleId="EndNoteBibliographyTitle0">
    <w:name w:val="EndNote Bibliography Title 字符"/>
    <w:basedOn w:val="DefaultParagraphFont"/>
    <w:link w:val="EndNoteBibliographyTitle"/>
    <w:rsid w:val="005347CC"/>
    <w:rPr>
      <w:rFonts w:ascii="Times New Roman" w:hAnsi="Times New Roman" w:cs="Times New Roman"/>
      <w:noProof/>
      <w:sz w:val="24"/>
    </w:rPr>
  </w:style>
  <w:style w:type="paragraph" w:customStyle="1" w:styleId="EndNoteBibliography">
    <w:name w:val="EndNote Bibliography"/>
    <w:basedOn w:val="Normal"/>
    <w:link w:val="EndNoteBibliography0"/>
    <w:rsid w:val="005347CC"/>
    <w:pPr>
      <w:jc w:val="both"/>
    </w:pPr>
    <w:rPr>
      <w:rFonts w:cs="Times New Roman"/>
      <w:noProof/>
    </w:rPr>
  </w:style>
  <w:style w:type="character" w:customStyle="1" w:styleId="EndNoteBibliography0">
    <w:name w:val="EndNote Bibliography 字符"/>
    <w:basedOn w:val="DefaultParagraphFont"/>
    <w:link w:val="EndNoteBibliography"/>
    <w:rsid w:val="005347CC"/>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6707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aob@jlu.edu.cn"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07D31BD-7CA9-4D91-A598-A4ECAC93B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514</TotalTime>
  <Pages>5</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Frontiers</cp:lastModifiedBy>
  <cp:revision>31</cp:revision>
  <cp:lastPrinted>2013-10-03T12:51:00Z</cp:lastPrinted>
  <dcterms:created xsi:type="dcterms:W3CDTF">2018-06-12T14:56:00Z</dcterms:created>
  <dcterms:modified xsi:type="dcterms:W3CDTF">2019-03-06T12:23:00Z</dcterms:modified>
</cp:coreProperties>
</file>