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88DB" w14:textId="1FC0E4CE" w:rsidR="00672D77" w:rsidRDefault="00672D77">
      <w:r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>Supplementary Table 1. Subsample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20"/>
        <w:gridCol w:w="1350"/>
        <w:gridCol w:w="1890"/>
        <w:gridCol w:w="1890"/>
      </w:tblGrid>
      <w:tr w:rsidR="00AF12A1" w14:paraId="173BF7A5" w14:textId="77777777" w:rsidTr="00F5118F"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672A6659" w14:textId="473CBBAB" w:rsidR="00AF12A1" w:rsidRDefault="00AF12A1" w:rsidP="542B5923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07A12" w14:textId="77777777" w:rsidR="00CB09B5" w:rsidRDefault="003818A1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Affect </w:t>
            </w:r>
            <w:r w:rsidR="00CB09B5">
              <w:rPr>
                <w:b/>
                <w:bCs/>
              </w:rPr>
              <w:t>Ratio</w:t>
            </w:r>
          </w:p>
          <w:p w14:paraId="74EB4397" w14:textId="6FCCDEE9" w:rsidR="003818A1" w:rsidRDefault="003818A1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</w:t>
            </w:r>
          </w:p>
          <w:p w14:paraId="298E2E6F" w14:textId="3EA7CDE5" w:rsidR="00AF12A1" w:rsidRDefault="003818A1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542B5923" w:rsidRPr="0024086A">
              <w:rPr>
                <w:b/>
                <w:bCs/>
                <w:i/>
              </w:rPr>
              <w:t>n</w:t>
            </w:r>
            <w:r w:rsidR="542B5923" w:rsidRPr="542B5923">
              <w:rPr>
                <w:b/>
                <w:bCs/>
              </w:rPr>
              <w:t>=42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6E76CD" w14:textId="77777777" w:rsidR="003818A1" w:rsidRDefault="003818A1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Sleep Stage Sample</w:t>
            </w:r>
          </w:p>
          <w:p w14:paraId="77B86D44" w14:textId="561B4A1E" w:rsidR="00AF12A1" w:rsidRDefault="005E5204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542B5923" w:rsidRPr="0024086A">
              <w:rPr>
                <w:b/>
                <w:bCs/>
                <w:i/>
              </w:rPr>
              <w:t>n</w:t>
            </w:r>
            <w:r w:rsidR="542B5923" w:rsidRPr="542B5923">
              <w:rPr>
                <w:b/>
                <w:bCs/>
              </w:rPr>
              <w:t>=29</w:t>
            </w:r>
            <w:r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16AB9B" w14:textId="12ED6F73" w:rsidR="003818A1" w:rsidRDefault="00A646B8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Delta/</w:t>
            </w:r>
            <w:r w:rsidR="003818A1">
              <w:rPr>
                <w:b/>
                <w:bCs/>
              </w:rPr>
              <w:t>Sigma Activity Sample</w:t>
            </w:r>
          </w:p>
          <w:p w14:paraId="45844F45" w14:textId="7C166500" w:rsidR="00AF12A1" w:rsidRDefault="005E5204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542B5923" w:rsidRPr="0024086A">
              <w:rPr>
                <w:b/>
                <w:bCs/>
                <w:i/>
              </w:rPr>
              <w:t>n</w:t>
            </w:r>
            <w:r w:rsidR="542B5923" w:rsidRPr="542B5923">
              <w:rPr>
                <w:b/>
                <w:bCs/>
              </w:rPr>
              <w:t>=25</w:t>
            </w:r>
            <w:r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6D5E094B" w14:textId="77777777" w:rsidR="006A4F89" w:rsidRDefault="006A4F89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Regression</w:t>
            </w:r>
            <w:r w:rsidR="00CB09B5">
              <w:rPr>
                <w:b/>
                <w:bCs/>
              </w:rPr>
              <w:t xml:space="preserve"> </w:t>
            </w:r>
          </w:p>
          <w:p w14:paraId="76CD740F" w14:textId="288E123A" w:rsidR="003818A1" w:rsidRDefault="003818A1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</w:t>
            </w:r>
          </w:p>
          <w:p w14:paraId="5D0745B1" w14:textId="0742D6C4" w:rsidR="00AF12A1" w:rsidRDefault="005E5204" w:rsidP="542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542B5923" w:rsidRPr="0024086A">
              <w:rPr>
                <w:b/>
                <w:bCs/>
                <w:i/>
              </w:rPr>
              <w:t>n</w:t>
            </w:r>
            <w:r w:rsidR="542B5923" w:rsidRPr="542B5923">
              <w:rPr>
                <w:b/>
                <w:bCs/>
              </w:rPr>
              <w:t>=23</w:t>
            </w:r>
            <w:r>
              <w:rPr>
                <w:b/>
                <w:bCs/>
              </w:rPr>
              <w:t>)</w:t>
            </w:r>
          </w:p>
        </w:tc>
      </w:tr>
      <w:tr w:rsidR="542B5923" w14:paraId="399AC320" w14:textId="77777777" w:rsidTr="00F5118F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4158F665" w14:textId="62D013A4" w:rsidR="542B5923" w:rsidRDefault="542B5923" w:rsidP="542B5923">
            <w:r w:rsidRPr="542B5923">
              <w:rPr>
                <w:i/>
                <w:iCs/>
              </w:rPr>
              <w:t>Demographics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14:paraId="3F5FD532" w14:textId="34770C9F" w:rsidR="542B5923" w:rsidRDefault="542B5923" w:rsidP="542B5923">
            <w:pPr>
              <w:jc w:val="center"/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14:paraId="56D24308" w14:textId="5C9002DA" w:rsidR="542B5923" w:rsidRDefault="542B5923" w:rsidP="542B5923">
            <w:pPr>
              <w:jc w:val="center"/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2BA52AAE" w14:textId="701DEBF5" w:rsidR="542B5923" w:rsidRDefault="542B5923" w:rsidP="542B5923">
            <w:pPr>
              <w:jc w:val="center"/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6DC6DF84" w14:textId="728F5A81" w:rsidR="542B5923" w:rsidRDefault="542B5923" w:rsidP="542B5923">
            <w:pPr>
              <w:jc w:val="center"/>
            </w:pPr>
          </w:p>
        </w:tc>
      </w:tr>
      <w:tr w:rsidR="542B5923" w14:paraId="6B06F221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99CFD1" w14:textId="609EF25A" w:rsidR="542B5923" w:rsidRDefault="007E26DB" w:rsidP="0003703D">
            <w:pPr>
              <w:jc w:val="right"/>
            </w:pPr>
            <w:r>
              <w:t>Age (</w:t>
            </w:r>
            <w:r w:rsidRPr="0024086A">
              <w:rPr>
                <w:i/>
              </w:rPr>
              <w:t>M</w:t>
            </w:r>
            <w:r>
              <w:t>(</w:t>
            </w:r>
            <w:r w:rsidRPr="0024086A">
              <w:rPr>
                <w:i/>
              </w:rPr>
              <w:t>SD</w:t>
            </w:r>
            <w:r w:rsidR="542B5923">
              <w:t>))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5D0DB" w14:textId="4629A940" w:rsidR="542B5923" w:rsidRDefault="007E26DB" w:rsidP="542B5923">
            <w:pPr>
              <w:jc w:val="center"/>
            </w:pPr>
            <w:r>
              <w:t>20.93 (2.22)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85442" w14:textId="297762B0" w:rsidR="542B5923" w:rsidRDefault="007E26DB" w:rsidP="542B5923">
            <w:pPr>
              <w:jc w:val="center"/>
            </w:pPr>
            <w:r>
              <w:t>20.97 (2.16)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4ADC7" w14:textId="641BCC5F" w:rsidR="542B5923" w:rsidRDefault="0026136E" w:rsidP="542B5923">
            <w:pPr>
              <w:jc w:val="center"/>
            </w:pPr>
            <w:r>
              <w:t>21.29 (2.19)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38AE" w14:textId="60AF8FBF" w:rsidR="542B5923" w:rsidRDefault="00003138" w:rsidP="542B5923">
            <w:pPr>
              <w:jc w:val="center"/>
            </w:pPr>
            <w:r>
              <w:t>21.17 (2.17)</w:t>
            </w:r>
          </w:p>
        </w:tc>
      </w:tr>
      <w:tr w:rsidR="542B5923" w14:paraId="3E4788BC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8646AF" w14:textId="2626A636" w:rsidR="542B5923" w:rsidRDefault="00834FC6" w:rsidP="0003703D">
            <w:pPr>
              <w:jc w:val="right"/>
            </w:pPr>
            <w:r>
              <w:t>Sex ratio (</w:t>
            </w:r>
            <w:r w:rsidR="542B5923">
              <w:t>F</w:t>
            </w:r>
            <w:r>
              <w:t>:M</w:t>
            </w:r>
            <w:r w:rsidR="542B5923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A0F9" w14:textId="04425B21" w:rsidR="542B5923" w:rsidRDefault="0026136E" w:rsidP="542B5923">
            <w:pPr>
              <w:jc w:val="center"/>
            </w:pPr>
            <w:r>
              <w:t>28:14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9796" w14:textId="095ADEEB" w:rsidR="542B5923" w:rsidRDefault="0026136E" w:rsidP="542B5923">
            <w:pPr>
              <w:jc w:val="center"/>
            </w:pPr>
            <w:r>
              <w:t>20:9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B88FB" w14:textId="2CF714CE" w:rsidR="542B5923" w:rsidRDefault="0026136E" w:rsidP="542B5923">
            <w:pPr>
              <w:jc w:val="center"/>
            </w:pPr>
            <w:r>
              <w:t>16:</w:t>
            </w:r>
            <w:r w:rsidR="00DB32B3"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3931" w14:textId="319DADA3" w:rsidR="542B5923" w:rsidRDefault="00003138" w:rsidP="542B5923">
            <w:pPr>
              <w:jc w:val="center"/>
            </w:pPr>
            <w:r>
              <w:t>15:8</w:t>
            </w:r>
          </w:p>
        </w:tc>
      </w:tr>
      <w:tr w:rsidR="00241D78" w14:paraId="0F262432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6CE9F7" w14:textId="4715DE7F" w:rsidR="542B5923" w:rsidRDefault="542B5923" w:rsidP="542B5923">
            <w:pPr>
              <w:rPr>
                <w:i/>
                <w:iCs/>
              </w:rPr>
            </w:pPr>
            <w:r w:rsidRPr="542B5923">
              <w:rPr>
                <w:i/>
                <w:iCs/>
              </w:rPr>
              <w:t>Measures</w:t>
            </w:r>
            <w:r w:rsidR="0024086A">
              <w:rPr>
                <w:i/>
                <w:iCs/>
              </w:rPr>
              <w:t xml:space="preserve"> (M(SE</w:t>
            </w:r>
            <w:r w:rsidR="003B1489">
              <w:rPr>
                <w:i/>
                <w:iCs/>
              </w:rPr>
              <w:t>)</w:t>
            </w:r>
            <w:r w:rsidR="00FD29C9">
              <w:rPr>
                <w:i/>
                <w:iCs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EC4A" w14:textId="71A37AFB" w:rsidR="542B5923" w:rsidRPr="00834FC6" w:rsidRDefault="542B5923" w:rsidP="542B5923">
            <w:pPr>
              <w:jc w:val="center"/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7223B" w14:textId="27B1E785" w:rsidR="542B5923" w:rsidRDefault="542B5923" w:rsidP="542B5923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6139" w14:textId="6F0BA85D" w:rsidR="542B5923" w:rsidRDefault="542B5923" w:rsidP="542B5923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7ED9" w14:textId="2D46E9D4" w:rsidR="542B5923" w:rsidRDefault="542B5923" w:rsidP="542B5923">
            <w:pPr>
              <w:jc w:val="center"/>
            </w:pPr>
          </w:p>
        </w:tc>
      </w:tr>
      <w:tr w:rsidR="00AF12A1" w14:paraId="37E6F45A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4EB3959" w14:textId="0973A28B" w:rsidR="00AF12A1" w:rsidRDefault="003251A6" w:rsidP="003251A6">
            <w:pPr>
              <w:jc w:val="right"/>
            </w:pPr>
            <w:r>
              <w:t>Pre-Encoding affect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58C6" w14:textId="77777777" w:rsidR="00AF12A1" w:rsidRDefault="00AF12A1" w:rsidP="00F26757">
            <w:pPr>
              <w:jc w:val="center"/>
            </w:pPr>
            <w:r>
              <w:t>1.11 (0.094)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035A" w14:textId="77777777" w:rsidR="00AF12A1" w:rsidRDefault="00D24280" w:rsidP="00F26757">
            <w:pPr>
              <w:jc w:val="center"/>
            </w:pPr>
            <w:r>
              <w:t>1.21 (0.111)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1D468" w14:textId="77777777" w:rsidR="00AF12A1" w:rsidRDefault="00D24280" w:rsidP="00F26757">
            <w:pPr>
              <w:jc w:val="center"/>
            </w:pPr>
            <w:r>
              <w:t>1.31 (0.112)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84F5" w14:textId="77777777" w:rsidR="00AF12A1" w:rsidRDefault="00AF12A1" w:rsidP="00F26757">
            <w:pPr>
              <w:jc w:val="center"/>
            </w:pPr>
            <w:r>
              <w:t>1.33 (0.121)</w:t>
            </w:r>
          </w:p>
        </w:tc>
      </w:tr>
      <w:tr w:rsidR="00AF12A1" w14:paraId="4F309642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71F4ED" w14:textId="18CE5F22" w:rsidR="00AF12A1" w:rsidRDefault="003251A6" w:rsidP="003251A6">
            <w:pPr>
              <w:jc w:val="right"/>
            </w:pPr>
            <w:r>
              <w:t>Post-Encoding affect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1FF2" w14:textId="77777777" w:rsidR="00AF12A1" w:rsidRDefault="00AF12A1" w:rsidP="00F26757">
            <w:pPr>
              <w:jc w:val="center"/>
            </w:pPr>
            <w:r>
              <w:t>0.48 (0.088)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F44" w14:textId="77777777" w:rsidR="00AF12A1" w:rsidRDefault="00D24280" w:rsidP="00F26757">
            <w:pPr>
              <w:jc w:val="center"/>
            </w:pPr>
            <w:r>
              <w:t>0.45 (0.115)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5890" w14:textId="77777777" w:rsidR="00AF12A1" w:rsidRDefault="00D24280" w:rsidP="00F26757">
            <w:pPr>
              <w:jc w:val="center"/>
            </w:pPr>
            <w:r>
              <w:t>0.53 (0.119)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0130" w14:textId="77777777" w:rsidR="00AF12A1" w:rsidRDefault="00AF12A1" w:rsidP="00F26757">
            <w:pPr>
              <w:jc w:val="center"/>
            </w:pPr>
            <w:r>
              <w:t>0.57 (0.124)</w:t>
            </w:r>
          </w:p>
        </w:tc>
      </w:tr>
      <w:tr w:rsidR="00AF12A1" w14:paraId="15BA48BF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CFA8A9" w14:textId="2BB49BF1" w:rsidR="00AF12A1" w:rsidRDefault="003251A6" w:rsidP="00834FC6">
            <w:pPr>
              <w:jc w:val="right"/>
            </w:pPr>
            <w:r>
              <w:t>Post-nap affect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A98C" w14:textId="77777777" w:rsidR="00AF12A1" w:rsidRDefault="00AF12A1" w:rsidP="00F26757">
            <w:pPr>
              <w:jc w:val="center"/>
            </w:pPr>
            <w:r>
              <w:t>1.02 (0.124)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B75E" w14:textId="77777777" w:rsidR="00AF12A1" w:rsidRDefault="00D24280" w:rsidP="00F26757">
            <w:pPr>
              <w:jc w:val="center"/>
            </w:pPr>
            <w:r>
              <w:t>1.01 (0.153)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5E47" w14:textId="77777777" w:rsidR="00AF12A1" w:rsidRDefault="00D24280" w:rsidP="00F26757">
            <w:pPr>
              <w:jc w:val="center"/>
            </w:pPr>
            <w:r>
              <w:t>1.04 (0.169)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5110" w14:textId="77777777" w:rsidR="00AF12A1" w:rsidRDefault="00AF12A1" w:rsidP="00F26757">
            <w:pPr>
              <w:jc w:val="center"/>
            </w:pPr>
            <w:r>
              <w:t>0.98 (0.168)</w:t>
            </w:r>
          </w:p>
        </w:tc>
      </w:tr>
      <w:tr w:rsidR="00AF12A1" w14:paraId="443B2B4D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ACE71A" w14:textId="77777777" w:rsidR="00AF12A1" w:rsidRDefault="00AF12A1" w:rsidP="00834FC6">
            <w:pPr>
              <w:jc w:val="right"/>
            </w:pPr>
            <w:r>
              <w:t>Negative HR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DB62" w14:textId="77777777" w:rsidR="00AF12A1" w:rsidRDefault="00AF12A1" w:rsidP="00F26757">
            <w:pPr>
              <w:jc w:val="center"/>
            </w:pPr>
            <w:r>
              <w:t>0.85 (0.015)</w:t>
            </w:r>
            <w:r w:rsidRPr="00F042F3">
              <w:rPr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6D81" w14:textId="77777777" w:rsidR="00AF12A1" w:rsidRDefault="00D24280" w:rsidP="00F26757">
            <w:pPr>
              <w:jc w:val="center"/>
            </w:pPr>
            <w:r>
              <w:t>0.85 (0.017)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E12D" w14:textId="77777777" w:rsidR="00AF12A1" w:rsidRDefault="00D24280" w:rsidP="00F26757">
            <w:pPr>
              <w:jc w:val="center"/>
            </w:pPr>
            <w:r>
              <w:t>0.87 (0.017)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B848" w14:textId="77777777" w:rsidR="00AF12A1" w:rsidRDefault="004A1CE3" w:rsidP="00F26757">
            <w:pPr>
              <w:jc w:val="center"/>
            </w:pPr>
            <w:r>
              <w:t>0.86 (0.018</w:t>
            </w:r>
            <w:r w:rsidR="005B69AB">
              <w:t>)</w:t>
            </w:r>
          </w:p>
        </w:tc>
      </w:tr>
      <w:tr w:rsidR="00AF12A1" w14:paraId="1A963025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DD5997" w14:textId="77777777" w:rsidR="00AF12A1" w:rsidRDefault="00AF12A1" w:rsidP="00834FC6">
            <w:pPr>
              <w:jc w:val="right"/>
            </w:pPr>
            <w:r>
              <w:t>Negative FAR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EC29" w14:textId="77777777" w:rsidR="00AF12A1" w:rsidRDefault="00AF12A1" w:rsidP="00F26757">
            <w:pPr>
              <w:jc w:val="center"/>
            </w:pPr>
            <w:r>
              <w:t>0.13 (0.011)</w:t>
            </w:r>
            <w:r w:rsidRPr="00F042F3">
              <w:rPr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3C7F" w14:textId="77777777" w:rsidR="00AF12A1" w:rsidRDefault="00D24280" w:rsidP="00F26757">
            <w:pPr>
              <w:jc w:val="center"/>
            </w:pPr>
            <w:r>
              <w:t>0.13 (0.012)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9B5" w14:textId="77777777" w:rsidR="00AF12A1" w:rsidRDefault="00D24280" w:rsidP="00F26757">
            <w:pPr>
              <w:jc w:val="center"/>
            </w:pPr>
            <w:r>
              <w:t>0.13 (0.014)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B458" w14:textId="77777777" w:rsidR="00AF12A1" w:rsidRDefault="001C7CFB" w:rsidP="00F26757">
            <w:pPr>
              <w:jc w:val="center"/>
            </w:pPr>
            <w:r>
              <w:t>0.13 (0.015</w:t>
            </w:r>
            <w:r w:rsidR="005B69AB">
              <w:t>)</w:t>
            </w:r>
          </w:p>
        </w:tc>
      </w:tr>
      <w:tr w:rsidR="00AF12A1" w14:paraId="43DF9D1B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D0BD5C" w14:textId="77777777" w:rsidR="00AF12A1" w:rsidRDefault="00AF12A1" w:rsidP="00834FC6">
            <w:pPr>
              <w:jc w:val="right"/>
            </w:pPr>
            <w:r>
              <w:t>Neutral HR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1C4B" w14:textId="77777777" w:rsidR="00AF12A1" w:rsidRDefault="00AF12A1" w:rsidP="00F26757">
            <w:pPr>
              <w:jc w:val="center"/>
            </w:pPr>
            <w:r>
              <w:t>0.80 (0.016)</w:t>
            </w:r>
            <w:r w:rsidRPr="00F042F3">
              <w:rPr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C5D4" w14:textId="77777777" w:rsidR="00AF12A1" w:rsidRDefault="00D24280" w:rsidP="00F26757">
            <w:pPr>
              <w:jc w:val="center"/>
            </w:pPr>
            <w:r>
              <w:t>0.82 (0.017)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0D23" w14:textId="77777777" w:rsidR="00AF12A1" w:rsidRDefault="00D24280" w:rsidP="00F26757">
            <w:pPr>
              <w:jc w:val="center"/>
            </w:pPr>
            <w:r>
              <w:t>0.83 (0.016)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44DA" w14:textId="77777777" w:rsidR="00AF12A1" w:rsidRDefault="00AF12A1" w:rsidP="00F26757">
            <w:pPr>
              <w:jc w:val="center"/>
            </w:pPr>
            <w:r>
              <w:t>0.84 (0.016)</w:t>
            </w:r>
          </w:p>
        </w:tc>
      </w:tr>
      <w:tr w:rsidR="00AF12A1" w14:paraId="4D1DE170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50DA73" w14:textId="77777777" w:rsidR="00AF12A1" w:rsidRDefault="00AF12A1" w:rsidP="00834FC6">
            <w:pPr>
              <w:jc w:val="right"/>
            </w:pPr>
            <w:r>
              <w:t>Neutral FAR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3FE6" w14:textId="77777777" w:rsidR="00AF12A1" w:rsidRDefault="00AF12A1" w:rsidP="00F26757">
            <w:pPr>
              <w:jc w:val="center"/>
            </w:pPr>
            <w:r>
              <w:t>0.17 (0.021)</w:t>
            </w:r>
            <w:r w:rsidRPr="00F042F3">
              <w:rPr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5BAB" w14:textId="77777777" w:rsidR="00AF12A1" w:rsidRDefault="00D24280" w:rsidP="00F26757">
            <w:pPr>
              <w:jc w:val="center"/>
            </w:pPr>
            <w:r>
              <w:t>0.17 (0.027)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D6DD" w14:textId="77777777" w:rsidR="00AF12A1" w:rsidRDefault="00D24280" w:rsidP="00F26757">
            <w:pPr>
              <w:jc w:val="center"/>
            </w:pPr>
            <w:r>
              <w:t>0.16 (0.025)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6BC2" w14:textId="77777777" w:rsidR="00AF12A1" w:rsidRDefault="005B69AB" w:rsidP="00F26757">
            <w:pPr>
              <w:jc w:val="center"/>
            </w:pPr>
            <w:r>
              <w:t>0.16 (0.027)</w:t>
            </w:r>
          </w:p>
        </w:tc>
      </w:tr>
      <w:tr w:rsidR="00AF12A1" w14:paraId="3C098AA1" w14:textId="77777777" w:rsidTr="00F5118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AB96A8" w14:textId="4BDFAD77" w:rsidR="00AF12A1" w:rsidRDefault="00DB32B3" w:rsidP="003251A6">
            <w:pPr>
              <w:jc w:val="right"/>
            </w:pPr>
            <w:r>
              <w:t xml:space="preserve">Delta </w:t>
            </w:r>
            <w:r w:rsidR="003251A6">
              <w:t>d</w:t>
            </w:r>
            <w:r w:rsidR="00AF12A1">
              <w:t>ensity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408FD" w14:textId="77777777" w:rsidR="00AF12A1" w:rsidRDefault="00D24280" w:rsidP="00F26757">
            <w:pPr>
              <w:jc w:val="center"/>
            </w:pPr>
            <w: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389C" w14:textId="77777777" w:rsidR="00AF12A1" w:rsidRDefault="00D24280" w:rsidP="00F26757">
            <w:pPr>
              <w:jc w:val="center"/>
            </w:pPr>
            <w: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79A36" w14:textId="36EF96C7" w:rsidR="00AF12A1" w:rsidRDefault="00241D78" w:rsidP="00F26757">
            <w:pPr>
              <w:jc w:val="center"/>
            </w:pPr>
            <w:r>
              <w:t>4109.94 (313.22)</w:t>
            </w:r>
            <w:r w:rsidRPr="00241D78">
              <w:rPr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B7E2" w14:textId="31400A93" w:rsidR="001313CE" w:rsidRDefault="00C84AF5" w:rsidP="00F26757">
            <w:pPr>
              <w:jc w:val="center"/>
            </w:pPr>
            <w:r>
              <w:t>4169.71 (338.05)</w:t>
            </w:r>
            <w:r w:rsidRPr="00C84AF5">
              <w:rPr>
                <w:vertAlign w:val="superscript"/>
              </w:rPr>
              <w:t>b</w:t>
            </w:r>
          </w:p>
        </w:tc>
      </w:tr>
      <w:tr w:rsidR="00DB32B3" w14:paraId="5057ED95" w14:textId="77777777" w:rsidTr="00F5118F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DBECA" w14:textId="496A8486" w:rsidR="00DB32B3" w:rsidRDefault="00DB32B3" w:rsidP="003251A6">
            <w:pPr>
              <w:jc w:val="right"/>
            </w:pPr>
            <w:r>
              <w:t xml:space="preserve">Sigma </w:t>
            </w:r>
            <w:r w:rsidR="003251A6">
              <w:t>d</w:t>
            </w:r>
            <w:r>
              <w:t>ensity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9C498" w14:textId="77777777" w:rsidR="00DB32B3" w:rsidRDefault="00DB32B3" w:rsidP="00DB32B3">
            <w:pPr>
              <w:jc w:val="center"/>
            </w:pPr>
            <w: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80228" w14:textId="77777777" w:rsidR="00DB32B3" w:rsidRDefault="00DB32B3" w:rsidP="00DB32B3">
            <w:pPr>
              <w:jc w:val="center"/>
            </w:pPr>
            <w:r>
              <w:t>--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1B412DD0" w:rsidR="00DB32B3" w:rsidRDefault="00DB32B3" w:rsidP="00DB32B3">
            <w:pPr>
              <w:jc w:val="center"/>
            </w:pPr>
            <w:r>
              <w:t>640.09 (21.434)</w:t>
            </w:r>
            <w:r w:rsidRPr="542B5923">
              <w:rPr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0FE46723" w:rsidR="00DB32B3" w:rsidRDefault="00DB32B3" w:rsidP="00DB32B3">
            <w:pPr>
              <w:jc w:val="center"/>
            </w:pPr>
            <w:r>
              <w:t>635.97 (22.734)</w:t>
            </w:r>
            <w:r w:rsidRPr="542B5923">
              <w:rPr>
                <w:vertAlign w:val="superscript"/>
              </w:rPr>
              <w:t>b</w:t>
            </w:r>
          </w:p>
        </w:tc>
      </w:tr>
    </w:tbl>
    <w:p w14:paraId="1BCA43C2" w14:textId="3C2D6D4D" w:rsidR="001427CD" w:rsidRPr="001427CD" w:rsidRDefault="001427CD" w:rsidP="542B5923">
      <w:pPr>
        <w:rPr>
          <w:sz w:val="20"/>
          <w:szCs w:val="20"/>
        </w:rPr>
      </w:pPr>
      <w:r>
        <w:rPr>
          <w:sz w:val="20"/>
          <w:szCs w:val="20"/>
        </w:rPr>
        <w:t>HR = hit rate; FAR = false alarm rate</w:t>
      </w:r>
    </w:p>
    <w:p w14:paraId="5EDCA5D3" w14:textId="080AA78B" w:rsidR="542B5923" w:rsidRPr="003B1489" w:rsidRDefault="542B5923" w:rsidP="542B5923">
      <w:pPr>
        <w:rPr>
          <w:sz w:val="20"/>
          <w:szCs w:val="20"/>
          <w:vertAlign w:val="superscript"/>
        </w:rPr>
      </w:pPr>
      <w:r w:rsidRPr="003B1489">
        <w:rPr>
          <w:sz w:val="20"/>
          <w:szCs w:val="20"/>
          <w:vertAlign w:val="superscript"/>
        </w:rPr>
        <w:t>a</w:t>
      </w:r>
      <w:r w:rsidR="0026136E" w:rsidRPr="009F439F">
        <w:rPr>
          <w:i/>
          <w:sz w:val="20"/>
          <w:szCs w:val="20"/>
        </w:rPr>
        <w:t>n</w:t>
      </w:r>
      <w:r w:rsidR="0026136E" w:rsidRPr="003B1489">
        <w:rPr>
          <w:sz w:val="20"/>
          <w:szCs w:val="20"/>
        </w:rPr>
        <w:t>=39</w:t>
      </w:r>
      <w:r w:rsidR="007E26DB" w:rsidRPr="003B1489">
        <w:rPr>
          <w:sz w:val="20"/>
          <w:szCs w:val="20"/>
        </w:rPr>
        <w:t xml:space="preserve"> (memory measures not available for 2 participants due to </w:t>
      </w:r>
      <w:r w:rsidR="00E85A58" w:rsidRPr="003B1489">
        <w:rPr>
          <w:sz w:val="20"/>
          <w:szCs w:val="20"/>
        </w:rPr>
        <w:t xml:space="preserve">data loss; </w:t>
      </w:r>
      <w:r w:rsidR="007E26DB" w:rsidRPr="003B1489">
        <w:rPr>
          <w:sz w:val="20"/>
          <w:szCs w:val="20"/>
        </w:rPr>
        <w:t>1 participa</w:t>
      </w:r>
      <w:r w:rsidR="0026136E" w:rsidRPr="003B1489">
        <w:rPr>
          <w:sz w:val="20"/>
          <w:szCs w:val="20"/>
        </w:rPr>
        <w:t xml:space="preserve">nt excluded due to </w:t>
      </w:r>
      <w:r w:rsidR="007E26DB" w:rsidRPr="003B1489">
        <w:rPr>
          <w:sz w:val="20"/>
          <w:szCs w:val="20"/>
        </w:rPr>
        <w:t xml:space="preserve">poor performance (&gt;3 </w:t>
      </w:r>
      <w:r w:rsidR="007E26DB" w:rsidRPr="009F439F">
        <w:rPr>
          <w:i/>
          <w:sz w:val="20"/>
          <w:szCs w:val="20"/>
        </w:rPr>
        <w:t>SD</w:t>
      </w:r>
      <w:r w:rsidR="007E26DB" w:rsidRPr="003B1489">
        <w:rPr>
          <w:sz w:val="20"/>
          <w:szCs w:val="20"/>
        </w:rPr>
        <w:t xml:space="preserve"> below the mean)</w:t>
      </w:r>
      <w:r w:rsidR="00E85A58" w:rsidRPr="003B1489">
        <w:rPr>
          <w:sz w:val="20"/>
          <w:szCs w:val="20"/>
        </w:rPr>
        <w:t>)</w:t>
      </w:r>
    </w:p>
    <w:p w14:paraId="02EB378F" w14:textId="1917FC8B" w:rsidR="000A5C2D" w:rsidRDefault="542B5923">
      <w:pPr>
        <w:rPr>
          <w:sz w:val="20"/>
          <w:szCs w:val="20"/>
        </w:rPr>
      </w:pPr>
      <w:proofErr w:type="spellStart"/>
      <w:r w:rsidRPr="003B1489">
        <w:rPr>
          <w:sz w:val="20"/>
          <w:szCs w:val="20"/>
          <w:vertAlign w:val="superscript"/>
        </w:rPr>
        <w:t>b</w:t>
      </w:r>
      <w:r w:rsidR="006B5990">
        <w:rPr>
          <w:sz w:val="20"/>
          <w:szCs w:val="20"/>
        </w:rPr>
        <w:t>Delta</w:t>
      </w:r>
      <w:proofErr w:type="spellEnd"/>
      <w:r w:rsidR="006B5990">
        <w:rPr>
          <w:sz w:val="20"/>
          <w:szCs w:val="20"/>
        </w:rPr>
        <w:t xml:space="preserve"> and sigma</w:t>
      </w:r>
      <w:r w:rsidRPr="003B1489">
        <w:rPr>
          <w:sz w:val="20"/>
          <w:szCs w:val="20"/>
        </w:rPr>
        <w:t xml:space="preserve"> density values are reported in arbitrary amplitude envelope units summed per second. These values can be converted to mean amplitude envelope units (</w:t>
      </w:r>
      <w:r w:rsidR="006B5990">
        <w:rPr>
          <w:sz w:val="20"/>
          <w:szCs w:val="20"/>
        </w:rPr>
        <w:t>comparable</w:t>
      </w:r>
      <w:r w:rsidRPr="003B1489">
        <w:rPr>
          <w:sz w:val="20"/>
          <w:szCs w:val="20"/>
        </w:rPr>
        <w:t xml:space="preserve"> to microvolts) by dividing by the sampling rate (200 Hz).</w:t>
      </w:r>
    </w:p>
    <w:p w14:paraId="0D7E940D" w14:textId="4C0280D4" w:rsidR="004D2CC7" w:rsidRDefault="004D2CC7">
      <w:pPr>
        <w:rPr>
          <w:sz w:val="20"/>
          <w:szCs w:val="20"/>
        </w:rPr>
      </w:pPr>
    </w:p>
    <w:p w14:paraId="17151CA6" w14:textId="15B6E301" w:rsidR="004D2CC7" w:rsidRPr="0000437B" w:rsidRDefault="0000437B">
      <w:r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>Supplementary Table 2. </w:t>
      </w:r>
      <w:r w:rsidR="000E2296"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>Correlation</w:t>
      </w:r>
      <w:r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>s between memory and affect</w:t>
      </w:r>
      <w:r w:rsidR="000E2296"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 xml:space="preserve"> (Pearson’s </w:t>
      </w:r>
      <w:r w:rsidR="000E2296" w:rsidRPr="000E2296">
        <w:rPr>
          <w:rStyle w:val="normaltextrun"/>
          <w:rFonts w:ascii="Helvetica" w:hAnsi="Helvetica" w:cs="Helvetica"/>
          <w:b/>
          <w:bCs/>
          <w:i/>
          <w:color w:val="000000"/>
          <w:shd w:val="clear" w:color="auto" w:fill="FFFFFF"/>
        </w:rPr>
        <w:t>r</w:t>
      </w:r>
      <w:r w:rsidR="000E2296">
        <w:rPr>
          <w:rStyle w:val="normaltextrun"/>
          <w:rFonts w:ascii="Helvetica" w:hAnsi="Helvetica" w:cs="Helvetica"/>
          <w:b/>
          <w:bCs/>
          <w:color w:val="000000"/>
          <w:shd w:val="clear" w:color="auto" w:fill="FFFFFF"/>
        </w:rPr>
        <w:t>)</w:t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260"/>
        <w:gridCol w:w="1350"/>
      </w:tblGrid>
      <w:tr w:rsidR="004D2CC7" w14:paraId="4F458287" w14:textId="77777777" w:rsidTr="00321910"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14:paraId="23C47AF4" w14:textId="77777777" w:rsidR="004D2CC7" w:rsidRDefault="004D2CC7" w:rsidP="00193FE3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ADA301" w14:textId="774EBBBD" w:rsidR="004D2CC7" w:rsidRDefault="00C104B0" w:rsidP="00193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Negative HR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533853" w14:textId="6DF91BE5" w:rsidR="004D2CC7" w:rsidRDefault="00C104B0" w:rsidP="00193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Negative FAR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A4B59F" w14:textId="4AF81FE0" w:rsidR="004D2CC7" w:rsidRDefault="00C104B0" w:rsidP="00193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 HR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1FD87D24" w14:textId="3ACA34D0" w:rsidR="004D2CC7" w:rsidRDefault="00C104B0" w:rsidP="00193F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 FAR</w:t>
            </w:r>
          </w:p>
        </w:tc>
      </w:tr>
      <w:tr w:rsidR="004D2CC7" w14:paraId="07FA3B04" w14:textId="77777777" w:rsidTr="00321910"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38AD5494" w14:textId="18C73FBF" w:rsidR="004D2CC7" w:rsidRDefault="00F7002E" w:rsidP="00116CDF">
            <w:r>
              <w:rPr>
                <w:i/>
                <w:iCs/>
              </w:rPr>
              <w:t xml:space="preserve">Affect </w:t>
            </w:r>
            <w:r w:rsidR="006A4F89">
              <w:rPr>
                <w:i/>
                <w:iCs/>
              </w:rPr>
              <w:t xml:space="preserve">Ratio </w:t>
            </w:r>
            <w:r w:rsidR="00116CDF">
              <w:rPr>
                <w:i/>
                <w:iCs/>
              </w:rPr>
              <w:t>s</w:t>
            </w:r>
            <w:r w:rsidR="008E3440">
              <w:rPr>
                <w:i/>
                <w:iCs/>
              </w:rPr>
              <w:t>a</w:t>
            </w:r>
            <w:r w:rsidR="009F058F">
              <w:rPr>
                <w:i/>
                <w:iCs/>
              </w:rPr>
              <w:t>mple</w:t>
            </w:r>
            <w:r>
              <w:rPr>
                <w:i/>
                <w:iCs/>
              </w:rPr>
              <w:t xml:space="preserve"> (n=42)</w:t>
            </w:r>
            <w:r w:rsidR="009F058F" w:rsidRPr="009F058F">
              <w:rPr>
                <w:iCs/>
                <w:vertAlign w:val="superscript"/>
              </w:rPr>
              <w:t>a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bottom"/>
          </w:tcPr>
          <w:p w14:paraId="6C927BF1" w14:textId="77777777" w:rsidR="004D2CC7" w:rsidRDefault="004D2CC7" w:rsidP="00193FE3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14:paraId="4AA9C602" w14:textId="77777777" w:rsidR="004D2CC7" w:rsidRDefault="004D2CC7" w:rsidP="00193FE3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14:paraId="6E1E257F" w14:textId="77777777" w:rsidR="004D2CC7" w:rsidRDefault="004D2CC7" w:rsidP="00193FE3">
            <w:pPr>
              <w:jc w:val="center"/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14:paraId="1591731F" w14:textId="77777777" w:rsidR="004D2CC7" w:rsidRDefault="004D2CC7" w:rsidP="00193FE3">
            <w:pPr>
              <w:jc w:val="center"/>
            </w:pPr>
          </w:p>
        </w:tc>
      </w:tr>
      <w:tr w:rsidR="00C104B0" w14:paraId="47BBE9ED" w14:textId="77777777" w:rsidTr="003219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5B6B842" w14:textId="5FE17C98" w:rsidR="00C104B0" w:rsidRDefault="00116CDF" w:rsidP="00116CDF">
            <w:pPr>
              <w:jc w:val="right"/>
            </w:pPr>
            <w:r>
              <w:t>Post-Encoding</w:t>
            </w:r>
            <w:r w:rsidR="0000437B">
              <w:t xml:space="preserve"> </w:t>
            </w:r>
            <w:r>
              <w:t>a</w:t>
            </w:r>
            <w:r w:rsidR="0000437B">
              <w:t>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9178" w14:textId="3F89566E" w:rsidR="00C104B0" w:rsidRDefault="0000437B" w:rsidP="00193FE3">
            <w:pPr>
              <w:jc w:val="center"/>
            </w:pPr>
            <w:r>
              <w:t>0.262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8C1A" w14:textId="436036FE" w:rsidR="00C104B0" w:rsidRDefault="0000437B" w:rsidP="00193FE3">
            <w:pPr>
              <w:jc w:val="center"/>
            </w:pPr>
            <w:r>
              <w:t>0.081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7D50" w14:textId="4FAC12BC" w:rsidR="00C104B0" w:rsidRDefault="0000437B" w:rsidP="00193FE3">
            <w:pPr>
              <w:jc w:val="center"/>
            </w:pPr>
            <w:r>
              <w:t>-0.061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44EB" w14:textId="7BA0DE41" w:rsidR="00C104B0" w:rsidRDefault="0000437B" w:rsidP="00193FE3">
            <w:pPr>
              <w:jc w:val="center"/>
            </w:pPr>
            <w:r>
              <w:t>-0.064</w:t>
            </w:r>
          </w:p>
        </w:tc>
      </w:tr>
      <w:tr w:rsidR="00C104B0" w14:paraId="1891391D" w14:textId="77777777" w:rsidTr="003219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F09FAFF" w14:textId="700E3899" w:rsidR="00C104B0" w:rsidRDefault="00C104B0" w:rsidP="00116CDF">
            <w:pPr>
              <w:jc w:val="right"/>
            </w:pPr>
            <w:r>
              <w:t>Post-</w:t>
            </w:r>
            <w:r w:rsidR="00116CDF">
              <w:t>n</w:t>
            </w:r>
            <w:r>
              <w:t>ap</w:t>
            </w:r>
            <w:r w:rsidR="0000437B">
              <w:t xml:space="preserve"> </w:t>
            </w:r>
            <w:r w:rsidR="00116CDF">
              <w:t>a</w:t>
            </w:r>
            <w:r w:rsidR="0000437B">
              <w:t>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D092" w14:textId="1689CEBF" w:rsidR="00C104B0" w:rsidRDefault="0000437B" w:rsidP="00193FE3">
            <w:pPr>
              <w:jc w:val="center"/>
            </w:pPr>
            <w:r>
              <w:t>0.090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32E7" w14:textId="7DD95D64" w:rsidR="00C104B0" w:rsidRDefault="0000437B" w:rsidP="00193FE3">
            <w:pPr>
              <w:jc w:val="center"/>
            </w:pPr>
            <w:r>
              <w:t>-0.046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94CB" w14:textId="29BF7286" w:rsidR="00C104B0" w:rsidRDefault="0000437B" w:rsidP="00193FE3">
            <w:pPr>
              <w:jc w:val="center"/>
            </w:pPr>
            <w:r>
              <w:t>-0.265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61787" w14:textId="528772D0" w:rsidR="00C104B0" w:rsidRDefault="0000437B" w:rsidP="00193FE3">
            <w:pPr>
              <w:jc w:val="center"/>
            </w:pPr>
            <w:r>
              <w:t>0.096</w:t>
            </w:r>
          </w:p>
        </w:tc>
      </w:tr>
      <w:tr w:rsidR="0000437B" w14:paraId="033FCB95" w14:textId="77777777" w:rsidTr="003219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648C150" w14:textId="0A75B4FC" w:rsidR="0000437B" w:rsidRDefault="0000437B" w:rsidP="00116CDF">
            <w:pPr>
              <w:jc w:val="right"/>
              <w:rPr>
                <w:i/>
                <w:iCs/>
              </w:rPr>
            </w:pPr>
            <w:r>
              <w:t xml:space="preserve">Change in </w:t>
            </w:r>
            <w:proofErr w:type="spellStart"/>
            <w:r w:rsidR="00116CDF">
              <w:t>a</w:t>
            </w:r>
            <w:r>
              <w:t>ffect</w:t>
            </w:r>
            <w:r w:rsidR="009F058F" w:rsidRPr="009F058F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E140" w14:textId="13E64A32" w:rsidR="0000437B" w:rsidRPr="00834FC6" w:rsidRDefault="0000437B" w:rsidP="0000437B">
            <w:pPr>
              <w:jc w:val="center"/>
              <w:rPr>
                <w:i/>
                <w:iCs/>
              </w:rPr>
            </w:pPr>
            <w:r>
              <w:t>-0.115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F6CA" w14:textId="4DE80D15" w:rsidR="0000437B" w:rsidRDefault="0000437B" w:rsidP="0000437B">
            <w:pPr>
              <w:jc w:val="center"/>
            </w:pPr>
            <w:r>
              <w:t>-0.133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9978" w14:textId="00263EAD" w:rsidR="0000437B" w:rsidRDefault="0000437B" w:rsidP="0000437B">
            <w:pPr>
              <w:jc w:val="center"/>
            </w:pPr>
            <w:r>
              <w:t>-0.300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8303" w14:textId="4CDC9049" w:rsidR="0000437B" w:rsidRDefault="0000437B" w:rsidP="0000437B">
            <w:pPr>
              <w:jc w:val="center"/>
            </w:pPr>
            <w:r>
              <w:t>0.184</w:t>
            </w:r>
          </w:p>
        </w:tc>
      </w:tr>
      <w:tr w:rsidR="00C104B0" w14:paraId="2C13E68A" w14:textId="77777777" w:rsidTr="003219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171BD2A" w14:textId="2D35CF98" w:rsidR="00C104B0" w:rsidRPr="00C104B0" w:rsidRDefault="008E3440" w:rsidP="00116CDF">
            <w:pPr>
              <w:rPr>
                <w:i/>
              </w:rPr>
            </w:pPr>
            <w:r>
              <w:rPr>
                <w:i/>
              </w:rPr>
              <w:t xml:space="preserve">Regression </w:t>
            </w:r>
            <w:r w:rsidR="00116CDF">
              <w:rPr>
                <w:i/>
              </w:rPr>
              <w:t>s</w:t>
            </w:r>
            <w:r w:rsidR="009F058F">
              <w:rPr>
                <w:i/>
              </w:rPr>
              <w:t>ample (</w:t>
            </w:r>
            <w:r w:rsidR="00C104B0" w:rsidRPr="00C104B0">
              <w:rPr>
                <w:i/>
              </w:rPr>
              <w:t>n=23</w:t>
            </w:r>
            <w:r w:rsidR="009F058F">
              <w:rPr>
                <w:i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CA47" w14:textId="294BE3A4" w:rsidR="00C104B0" w:rsidRDefault="00C104B0" w:rsidP="00193FE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E45B" w14:textId="7D89C4B2" w:rsidR="00C104B0" w:rsidRDefault="00C104B0" w:rsidP="00193FE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33360" w14:textId="659418D6" w:rsidR="00C104B0" w:rsidRDefault="00C104B0" w:rsidP="00193FE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CC2E" w14:textId="4F35FF68" w:rsidR="00C104B0" w:rsidRDefault="00C104B0" w:rsidP="00193FE3">
            <w:pPr>
              <w:jc w:val="center"/>
            </w:pPr>
          </w:p>
        </w:tc>
      </w:tr>
      <w:tr w:rsidR="00C104B0" w14:paraId="37F54BA3" w14:textId="77777777" w:rsidTr="003219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2801048" w14:textId="68C1D7CE" w:rsidR="00C104B0" w:rsidRDefault="00116CDF" w:rsidP="00193FE3">
            <w:pPr>
              <w:jc w:val="right"/>
            </w:pPr>
            <w:r>
              <w:t>Post-Encoding a</w:t>
            </w:r>
            <w:r w:rsidR="0000437B">
              <w:t>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4CF5" w14:textId="18C420FC" w:rsidR="00C104B0" w:rsidRDefault="000E2296" w:rsidP="00193FE3">
            <w:pPr>
              <w:jc w:val="center"/>
            </w:pPr>
            <w:r>
              <w:t>0.131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32AF" w14:textId="4B4EA4C8" w:rsidR="00C104B0" w:rsidRDefault="000E2296" w:rsidP="00193FE3">
            <w:pPr>
              <w:jc w:val="center"/>
            </w:pPr>
            <w:r>
              <w:t>-0.141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620E" w14:textId="5A9DE21E" w:rsidR="00C104B0" w:rsidRDefault="000E2296" w:rsidP="00193FE3">
            <w:pPr>
              <w:jc w:val="center"/>
            </w:pPr>
            <w:r>
              <w:t>-0.226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7DF0" w14:textId="2BECC91F" w:rsidR="00C104B0" w:rsidRDefault="000E2296" w:rsidP="00193FE3">
            <w:pPr>
              <w:jc w:val="center"/>
            </w:pPr>
            <w:r>
              <w:t>-0.224</w:t>
            </w:r>
          </w:p>
        </w:tc>
      </w:tr>
      <w:tr w:rsidR="00C104B0" w14:paraId="05E13145" w14:textId="77777777" w:rsidTr="0032191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86371D2" w14:textId="6D841B9E" w:rsidR="00C104B0" w:rsidRDefault="00116CDF" w:rsidP="00193FE3">
            <w:pPr>
              <w:jc w:val="right"/>
            </w:pPr>
            <w:r>
              <w:t>Post-n</w:t>
            </w:r>
            <w:r w:rsidR="00C104B0">
              <w:t>ap</w:t>
            </w:r>
            <w:r>
              <w:t xml:space="preserve"> a</w:t>
            </w:r>
            <w:r w:rsidR="0000437B">
              <w:t>ffect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7BAC" w14:textId="0A128722" w:rsidR="00C104B0" w:rsidRDefault="000E2296" w:rsidP="00193FE3">
            <w:pPr>
              <w:jc w:val="center"/>
            </w:pPr>
            <w:r>
              <w:t>-0.189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7563" w14:textId="26A46DC5" w:rsidR="00C104B0" w:rsidRDefault="000E2296" w:rsidP="00193FE3">
            <w:pPr>
              <w:jc w:val="center"/>
            </w:pPr>
            <w:r>
              <w:t>-0.242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3333" w14:textId="50648082" w:rsidR="00C104B0" w:rsidRDefault="000E2296" w:rsidP="00193FE3">
            <w:pPr>
              <w:jc w:val="center"/>
            </w:pPr>
            <w:r>
              <w:t>-0.466*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1C5E" w14:textId="11E748E2" w:rsidR="00C104B0" w:rsidRDefault="000E2296" w:rsidP="00193FE3">
            <w:pPr>
              <w:jc w:val="center"/>
            </w:pPr>
            <w:r>
              <w:t>-0.119</w:t>
            </w:r>
          </w:p>
        </w:tc>
      </w:tr>
      <w:tr w:rsidR="00C104B0" w14:paraId="1F68C2BA" w14:textId="77777777" w:rsidTr="00321910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E5EE" w14:textId="56DA8461" w:rsidR="00C104B0" w:rsidRDefault="00C104B0" w:rsidP="00193FE3">
            <w:pPr>
              <w:jc w:val="right"/>
            </w:pPr>
            <w:r>
              <w:t>Change</w:t>
            </w:r>
            <w:r w:rsidR="00116CDF">
              <w:t xml:space="preserve"> in </w:t>
            </w:r>
            <w:proofErr w:type="spellStart"/>
            <w:r w:rsidR="00116CDF">
              <w:t>a</w:t>
            </w:r>
            <w:bookmarkStart w:id="0" w:name="_GoBack"/>
            <w:bookmarkEnd w:id="0"/>
            <w:r w:rsidR="0000437B">
              <w:t>ffect</w:t>
            </w:r>
            <w:r w:rsidR="009F058F" w:rsidRPr="009F058F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0A856" w14:textId="14F91940" w:rsidR="00C104B0" w:rsidRDefault="003A6D0F" w:rsidP="00193FE3">
            <w:pPr>
              <w:jc w:val="center"/>
            </w:pPr>
            <w:r>
              <w:t>-0.445*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6D304" w14:textId="2289D3CC" w:rsidR="00C104B0" w:rsidRDefault="003A6D0F" w:rsidP="00193FE3">
            <w:pPr>
              <w:jc w:val="center"/>
            </w:pPr>
            <w:r>
              <w:t>-0.210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A3040" w14:textId="04CF7355" w:rsidR="00C104B0" w:rsidRDefault="003A6D0F" w:rsidP="00193FE3">
            <w:pPr>
              <w:jc w:val="center"/>
            </w:pPr>
            <w:r>
              <w:t>-0.463*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9BB07" w14:textId="31340D58" w:rsidR="00C104B0" w:rsidRDefault="003A6D0F" w:rsidP="00193FE3">
            <w:pPr>
              <w:jc w:val="center"/>
            </w:pPr>
            <w:r>
              <w:t>0.080</w:t>
            </w:r>
          </w:p>
        </w:tc>
      </w:tr>
    </w:tbl>
    <w:p w14:paraId="0442FEB4" w14:textId="311F00D6" w:rsidR="000E2296" w:rsidRDefault="00C104B0">
      <w:pPr>
        <w:rPr>
          <w:sz w:val="20"/>
          <w:szCs w:val="20"/>
        </w:rPr>
      </w:pPr>
      <w:r>
        <w:rPr>
          <w:sz w:val="20"/>
          <w:szCs w:val="20"/>
        </w:rPr>
        <w:t>HR = hit rate; FAR = false ala</w:t>
      </w:r>
      <w:r w:rsidR="009F058F">
        <w:rPr>
          <w:sz w:val="20"/>
          <w:szCs w:val="20"/>
        </w:rPr>
        <w:t xml:space="preserve">rm rate; </w:t>
      </w:r>
      <w:r w:rsidR="000E2296">
        <w:rPr>
          <w:rFonts w:cstheme="minorHAnsi"/>
          <w:sz w:val="20"/>
          <w:szCs w:val="20"/>
        </w:rPr>
        <w:t>†</w:t>
      </w:r>
      <w:r w:rsidR="000E2296">
        <w:rPr>
          <w:sz w:val="20"/>
          <w:szCs w:val="20"/>
        </w:rPr>
        <w:t xml:space="preserve"> denotes </w:t>
      </w:r>
      <w:r w:rsidR="006E7EC6">
        <w:rPr>
          <w:sz w:val="20"/>
          <w:szCs w:val="20"/>
        </w:rPr>
        <w:t>0.05&lt;</w:t>
      </w:r>
      <w:r w:rsidR="000E2296" w:rsidRPr="006E7EC6">
        <w:rPr>
          <w:i/>
          <w:sz w:val="20"/>
          <w:szCs w:val="20"/>
        </w:rPr>
        <w:t>p</w:t>
      </w:r>
      <w:r w:rsidR="000E2296">
        <w:rPr>
          <w:sz w:val="20"/>
          <w:szCs w:val="20"/>
        </w:rPr>
        <w:t xml:space="preserve">&lt;0.075; * denotes </w:t>
      </w:r>
      <w:r w:rsidR="000E2296" w:rsidRPr="006E7EC6">
        <w:rPr>
          <w:i/>
          <w:sz w:val="20"/>
          <w:szCs w:val="20"/>
        </w:rPr>
        <w:t>p</w:t>
      </w:r>
      <w:r w:rsidR="000E2296">
        <w:rPr>
          <w:sz w:val="20"/>
          <w:szCs w:val="20"/>
        </w:rPr>
        <w:t>&lt;0.05</w:t>
      </w:r>
    </w:p>
    <w:p w14:paraId="7AF1F8F4" w14:textId="19F34164" w:rsidR="009F058F" w:rsidRDefault="009F058F" w:rsidP="009F058F">
      <w:pPr>
        <w:rPr>
          <w:sz w:val="20"/>
          <w:szCs w:val="20"/>
        </w:rPr>
      </w:pPr>
      <w:proofErr w:type="spellStart"/>
      <w:r w:rsidRPr="003B1489">
        <w:rPr>
          <w:sz w:val="20"/>
          <w:szCs w:val="20"/>
          <w:vertAlign w:val="superscript"/>
        </w:rPr>
        <w:t>a</w:t>
      </w:r>
      <w:r w:rsidR="00F7002E">
        <w:rPr>
          <w:sz w:val="20"/>
          <w:szCs w:val="20"/>
        </w:rPr>
        <w:t>M</w:t>
      </w:r>
      <w:r w:rsidRPr="003B1489">
        <w:rPr>
          <w:sz w:val="20"/>
          <w:szCs w:val="20"/>
        </w:rPr>
        <w:t>emory</w:t>
      </w:r>
      <w:proofErr w:type="spellEnd"/>
      <w:r w:rsidRPr="003B1489">
        <w:rPr>
          <w:sz w:val="20"/>
          <w:szCs w:val="20"/>
        </w:rPr>
        <w:t xml:space="preserve"> measures not available for 2 participants due to data loss; 1 participant excluded due to poor performance (&gt;3 </w:t>
      </w:r>
      <w:r w:rsidRPr="00262547">
        <w:rPr>
          <w:i/>
          <w:sz w:val="20"/>
          <w:szCs w:val="20"/>
        </w:rPr>
        <w:t>SD</w:t>
      </w:r>
      <w:r w:rsidRPr="003B1489">
        <w:rPr>
          <w:sz w:val="20"/>
          <w:szCs w:val="20"/>
        </w:rPr>
        <w:t xml:space="preserve"> below the mean)</w:t>
      </w:r>
      <w:r>
        <w:rPr>
          <w:sz w:val="20"/>
          <w:szCs w:val="20"/>
        </w:rPr>
        <w:t>)</w:t>
      </w:r>
    </w:p>
    <w:p w14:paraId="1767BE73" w14:textId="5E5EDD37" w:rsidR="009F058F" w:rsidRPr="003B1489" w:rsidRDefault="009F058F" w:rsidP="009F058F">
      <w:pPr>
        <w:rPr>
          <w:sz w:val="20"/>
          <w:szCs w:val="20"/>
          <w:vertAlign w:val="superscript"/>
        </w:rPr>
      </w:pPr>
      <w:proofErr w:type="spellStart"/>
      <w:r w:rsidRPr="009F058F">
        <w:rPr>
          <w:sz w:val="20"/>
          <w:szCs w:val="20"/>
          <w:vertAlign w:val="superscript"/>
        </w:rPr>
        <w:t>b</w:t>
      </w:r>
      <w:r w:rsidR="00F7002E">
        <w:rPr>
          <w:sz w:val="20"/>
          <w:szCs w:val="20"/>
        </w:rPr>
        <w:t>R</w:t>
      </w:r>
      <w:r>
        <w:rPr>
          <w:sz w:val="20"/>
          <w:szCs w:val="20"/>
        </w:rPr>
        <w:t>elationship</w:t>
      </w:r>
      <w:proofErr w:type="spellEnd"/>
      <w:r>
        <w:rPr>
          <w:sz w:val="20"/>
          <w:szCs w:val="20"/>
        </w:rPr>
        <w:t xml:space="preserve"> with change in affect calculated as partial correlation between memory variable and post-nap affect while controlling for </w:t>
      </w:r>
      <w:r w:rsidR="00116CDF">
        <w:rPr>
          <w:sz w:val="20"/>
          <w:szCs w:val="20"/>
        </w:rPr>
        <w:t>post-Encoding</w:t>
      </w:r>
      <w:r>
        <w:rPr>
          <w:sz w:val="20"/>
          <w:szCs w:val="20"/>
        </w:rPr>
        <w:t xml:space="preserve"> affect</w:t>
      </w:r>
    </w:p>
    <w:p w14:paraId="00E5621F" w14:textId="77777777" w:rsidR="009F058F" w:rsidRPr="003B1489" w:rsidRDefault="009F058F">
      <w:pPr>
        <w:rPr>
          <w:sz w:val="20"/>
          <w:szCs w:val="20"/>
        </w:rPr>
      </w:pPr>
    </w:p>
    <w:sectPr w:rsidR="009F058F" w:rsidRPr="003B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C"/>
    <w:rsid w:val="00003138"/>
    <w:rsid w:val="0000437B"/>
    <w:rsid w:val="0003703D"/>
    <w:rsid w:val="00097D04"/>
    <w:rsid w:val="000A5C2D"/>
    <w:rsid w:val="000A7089"/>
    <w:rsid w:val="000E2296"/>
    <w:rsid w:val="00116CDF"/>
    <w:rsid w:val="001313CE"/>
    <w:rsid w:val="001427CD"/>
    <w:rsid w:val="00156328"/>
    <w:rsid w:val="001A3429"/>
    <w:rsid w:val="001C7CFB"/>
    <w:rsid w:val="00217D36"/>
    <w:rsid w:val="0024086A"/>
    <w:rsid w:val="00241D78"/>
    <w:rsid w:val="0026136E"/>
    <w:rsid w:val="00262547"/>
    <w:rsid w:val="002E2459"/>
    <w:rsid w:val="00321910"/>
    <w:rsid w:val="00321F5F"/>
    <w:rsid w:val="003251A6"/>
    <w:rsid w:val="003818A1"/>
    <w:rsid w:val="003A6D0F"/>
    <w:rsid w:val="003B1489"/>
    <w:rsid w:val="004727DC"/>
    <w:rsid w:val="004A1CE3"/>
    <w:rsid w:val="004D2CC7"/>
    <w:rsid w:val="005B69AB"/>
    <w:rsid w:val="005E5204"/>
    <w:rsid w:val="00672D77"/>
    <w:rsid w:val="006A4F89"/>
    <w:rsid w:val="006B5990"/>
    <w:rsid w:val="006E7EC6"/>
    <w:rsid w:val="00707F79"/>
    <w:rsid w:val="00715CC7"/>
    <w:rsid w:val="007D4FB4"/>
    <w:rsid w:val="007E26DB"/>
    <w:rsid w:val="00815B8F"/>
    <w:rsid w:val="00834FC6"/>
    <w:rsid w:val="008E3440"/>
    <w:rsid w:val="008F15B2"/>
    <w:rsid w:val="009C0129"/>
    <w:rsid w:val="009E3C71"/>
    <w:rsid w:val="009F058F"/>
    <w:rsid w:val="009F439F"/>
    <w:rsid w:val="00A646B8"/>
    <w:rsid w:val="00A97CC9"/>
    <w:rsid w:val="00AF12A1"/>
    <w:rsid w:val="00C104B0"/>
    <w:rsid w:val="00C84AF5"/>
    <w:rsid w:val="00CA0ADA"/>
    <w:rsid w:val="00CB09B5"/>
    <w:rsid w:val="00D24280"/>
    <w:rsid w:val="00DB32B3"/>
    <w:rsid w:val="00DC7122"/>
    <w:rsid w:val="00E32B6C"/>
    <w:rsid w:val="00E85A58"/>
    <w:rsid w:val="00F042F3"/>
    <w:rsid w:val="00F26757"/>
    <w:rsid w:val="00F5118F"/>
    <w:rsid w:val="00F7002E"/>
    <w:rsid w:val="00F8767C"/>
    <w:rsid w:val="00FD29C9"/>
    <w:rsid w:val="542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0049"/>
  <w15:chartTrackingRefBased/>
  <w15:docId w15:val="{CE9723FC-05B0-43BA-B314-4A5F2F85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7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Bethany</cp:lastModifiedBy>
  <cp:revision>38</cp:revision>
  <dcterms:created xsi:type="dcterms:W3CDTF">2019-01-28T03:50:00Z</dcterms:created>
  <dcterms:modified xsi:type="dcterms:W3CDTF">2019-02-28T17:43:00Z</dcterms:modified>
</cp:coreProperties>
</file>