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783D1" w14:textId="0D250AA7" w:rsidR="00DE44C1" w:rsidRPr="001B18A3" w:rsidRDefault="009F2664" w:rsidP="00DE44C1">
      <w:pPr>
        <w:spacing w:line="480" w:lineRule="auto"/>
        <w:jc w:val="both"/>
        <w:rPr>
          <w:b/>
          <w:color w:val="000000" w:themeColor="text1"/>
        </w:rPr>
      </w:pPr>
      <w:bookmarkStart w:id="0" w:name="_GoBack"/>
      <w:bookmarkEnd w:id="0"/>
      <w:r>
        <w:rPr>
          <w:b/>
          <w:color w:val="000000" w:themeColor="text1"/>
        </w:rPr>
        <w:t>WASI-II</w:t>
      </w:r>
      <w:r w:rsidR="00DE44C1" w:rsidRPr="001B18A3">
        <w:rPr>
          <w:b/>
          <w:color w:val="000000" w:themeColor="text1"/>
        </w:rPr>
        <w:t xml:space="preserve">: </w:t>
      </w:r>
    </w:p>
    <w:p w14:paraId="1508C564" w14:textId="77777777" w:rsidR="00DE44C1" w:rsidRDefault="00DE44C1" w:rsidP="00DE44C1">
      <w:pPr>
        <w:spacing w:line="480" w:lineRule="auto"/>
        <w:ind w:firstLine="720"/>
        <w:jc w:val="both"/>
        <w:rPr>
          <w:color w:val="000000" w:themeColor="text1"/>
        </w:rPr>
      </w:pPr>
      <w:r w:rsidRPr="003F3472">
        <w:rPr>
          <w:color w:val="000000" w:themeColor="text1"/>
        </w:rPr>
        <w:t>The WASI-II examination assesses the intelligence of examinees aged 6 through 90 years. This test includes both perceptual reasoning abilities (block design and matrix reasoning) and verbal intelligence (vocabulary and similarities). The WASI-II is often used for research purposes to match experimental groups based on cognitive abilities, with higher scores indicating higher intelligence.</w:t>
      </w:r>
    </w:p>
    <w:p w14:paraId="3080D8A2" w14:textId="77777777" w:rsidR="009F2664" w:rsidRDefault="009F2664" w:rsidP="00DE44C1">
      <w:pPr>
        <w:spacing w:line="480" w:lineRule="auto"/>
        <w:ind w:firstLine="720"/>
        <w:jc w:val="both"/>
        <w:rPr>
          <w:color w:val="000000" w:themeColor="text1"/>
        </w:rPr>
      </w:pPr>
    </w:p>
    <w:p w14:paraId="5A03940B" w14:textId="565357FD" w:rsidR="009F2664" w:rsidRPr="009F2664" w:rsidRDefault="009F2664" w:rsidP="009F2664">
      <w:pPr>
        <w:spacing w:line="480" w:lineRule="auto"/>
        <w:jc w:val="both"/>
        <w:rPr>
          <w:b/>
          <w:color w:val="000000" w:themeColor="text1"/>
        </w:rPr>
      </w:pPr>
      <w:r w:rsidRPr="009F2664">
        <w:rPr>
          <w:b/>
          <w:color w:val="000000" w:themeColor="text1"/>
        </w:rPr>
        <w:t>AQ:</w:t>
      </w:r>
    </w:p>
    <w:p w14:paraId="0C89465A" w14:textId="77777777" w:rsidR="00DE44C1" w:rsidRDefault="00DE44C1" w:rsidP="00DE44C1">
      <w:pPr>
        <w:spacing w:line="480" w:lineRule="auto"/>
        <w:ind w:firstLine="720"/>
        <w:jc w:val="both"/>
        <w:rPr>
          <w:color w:val="000000" w:themeColor="text1"/>
        </w:rPr>
      </w:pPr>
      <w:r w:rsidRPr="003F3472">
        <w:rPr>
          <w:color w:val="000000" w:themeColor="text1"/>
        </w:rPr>
        <w:t xml:space="preserve">The 50-item AQ parent-report is used to quantify autism traits including social skills, communication skills, attention to detail, imagination and attention switching/tolerance of change in children 4-11 years old </w:t>
      </w:r>
      <w:r w:rsidRPr="003F3472">
        <w:rPr>
          <w:color w:val="000000" w:themeColor="text1"/>
        </w:rPr>
        <w:fldChar w:fldCharType="begin" w:fldLock="1"/>
      </w:r>
      <w:r>
        <w:rPr>
          <w:color w:val="000000" w:themeColor="text1"/>
        </w:rPr>
        <w:instrText>ADDIN CSL_CITATION {"citationItems":[{"id":"ITEM-1","itemData":{"DOI":"10.1007/s10803-007-0504-z","ISBN":"01623257","ISSN":"01623257","PMID":"18064550","abstract":"The Autism Spectrum Quotient-Children's Version (AQ-Child) is a parent-report questionnaire that aims to quantify autistic traits in children 4-11 years old. The range of scores on the AQ-Child is 0-150. It was administered to children with an autism spectrum condition (ASC) (n = 540) and a general population sample (n = 1,225). Results showed a significant difference in scores between those with an ASC diagnosis and the general population. Receiver-operating-characteristic analyses showed that using a cut-off score of 76, the AQ-Child has high sensitivity (95%) and specificity (95%). The AQ-Child showed good test-retest reliability and high internal consistency. Factor analysis provided support for four of the five AQ-Child design subscales. Future studies should evaluate how the AQ-C performs in population screening.","author":[{"dropping-particle":"","family":"Auyeung","given":"Bonnie","non-dropping-particle":"","parse-names":false,"suffix":""},{"dropping-particle":"","family":"Baron-Cohen","given":"Simon","non-dropping-particle":"","parse-names":false,"suffix":""},{"dropping-particle":"","family":"Wheelwright","given":"Sally","non-dropping-particle":"","parse-names":false,"suffix":""},{"dropping-particle":"","family":"Allison","given":"Carrie","non-dropping-particle":"","parse-names":false,"suffix":""}],"container-title":"Journal of Autism and Developmental Disorders","id":"ITEM-1","issue":"7","issued":{"date-parts":[["2008"]]},"page":"1230-1240","title":"The autism spectrum quotient: Children's version (AQ-Child)","type":"article-journal","volume":"38"},"uris":["http://www.mendeley.com/documents/?uuid=b60891bb-ec74-4edd-8226-c3083d34fc7c","http://www.mendeley.com/documents/?uuid=90d28afd-364f-4663-820d-c822f45c63a5"]}],"mendeley":{"formattedCitation":"(Auyeung et al., 2008)","plainTextFormattedCitation":"(Auyeung et al., 2008)","previouslyFormattedCitation":"(Auyeung et al., 2008)"},"properties":{"noteIndex":0},"schema":"https://github.com/citation-style-language/schema/raw/master/csl-citation.json"}</w:instrText>
      </w:r>
      <w:r w:rsidRPr="003F3472">
        <w:rPr>
          <w:color w:val="000000" w:themeColor="text1"/>
        </w:rPr>
        <w:fldChar w:fldCharType="separate"/>
      </w:r>
      <w:r w:rsidRPr="00FA49DE">
        <w:rPr>
          <w:noProof/>
          <w:color w:val="000000" w:themeColor="text1"/>
        </w:rPr>
        <w:t>(Auyeung et al., 2008)</w:t>
      </w:r>
      <w:r w:rsidRPr="003F3472">
        <w:rPr>
          <w:color w:val="000000" w:themeColor="text1"/>
        </w:rPr>
        <w:fldChar w:fldCharType="end"/>
      </w:r>
      <w:r w:rsidRPr="003F3472">
        <w:rPr>
          <w:color w:val="000000" w:themeColor="text1"/>
        </w:rPr>
        <w:t>. The AQ is assessed on a scale from 0 to 50, with higher overall scores signifying higher levels of autism traits.</w:t>
      </w:r>
    </w:p>
    <w:p w14:paraId="7B5F0552" w14:textId="77777777" w:rsidR="009F2664" w:rsidRDefault="009F2664" w:rsidP="009F2664">
      <w:pPr>
        <w:spacing w:line="480" w:lineRule="auto"/>
        <w:jc w:val="both"/>
        <w:rPr>
          <w:b/>
          <w:color w:val="000000" w:themeColor="text1"/>
        </w:rPr>
      </w:pPr>
    </w:p>
    <w:p w14:paraId="566377A0" w14:textId="40F1127C" w:rsidR="009F2664" w:rsidRPr="009F2664" w:rsidRDefault="009F2664" w:rsidP="009F2664">
      <w:pPr>
        <w:spacing w:line="480" w:lineRule="auto"/>
        <w:jc w:val="both"/>
        <w:rPr>
          <w:b/>
          <w:color w:val="000000" w:themeColor="text1"/>
        </w:rPr>
      </w:pPr>
      <w:r w:rsidRPr="009F2664">
        <w:rPr>
          <w:b/>
          <w:color w:val="000000" w:themeColor="text1"/>
        </w:rPr>
        <w:t xml:space="preserve">BRIEF-2: </w:t>
      </w:r>
    </w:p>
    <w:p w14:paraId="095CA6F1" w14:textId="77777777" w:rsidR="00DE44C1" w:rsidRDefault="00DE44C1" w:rsidP="00DE44C1">
      <w:pPr>
        <w:spacing w:line="480" w:lineRule="auto"/>
        <w:ind w:firstLine="720"/>
        <w:jc w:val="both"/>
        <w:rPr>
          <w:color w:val="000000" w:themeColor="text1"/>
        </w:rPr>
      </w:pPr>
      <w:r w:rsidRPr="003F3472">
        <w:rPr>
          <w:color w:val="000000" w:themeColor="text1"/>
        </w:rPr>
        <w:t xml:space="preserve">The BRIEF-2 parent-form is used to measure executive function in children aged 5 to 18 years old </w:t>
      </w:r>
      <w:r w:rsidRPr="003F3472">
        <w:rPr>
          <w:color w:val="000000" w:themeColor="text1"/>
        </w:rPr>
        <w:fldChar w:fldCharType="begin" w:fldLock="1"/>
      </w:r>
      <w:r>
        <w:rPr>
          <w:color w:val="000000" w:themeColor="text1"/>
        </w:rPr>
        <w:instrText>ADDIN CSL_CITATION {"citationItems":[{"id":"ITEM-1","itemData":{"DOI":"10.1076/chin.6.3.235.3152","ISBN":"09297049","ISSN":"0929-7049","PMID":"11419452","abstract":"Child neuropsychologists are often asked to determine whether a child experiencing difficulties in the academic setting has a specific learning disability, attentional deficit, memory impairment, or some combination of these problems. There is less recognition by ... ","author":[{"dropping-particle":"","family":"Gioia","given":"Gerard A.","non-dropping-particle":"","parse-names":false,"suffix":""},{"dropping-particle":"","family":"Isquith","given":"Peter K.","non-dropping-particle":"","parse-names":false,"suffix":""},{"dropping-particle":"","family":"Guy","given":"Steven C.","non-dropping-particle":"","parse-names":false,"suffix":""},{"dropping-particle":"","family":"Kenworthy","given":"Lauren","non-dropping-particle":"","parse-names":false,"suffix":""}],"container-title":"Child Neuropsychology (Neuropsychology, Development and Cognition: Section C)","id":"ITEM-1","issue":"3","issued":{"date-parts":[["2000"]]},"page":"235-238","title":"TEST REVIEW Behavior Rating Inventory of Executive Function","type":"article-journal","volume":"6"},"uris":["http://www.mendeley.com/documents/?uuid=959b0bb0-f74f-4745-98e3-27a3e1a25b93","http://www.mendeley.com/documents/?uuid=15ca89fb-d3db-4416-8ff3-23534c664112"]}],"mendeley":{"formattedCitation":"(Gioia et al., 2000)","plainTextFormattedCitation":"(Gioia et al., 2000)","previouslyFormattedCitation":"(Gioia et al., 2000)"},"properties":{"noteIndex":0},"schema":"https://github.com/citation-style-language/schema/raw/master/csl-citation.json"}</w:instrText>
      </w:r>
      <w:r w:rsidRPr="003F3472">
        <w:rPr>
          <w:color w:val="000000" w:themeColor="text1"/>
        </w:rPr>
        <w:fldChar w:fldCharType="separate"/>
      </w:r>
      <w:r w:rsidRPr="00FA49DE">
        <w:rPr>
          <w:noProof/>
          <w:color w:val="000000" w:themeColor="text1"/>
        </w:rPr>
        <w:t>(Gioia et al., 2000)</w:t>
      </w:r>
      <w:r w:rsidRPr="003F3472">
        <w:rPr>
          <w:color w:val="000000" w:themeColor="text1"/>
        </w:rPr>
        <w:fldChar w:fldCharType="end"/>
      </w:r>
      <w:r w:rsidRPr="003F3472">
        <w:rPr>
          <w:color w:val="000000" w:themeColor="text1"/>
        </w:rPr>
        <w:t xml:space="preserve">. Executive function is measured by two main categories: behavior regulation and metacognition.  Behavior Regulation is divided into three subgroups, which include </w:t>
      </w:r>
      <w:proofErr w:type="spellStart"/>
      <w:r w:rsidRPr="003F3472">
        <w:rPr>
          <w:color w:val="000000" w:themeColor="text1"/>
        </w:rPr>
        <w:t>i</w:t>
      </w:r>
      <w:proofErr w:type="spellEnd"/>
      <w:r w:rsidRPr="003F3472">
        <w:rPr>
          <w:color w:val="000000" w:themeColor="text1"/>
        </w:rPr>
        <w:t xml:space="preserve">) Inhibit (the ability to control impulses/behaviors), ii) Shift (the ability to tolerate change or alternate attention), and iii) Emotional Control (the ability to regulate emotional responses).  The Metacognition index is divided into five categories, which include </w:t>
      </w:r>
      <w:proofErr w:type="spellStart"/>
      <w:r w:rsidRPr="003F3472">
        <w:rPr>
          <w:color w:val="000000" w:themeColor="text1"/>
        </w:rPr>
        <w:t>i</w:t>
      </w:r>
      <w:proofErr w:type="spellEnd"/>
      <w:r w:rsidRPr="003F3472">
        <w:rPr>
          <w:color w:val="000000" w:themeColor="text1"/>
        </w:rPr>
        <w:t xml:space="preserve">) Initiate (the ability to start an activity and develop ideas/problem solving strategies related to the activity), ii) Working Memory (the ability to retain information during task completion or when encoding information), iii) Plan/Organize (the ability to set goals, retrieve main points in presentations, develop steps, etc.), iv) Organization of Materials (the ability to create order in </w:t>
      </w:r>
      <w:r w:rsidRPr="003F3472">
        <w:rPr>
          <w:color w:val="000000" w:themeColor="text1"/>
        </w:rPr>
        <w:lastRenderedPageBreak/>
        <w:t xml:space="preserve">one’s workspace, such as their desk or backpack), and v) Monitor (the ability to assess previous work and determine performance level, as well as the ability to reflect on how one’s behavior has affected others) </w:t>
      </w:r>
      <w:r w:rsidRPr="003F3472">
        <w:rPr>
          <w:color w:val="000000" w:themeColor="text1"/>
        </w:rPr>
        <w:fldChar w:fldCharType="begin" w:fldLock="1"/>
      </w:r>
      <w:r>
        <w:rPr>
          <w:color w:val="000000" w:themeColor="text1"/>
        </w:rPr>
        <w:instrText>ADDIN CSL_CITATION {"citationItems":[{"id":"ITEM-1","itemData":{"DOI":"10.1076/chin.6.3.235.3152","ISBN":"09297049","ISSN":"0929-7049","PMID":"11419452","abstract":"Child neuropsychologists are often asked to determine whether a child experiencing difficulties in the academic setting has a specific learning disability, attentional deficit, memory impairment, or some combination of these problems. There is less recognition by ... ","author":[{"dropping-particle":"","family":"Gioia","given":"Gerard A.","non-dropping-particle":"","parse-names":false,"suffix":""},{"dropping-particle":"","family":"Isquith","given":"Peter K.","non-dropping-particle":"","parse-names":false,"suffix":""},{"dropping-particle":"","family":"Guy","given":"Steven C.","non-dropping-particle":"","parse-names":false,"suffix":""},{"dropping-particle":"","family":"Kenworthy","given":"Lauren","non-dropping-particle":"","parse-names":false,"suffix":""}],"container-title":"Child Neuropsychology (Neuropsychology, Development and Cognition: Section C)","id":"ITEM-1","issue":"3","issued":{"date-parts":[["2000"]]},"page":"235-238","title":"TEST REVIEW Behavior Rating Inventory of Executive Function","type":"article-journal","volume":"6"},"uris":["http://www.mendeley.com/documents/?uuid=15ca89fb-d3db-4416-8ff3-23534c664112","http://www.mendeley.com/documents/?uuid=959b0bb0-f74f-4745-98e3-27a3e1a25b93"]}],"mendeley":{"formattedCitation":"(Gioia et al., 2000)","plainTextFormattedCitation":"(Gioia et al., 2000)","previouslyFormattedCitation":"(Gioia et al., 2000)"},"properties":{"noteIndex":0},"schema":"https://github.com/citation-style-language/schema/raw/master/csl-citation.json"}</w:instrText>
      </w:r>
      <w:r w:rsidRPr="003F3472">
        <w:rPr>
          <w:color w:val="000000" w:themeColor="text1"/>
        </w:rPr>
        <w:fldChar w:fldCharType="separate"/>
      </w:r>
      <w:r w:rsidRPr="00FA49DE">
        <w:rPr>
          <w:noProof/>
          <w:color w:val="000000" w:themeColor="text1"/>
        </w:rPr>
        <w:t>(Gioia et al., 2000)</w:t>
      </w:r>
      <w:r w:rsidRPr="003F3472">
        <w:rPr>
          <w:color w:val="000000" w:themeColor="text1"/>
        </w:rPr>
        <w:fldChar w:fldCharType="end"/>
      </w:r>
      <w:r w:rsidRPr="003F3472">
        <w:rPr>
          <w:color w:val="000000" w:themeColor="text1"/>
        </w:rPr>
        <w:t xml:space="preserve">.  Higher scores indicate greater executive function impairments. </w:t>
      </w:r>
    </w:p>
    <w:p w14:paraId="075C18AC" w14:textId="77777777" w:rsidR="009F2664" w:rsidRDefault="009F2664" w:rsidP="009F2664">
      <w:pPr>
        <w:spacing w:line="480" w:lineRule="auto"/>
        <w:jc w:val="both"/>
        <w:rPr>
          <w:color w:val="000000" w:themeColor="text1"/>
        </w:rPr>
      </w:pPr>
    </w:p>
    <w:p w14:paraId="732B37F4" w14:textId="5C0E71B1" w:rsidR="009F2664" w:rsidRPr="009F2664" w:rsidRDefault="009F2664" w:rsidP="009F2664">
      <w:pPr>
        <w:spacing w:line="480" w:lineRule="auto"/>
        <w:jc w:val="both"/>
        <w:rPr>
          <w:b/>
          <w:color w:val="000000" w:themeColor="text1"/>
        </w:rPr>
      </w:pPr>
      <w:r w:rsidRPr="009F2664">
        <w:rPr>
          <w:b/>
          <w:color w:val="000000" w:themeColor="text1"/>
        </w:rPr>
        <w:t xml:space="preserve">BASC-2: </w:t>
      </w:r>
    </w:p>
    <w:p w14:paraId="427D2086" w14:textId="77777777" w:rsidR="00DE44C1" w:rsidRDefault="00DE44C1" w:rsidP="00DE44C1">
      <w:pPr>
        <w:spacing w:line="480" w:lineRule="auto"/>
        <w:ind w:firstLine="720"/>
        <w:jc w:val="both"/>
        <w:rPr>
          <w:color w:val="000000" w:themeColor="text1"/>
        </w:rPr>
      </w:pPr>
      <w:r w:rsidRPr="003F3472">
        <w:rPr>
          <w:color w:val="000000" w:themeColor="text1"/>
        </w:rPr>
        <w:t xml:space="preserve">The BASC-2 parent rating scale yields primary clinical, adaptive, and content scores, which are used to determine composite scores of externalizing problems, internalizing problems, </w:t>
      </w:r>
      <w:proofErr w:type="spellStart"/>
      <w:r w:rsidRPr="003F3472">
        <w:rPr>
          <w:color w:val="000000" w:themeColor="text1"/>
        </w:rPr>
        <w:t>behavioural</w:t>
      </w:r>
      <w:proofErr w:type="spellEnd"/>
      <w:r w:rsidRPr="003F3472">
        <w:rPr>
          <w:color w:val="000000" w:themeColor="text1"/>
        </w:rPr>
        <w:t xml:space="preserve"> symptoms and adaptive skills in children/adolescents aged 2-21 </w:t>
      </w:r>
      <w:r w:rsidRPr="003F3472">
        <w:rPr>
          <w:color w:val="000000" w:themeColor="text1"/>
        </w:rPr>
        <w:fldChar w:fldCharType="begin" w:fldLock="1"/>
      </w:r>
      <w:r>
        <w:rPr>
          <w:color w:val="000000" w:themeColor="text1"/>
        </w:rPr>
        <w:instrText>ADDIN CSL_CITATION {"citationItems":[{"id":"ITEM-1","itemData":{"DOI":"10.1016/0022-4405(95)00003-5","ISBN":"0022-4405","ISSN":"00224405","abstract":"A review of the Behavior Assessment System for Children (BASC), a multimethod, multidimensional objective personality assessment technique for children and adolescents is provided. A description of the test and analysis of its administration, scoring, and psychometric properties are presented. The test's strengths and weaknesses are reviewed. The BASC appears to be a considerable improvement over other objective personality measures used by school psychologists. Training students and clinicians to use the test is readily accomplished, although above-average knowledge of measurement and scaling concepts is required to make appropriate interpretations of the data. Salient features of the test include scale similarity across respondents as well as age levels, and the ability to meet multiple assessment requirements of the Individuals With Disabilities Education Act (IDEA). © 1995.","author":[{"dropping-particle":"","family":"Flanagan","given":"Rosemary","non-dropping-particle":"","parse-names":false,"suffix":""}],"container-title":"Journal of School Psychology","id":"ITEM-1","issue":"2","issued":{"date-parts":[["1995"]]},"page":"177-186","title":"A review of the Behavior Assessment System for Children (BASC): Assessment consistent with the requirements of the Individuals With Disabilities Education Act (IDEA)","type":"article","volume":"33"},"uris":["http://www.mendeley.com/documents/?uuid=f5bc4971-43d5-4acc-a9f9-78eca335a471","http://www.mendeley.com/documents/?uuid=79d48776-97bc-4d6e-bcab-e72c7b2a913a"]}],"mendeley":{"formattedCitation":"(Flanagan, 1995)","plainTextFormattedCitation":"(Flanagan, 1995)","previouslyFormattedCitation":"(Flanagan, 1995)"},"properties":{"noteIndex":0},"schema":"https://github.com/citation-style-language/schema/raw/master/csl-citation.json"}</w:instrText>
      </w:r>
      <w:r w:rsidRPr="003F3472">
        <w:rPr>
          <w:color w:val="000000" w:themeColor="text1"/>
        </w:rPr>
        <w:fldChar w:fldCharType="separate"/>
      </w:r>
      <w:r w:rsidRPr="00FA49DE">
        <w:rPr>
          <w:noProof/>
          <w:color w:val="000000" w:themeColor="text1"/>
        </w:rPr>
        <w:t>(Flanagan, 1995)</w:t>
      </w:r>
      <w:r w:rsidRPr="003F3472">
        <w:rPr>
          <w:color w:val="000000" w:themeColor="text1"/>
        </w:rPr>
        <w:fldChar w:fldCharType="end"/>
      </w:r>
      <w:r w:rsidRPr="003F3472">
        <w:rPr>
          <w:color w:val="000000" w:themeColor="text1"/>
        </w:rPr>
        <w:t xml:space="preserve">.  Primary clinical scales include aggression, anxiety, </w:t>
      </w:r>
      <w:proofErr w:type="gramStart"/>
      <w:r w:rsidRPr="003F3472">
        <w:rPr>
          <w:color w:val="000000" w:themeColor="text1"/>
        </w:rPr>
        <w:t>attention</w:t>
      </w:r>
      <w:proofErr w:type="gramEnd"/>
      <w:r w:rsidRPr="003F3472">
        <w:rPr>
          <w:color w:val="000000" w:themeColor="text1"/>
        </w:rPr>
        <w:t xml:space="preserve"> problems, </w:t>
      </w:r>
      <w:proofErr w:type="spellStart"/>
      <w:r w:rsidRPr="003F3472">
        <w:rPr>
          <w:color w:val="000000" w:themeColor="text1"/>
        </w:rPr>
        <w:t>atypicality</w:t>
      </w:r>
      <w:proofErr w:type="spellEnd"/>
      <w:r w:rsidRPr="003F3472">
        <w:rPr>
          <w:color w:val="000000" w:themeColor="text1"/>
        </w:rPr>
        <w:t xml:space="preserve">, conduct problems, depression, hyperactivity, somatization and withdrawal.  Primary adaptive scales include adaptability, functional communication, leadership and social skills. And finally, content scales include anger control, bullying, developmental social disorders, emotional self-control, executive functioning, negative emotionality, and resiliency. Higher scores indicate greater impairment on every scale other than the adaptive functioning scales.  </w:t>
      </w:r>
    </w:p>
    <w:p w14:paraId="312C7C6D" w14:textId="77777777" w:rsidR="009F2664" w:rsidRDefault="009F2664" w:rsidP="009F2664">
      <w:pPr>
        <w:spacing w:line="480" w:lineRule="auto"/>
        <w:jc w:val="both"/>
        <w:rPr>
          <w:color w:val="000000" w:themeColor="text1"/>
        </w:rPr>
      </w:pPr>
    </w:p>
    <w:p w14:paraId="12AE355F" w14:textId="404233D6" w:rsidR="009F2664" w:rsidRPr="009F2664" w:rsidRDefault="009F2664" w:rsidP="009F2664">
      <w:pPr>
        <w:spacing w:line="480" w:lineRule="auto"/>
        <w:jc w:val="both"/>
        <w:rPr>
          <w:b/>
          <w:bCs/>
          <w:color w:val="000000" w:themeColor="text1"/>
        </w:rPr>
      </w:pPr>
      <w:r w:rsidRPr="009F2664">
        <w:rPr>
          <w:b/>
          <w:color w:val="000000" w:themeColor="text1"/>
        </w:rPr>
        <w:t xml:space="preserve">MSCS: </w:t>
      </w:r>
    </w:p>
    <w:p w14:paraId="55559EA1" w14:textId="77777777" w:rsidR="00DE44C1" w:rsidRPr="003F3472" w:rsidRDefault="00DE44C1" w:rsidP="00DE44C1">
      <w:pPr>
        <w:spacing w:line="480" w:lineRule="auto"/>
        <w:ind w:firstLine="720"/>
        <w:jc w:val="both"/>
        <w:rPr>
          <w:color w:val="000000" w:themeColor="text1"/>
        </w:rPr>
      </w:pPr>
      <w:r w:rsidRPr="003F3472">
        <w:rPr>
          <w:color w:val="000000" w:themeColor="text1"/>
        </w:rPr>
        <w:t xml:space="preserve">Lastly, the MSCS is a scale assessing the social competence of an individual, and is split into seven domains, which include social motivation, social </w:t>
      </w:r>
      <w:proofErr w:type="spellStart"/>
      <w:r w:rsidRPr="003F3472">
        <w:rPr>
          <w:color w:val="000000" w:themeColor="text1"/>
        </w:rPr>
        <w:t>inferencing</w:t>
      </w:r>
      <w:proofErr w:type="spellEnd"/>
      <w:r w:rsidRPr="003F3472">
        <w:rPr>
          <w:color w:val="000000" w:themeColor="text1"/>
        </w:rPr>
        <w:t xml:space="preserve">, demonstrating empathetic concern, social knowledge (understanding relationships and social context), verbal conversation skills, nonverbal sending skills (sending non-verbal communication including eye contact, facial expressions, tone of voice, gestures, etc.) and emotion regulation </w:t>
      </w:r>
      <w:r w:rsidRPr="003F3472">
        <w:rPr>
          <w:color w:val="000000" w:themeColor="text1"/>
        </w:rPr>
        <w:fldChar w:fldCharType="begin" w:fldLock="1"/>
      </w:r>
      <w:r>
        <w:rPr>
          <w:color w:val="000000" w:themeColor="text1"/>
        </w:rPr>
        <w:instrText>ADDIN CSL_CITATION {"citationItems":[{"id":"ITEM-1","itemData":{"DOI":"10.1002/aur.1331","ISBN":"1939-3806(Electronic);1939-3792(Print)","ISSN":"19393792","PMID":"24108618","abstract":"Autism and its related disorders are commonly described as lying along a continuum that ranges in severity and are collectively referred to as autism spectrum disorders (ASDs). Although all individuals with ASD meet the social impairment diagnostic criteria outlined in the DSM-IV-TR, they do not present with the same social difficulties. The variability in the expression and severity of social competence is particularly evident among the group of individuals with \"high-functioning\" ASD who appear to have difficulty applying their average to above average intelligence in a social context. There is a striking paucity of empirical research investigating individual differences in social functioning among individuals with high-functioning ASD. It is possible that more detailed investigations of social competence have been impeded by the lack of standardized measures available to assess the nature and severity of social impairment. The aim of the current study was to develop and evaluate a parent rating scale capable of assessing individual differences in social competence (i.e. strengths and challenges) among adolescents with ASD: the Multidimensional Social Competence Scale (MSCS). Results from confirmatory factor analyses supported the hypothesized multidimensional factor structure of the MSCS. Seven relatively distinct domains of social competence were identified including social motivation, social inferencing, demonstrating empathic concern, social knowledge, verbal conversation skills, nonverbal sending skills, and emotion regulation. Psychometric evidence provided preliminary support for the reliability and validity of the scale. Possible applications of this promising new parent rating scale in both research and clinical settings are discussed.","author":[{"dropping-particle":"","family":"Yager","given":"Jodi","non-dropping-particle":"","parse-names":false,"suffix":""},{"dropping-particle":"","family":"Iarocci","given":"Grace","non-dropping-particle":"","parse-names":false,"suffix":""}],"container-title":"Autism Research","id":"ITEM-1","issue":"6","issued":{"date-parts":[["2013"]]},"page":"631-641","title":"The development of the multidimensional social competence scale: A standardized measure of social competence in autism spectrum disorders","type":"article-journal","volume":"6"},"uris":["http://www.mendeley.com/documents/?uuid=d6391369-7233-41db-8446-322d16ebaa52"]}],"mendeley":{"formattedCitation":"(Yager and Iarocci, 2013)","plainTextFormattedCitation":"(Yager and Iarocci, 2013)","previouslyFormattedCitation":"(Yager and Iarocci, 2013)"},"properties":{"noteIndex":0},"schema":"https://github.com/citation-style-language/schema/raw/master/csl-citation.json"}</w:instrText>
      </w:r>
      <w:r w:rsidRPr="003F3472">
        <w:rPr>
          <w:color w:val="000000" w:themeColor="text1"/>
        </w:rPr>
        <w:fldChar w:fldCharType="separate"/>
      </w:r>
      <w:r w:rsidRPr="00FA49DE">
        <w:rPr>
          <w:noProof/>
          <w:color w:val="000000" w:themeColor="text1"/>
        </w:rPr>
        <w:t>(Yager and Iarocci, 2013)</w:t>
      </w:r>
      <w:r w:rsidRPr="003F3472">
        <w:rPr>
          <w:color w:val="000000" w:themeColor="text1"/>
        </w:rPr>
        <w:fldChar w:fldCharType="end"/>
      </w:r>
      <w:r w:rsidRPr="003F3472">
        <w:rPr>
          <w:color w:val="000000" w:themeColor="text1"/>
        </w:rPr>
        <w:t xml:space="preserve">. The MSCS was designed with the aim of assessing social </w:t>
      </w:r>
      <w:proofErr w:type="spellStart"/>
      <w:r w:rsidRPr="003F3472">
        <w:rPr>
          <w:color w:val="000000" w:themeColor="text1"/>
        </w:rPr>
        <w:t>behaviours</w:t>
      </w:r>
      <w:proofErr w:type="spellEnd"/>
      <w:r w:rsidRPr="003F3472">
        <w:rPr>
          <w:color w:val="000000" w:themeColor="text1"/>
        </w:rPr>
        <w:t xml:space="preserve"> commonly identified among the high functioning ASD population, and sometimes identified in TD individuals presenting milder levels of social impairment </w:t>
      </w:r>
      <w:r w:rsidRPr="003F3472">
        <w:rPr>
          <w:color w:val="000000" w:themeColor="text1"/>
        </w:rPr>
        <w:fldChar w:fldCharType="begin" w:fldLock="1"/>
      </w:r>
      <w:r>
        <w:rPr>
          <w:color w:val="000000" w:themeColor="text1"/>
        </w:rPr>
        <w:instrText>ADDIN CSL_CITATION {"citationItems":[{"id":"ITEM-1","itemData":{"DOI":"10.1002/aur.1331","ISBN":"1939-3806(Electronic);1939-3792(Print)","ISSN":"19393792","PMID":"24108618","abstract":"Autism and its related disorders are commonly described as lying along a continuum that ranges in severity and are collectively referred to as autism spectrum disorders (ASDs). Although all individuals with ASD meet the social impairment diagnostic criteria outlined in the DSM-IV-TR, they do not present with the same social difficulties. The variability in the expression and severity of social competence is particularly evident among the group of individuals with \"high-functioning\" ASD who appear to have difficulty applying their average to above average intelligence in a social context. There is a striking paucity of empirical research investigating individual differences in social functioning among individuals with high-functioning ASD. It is possible that more detailed investigations of social competence have been impeded by the lack of standardized measures available to assess the nature and severity of social impairment. The aim of the current study was to develop and evaluate a parent rating scale capable of assessing individual differences in social competence (i.e. strengths and challenges) among adolescents with ASD: the Multidimensional Social Competence Scale (MSCS). Results from confirmatory factor analyses supported the hypothesized multidimensional factor structure of the MSCS. Seven relatively distinct domains of social competence were identified including social motivation, social inferencing, demonstrating empathic concern, social knowledge, verbal conversation skills, nonverbal sending skills, and emotion regulation. Psychometric evidence provided preliminary support for the reliability and validity of the scale. Possible applications of this promising new parent rating scale in both research and clinical settings are discussed.","author":[{"dropping-particle":"","family":"Yager","given":"Jodi","non-dropping-particle":"","parse-names":false,"suffix":""},{"dropping-particle":"","family":"Iarocci","given":"Grace","non-dropping-particle":"","parse-names":false,"suffix":""}],"container-title":"Autism Research","id":"ITEM-1","issue":"6","issued":{"date-parts":[["2013"]]},"page":"631-641","title":"The development of the multidimensional social competence scale: A standardized measure of social competence in autism spectrum disorders","type":"article-journal","volume":"6"},"uris":["http://www.mendeley.com/documents/?uuid=d6391369-7233-41db-8446-322d16ebaa52"]}],"mendeley":{"formattedCitation":"(Yager and Iarocci, 2013)","plainTextFormattedCitation":"(Yager and Iarocci, 2013)","previouslyFormattedCitation":"(Yager and Iarocci, 2013)"},"properties":{"noteIndex":0},"schema":"https://github.com/citation-style-language/schema/raw/master/csl-citation.json"}</w:instrText>
      </w:r>
      <w:r w:rsidRPr="003F3472">
        <w:rPr>
          <w:color w:val="000000" w:themeColor="text1"/>
        </w:rPr>
        <w:fldChar w:fldCharType="separate"/>
      </w:r>
      <w:r w:rsidRPr="00FA49DE">
        <w:rPr>
          <w:noProof/>
          <w:color w:val="000000" w:themeColor="text1"/>
        </w:rPr>
        <w:t>(Yager and Iarocci, 2013)</w:t>
      </w:r>
      <w:r w:rsidRPr="003F3472">
        <w:rPr>
          <w:color w:val="000000" w:themeColor="text1"/>
        </w:rPr>
        <w:fldChar w:fldCharType="end"/>
      </w:r>
      <w:r w:rsidRPr="003F3472">
        <w:rPr>
          <w:color w:val="000000" w:themeColor="text1"/>
        </w:rPr>
        <w:t xml:space="preserve">.  Higher scores on the MSCS reflect higher levels of social competence </w:t>
      </w:r>
      <w:r w:rsidRPr="003F3472">
        <w:rPr>
          <w:color w:val="000000" w:themeColor="text1"/>
        </w:rPr>
        <w:fldChar w:fldCharType="begin" w:fldLock="1"/>
      </w:r>
      <w:r>
        <w:rPr>
          <w:color w:val="000000" w:themeColor="text1"/>
        </w:rPr>
        <w:instrText>ADDIN CSL_CITATION {"citationItems":[{"id":"ITEM-1","itemData":{"DOI":"10.1002/aur.1331","ISBN":"1939-3806(Electronic);1939-3792(Print)","ISSN":"19393792","PMID":"24108618","abstract":"Autism and its related disorders are commonly described as lying along a continuum that ranges in severity and are collectively referred to as autism spectrum disorders (ASDs). Although all individuals with ASD meet the social impairment diagnostic criteria outlined in the DSM-IV-TR, they do not present with the same social difficulties. The variability in the expression and severity of social competence is particularly evident among the group of individuals with \"high-functioning\" ASD who appear to have difficulty applying their average to above average intelligence in a social context. There is a striking paucity of empirical research investigating individual differences in social functioning among individuals with high-functioning ASD. It is possible that more detailed investigations of social competence have been impeded by the lack of standardized measures available to assess the nature and severity of social impairment. The aim of the current study was to develop and evaluate a parent rating scale capable of assessing individual differences in social competence (i.e. strengths and challenges) among adolescents with ASD: the Multidimensional Social Competence Scale (MSCS). Results from confirmatory factor analyses supported the hypothesized multidimensional factor structure of the MSCS. Seven relatively distinct domains of social competence were identified including social motivation, social inferencing, demonstrating empathic concern, social knowledge, verbal conversation skills, nonverbal sending skills, and emotion regulation. Psychometric evidence provided preliminary support for the reliability and validity of the scale. Possible applications of this promising new parent rating scale in both research and clinical settings are discussed.","author":[{"dropping-particle":"","family":"Yager","given":"Jodi","non-dropping-particle":"","parse-names":false,"suffix":""},{"dropping-particle":"","family":"Iarocci","given":"Grace","non-dropping-particle":"","parse-names":false,"suffix":""}],"container-title":"Autism Research","id":"ITEM-1","issue":"6","issued":{"date-parts":[["2013"]]},"page":"631-641","title":"The development of the multidimensional social competence scale: A standardized measure of social competence in autism spectrum disorders","type":"article-journal","volume":"6"},"uris":["http://www.mendeley.com/documents/?uuid=d6391369-7233-41db-8446-322d16ebaa52"]}],"mendeley":{"formattedCitation":"(Yager and Iarocci, 2013)","plainTextFormattedCitation":"(Yager and Iarocci, 2013)","previouslyFormattedCitation":"(Yager and Iarocci, 2013)"},"properties":{"noteIndex":0},"schema":"https://github.com/citation-style-language/schema/raw/master/csl-citation.json"}</w:instrText>
      </w:r>
      <w:r w:rsidRPr="003F3472">
        <w:rPr>
          <w:color w:val="000000" w:themeColor="text1"/>
        </w:rPr>
        <w:fldChar w:fldCharType="separate"/>
      </w:r>
      <w:r w:rsidRPr="00FA49DE">
        <w:rPr>
          <w:noProof/>
          <w:color w:val="000000" w:themeColor="text1"/>
        </w:rPr>
        <w:t>(Yager and Iarocci, 2013)</w:t>
      </w:r>
      <w:r w:rsidRPr="003F3472">
        <w:rPr>
          <w:color w:val="000000" w:themeColor="text1"/>
        </w:rPr>
        <w:fldChar w:fldCharType="end"/>
      </w:r>
      <w:r w:rsidRPr="003F3472">
        <w:rPr>
          <w:color w:val="000000" w:themeColor="text1"/>
        </w:rPr>
        <w:t>.</w:t>
      </w:r>
    </w:p>
    <w:p w14:paraId="50B35A2F" w14:textId="77777777" w:rsidR="006E0885" w:rsidRDefault="006E0885"/>
    <w:sectPr w:rsidR="006E0885" w:rsidSect="00D46BBD">
      <w:pgSz w:w="12240" w:h="15840"/>
      <w:pgMar w:top="1247" w:right="1531" w:bottom="1247" w:left="1531" w:header="0" w:footer="709" w:gutter="0"/>
      <w:cols w:space="720"/>
      <w:formProt w:val="0"/>
      <w:titlePg/>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BD"/>
    <w:rsid w:val="00046262"/>
    <w:rsid w:val="000A4CD1"/>
    <w:rsid w:val="006E0885"/>
    <w:rsid w:val="009F2664"/>
    <w:rsid w:val="00BA2B0D"/>
    <w:rsid w:val="00D46BBD"/>
    <w:rsid w:val="00DE44C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E747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BBD"/>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D46BBD"/>
  </w:style>
  <w:style w:type="paragraph" w:styleId="Footer">
    <w:name w:val="footer"/>
    <w:basedOn w:val="Normal"/>
    <w:link w:val="FooterChar"/>
    <w:uiPriority w:val="99"/>
    <w:unhideWhenUsed/>
    <w:rsid w:val="00D46BBD"/>
    <w:pPr>
      <w:tabs>
        <w:tab w:val="center" w:pos="4320"/>
        <w:tab w:val="right" w:pos="8640"/>
      </w:tabs>
    </w:pPr>
    <w:rPr>
      <w:rFonts w:asciiTheme="minorHAnsi" w:eastAsiaTheme="minorEastAsia" w:hAnsiTheme="minorHAnsi" w:cstheme="minorBidi"/>
      <w:lang w:val="en-CA"/>
    </w:rPr>
  </w:style>
  <w:style w:type="character" w:customStyle="1" w:styleId="FooterChar1">
    <w:name w:val="Footer Char1"/>
    <w:basedOn w:val="DefaultParagraphFont"/>
    <w:uiPriority w:val="99"/>
    <w:semiHidden/>
    <w:rsid w:val="00D46BBD"/>
    <w:rPr>
      <w:rFonts w:ascii="Times New Roman" w:eastAsia="Times New Roman" w:hAnsi="Times New Roman" w:cs="Times New Roman"/>
      <w:lang w:val="en-US"/>
    </w:rPr>
  </w:style>
  <w:style w:type="paragraph" w:customStyle="1" w:styleId="TableContents">
    <w:name w:val="Table Contents"/>
    <w:basedOn w:val="Normal"/>
    <w:rsid w:val="00D46BBD"/>
  </w:style>
  <w:style w:type="table" w:customStyle="1" w:styleId="PlainTable51">
    <w:name w:val="Plain Table 51"/>
    <w:basedOn w:val="TableNormal"/>
    <w:uiPriority w:val="99"/>
    <w:rsid w:val="00D46BBD"/>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59"/>
    <w:rsid w:val="00D46B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BBD"/>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D46BBD"/>
  </w:style>
  <w:style w:type="paragraph" w:styleId="Footer">
    <w:name w:val="footer"/>
    <w:basedOn w:val="Normal"/>
    <w:link w:val="FooterChar"/>
    <w:uiPriority w:val="99"/>
    <w:unhideWhenUsed/>
    <w:rsid w:val="00D46BBD"/>
    <w:pPr>
      <w:tabs>
        <w:tab w:val="center" w:pos="4320"/>
        <w:tab w:val="right" w:pos="8640"/>
      </w:tabs>
    </w:pPr>
    <w:rPr>
      <w:rFonts w:asciiTheme="minorHAnsi" w:eastAsiaTheme="minorEastAsia" w:hAnsiTheme="minorHAnsi" w:cstheme="minorBidi"/>
      <w:lang w:val="en-CA"/>
    </w:rPr>
  </w:style>
  <w:style w:type="character" w:customStyle="1" w:styleId="FooterChar1">
    <w:name w:val="Footer Char1"/>
    <w:basedOn w:val="DefaultParagraphFont"/>
    <w:uiPriority w:val="99"/>
    <w:semiHidden/>
    <w:rsid w:val="00D46BBD"/>
    <w:rPr>
      <w:rFonts w:ascii="Times New Roman" w:eastAsia="Times New Roman" w:hAnsi="Times New Roman" w:cs="Times New Roman"/>
      <w:lang w:val="en-US"/>
    </w:rPr>
  </w:style>
  <w:style w:type="paragraph" w:customStyle="1" w:styleId="TableContents">
    <w:name w:val="Table Contents"/>
    <w:basedOn w:val="Normal"/>
    <w:rsid w:val="00D46BBD"/>
  </w:style>
  <w:style w:type="table" w:customStyle="1" w:styleId="PlainTable51">
    <w:name w:val="Plain Table 51"/>
    <w:basedOn w:val="TableNormal"/>
    <w:uiPriority w:val="99"/>
    <w:rsid w:val="00D46BBD"/>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59"/>
    <w:rsid w:val="00D46B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2964</Words>
  <Characters>16899</Characters>
  <Application>Microsoft Macintosh Word</Application>
  <DocSecurity>0</DocSecurity>
  <Lines>140</Lines>
  <Paragraphs>39</Paragraphs>
  <ScaleCrop>false</ScaleCrop>
  <Company/>
  <LinksUpToDate>false</LinksUpToDate>
  <CharactersWithSpaces>19824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Horne</dc:creator>
  <cp:keywords/>
  <dc:description/>
  <cp:lastModifiedBy>Justine Horne</cp:lastModifiedBy>
  <cp:revision>2</cp:revision>
  <dcterms:created xsi:type="dcterms:W3CDTF">2019-02-19T17:30:00Z</dcterms:created>
  <dcterms:modified xsi:type="dcterms:W3CDTF">2019-02-19T17:30:00Z</dcterms:modified>
</cp:coreProperties>
</file>