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E8F" w:rsidRPr="001549D3" w:rsidRDefault="00654E8F" w:rsidP="0001436A">
      <w:pPr>
        <w:pStyle w:val="SupplementaryMaterial"/>
        <w:rPr>
          <w:b w:val="0"/>
        </w:rPr>
      </w:pPr>
      <w:r w:rsidRPr="001549D3">
        <w:t>Supplementary Material</w:t>
      </w:r>
    </w:p>
    <w:p w:rsidR="00767695" w:rsidRPr="00A84F42" w:rsidRDefault="00767695" w:rsidP="00767695">
      <w:pPr>
        <w:pStyle w:val="Titel"/>
      </w:pPr>
      <w:r>
        <w:t>Cell-Free expression and Photo-Crosslinking of the Human Neuropeptide Y</w:t>
      </w:r>
      <w:r>
        <w:rPr>
          <w:vertAlign w:val="subscript"/>
        </w:rPr>
        <w:t>2</w:t>
      </w:r>
      <w:r>
        <w:t xml:space="preserve"> Receptor</w:t>
      </w:r>
    </w:p>
    <w:p w:rsidR="00767695" w:rsidRPr="00A84F42" w:rsidRDefault="00767695" w:rsidP="00767695">
      <w:pPr>
        <w:pStyle w:val="AuthorList"/>
        <w:jc w:val="center"/>
        <w:rPr>
          <w:lang w:val="de-DE"/>
        </w:rPr>
      </w:pPr>
      <w:r w:rsidRPr="00A84F42">
        <w:rPr>
          <w:lang w:val="de-DE"/>
        </w:rPr>
        <w:t>Lisa Maria Kögler</w:t>
      </w:r>
      <w:r w:rsidRPr="00A84F42">
        <w:rPr>
          <w:vertAlign w:val="superscript"/>
          <w:lang w:val="de-DE"/>
        </w:rPr>
        <w:t>1</w:t>
      </w:r>
      <w:r w:rsidRPr="00A84F42">
        <w:rPr>
          <w:lang w:val="de-DE"/>
        </w:rPr>
        <w:t>, Jan Stichel</w:t>
      </w:r>
      <w:r w:rsidRPr="00A84F42">
        <w:rPr>
          <w:vertAlign w:val="superscript"/>
          <w:lang w:val="de-DE"/>
        </w:rPr>
        <w:t>1</w:t>
      </w:r>
      <w:r w:rsidRPr="00A84F42">
        <w:rPr>
          <w:lang w:val="de-DE"/>
        </w:rPr>
        <w:t>, Anette Kaiser</w:t>
      </w:r>
      <w:r>
        <w:rPr>
          <w:vertAlign w:val="superscript"/>
          <w:lang w:val="de-DE"/>
        </w:rPr>
        <w:t>1</w:t>
      </w:r>
      <w:r>
        <w:rPr>
          <w:lang w:val="de-DE"/>
        </w:rPr>
        <w:t>, Annette G. Beck-Sickinger</w:t>
      </w:r>
      <w:r>
        <w:rPr>
          <w:vertAlign w:val="superscript"/>
          <w:lang w:val="de-DE"/>
        </w:rPr>
        <w:t>1</w:t>
      </w:r>
    </w:p>
    <w:p w:rsidR="00767695" w:rsidRDefault="00767695" w:rsidP="00767695">
      <w:pPr>
        <w:jc w:val="center"/>
        <w:rPr>
          <w:rFonts w:cs="Times New Roman"/>
          <w:lang w:val="en-GB"/>
        </w:rPr>
      </w:pPr>
      <w:r w:rsidRPr="00AB0E95">
        <w:rPr>
          <w:rFonts w:cs="Times New Roman"/>
          <w:szCs w:val="24"/>
          <w:vertAlign w:val="superscript"/>
        </w:rPr>
        <w:t>1</w:t>
      </w:r>
      <w:r w:rsidRPr="00A44842">
        <w:rPr>
          <w:rFonts w:cs="Times New Roman"/>
          <w:lang w:val="en-GB"/>
        </w:rPr>
        <w:t>Institute of Biochemistry</w:t>
      </w:r>
      <w:r w:rsidRPr="00D768CB">
        <w:rPr>
          <w:rFonts w:cs="Times New Roman"/>
          <w:lang w:val="en-GB"/>
        </w:rPr>
        <w:t xml:space="preserve">, Faculty of </w:t>
      </w:r>
      <w:r w:rsidR="00641777">
        <w:rPr>
          <w:rFonts w:cs="Times New Roman"/>
          <w:lang w:val="en-GB"/>
        </w:rPr>
        <w:t>Life Sciences</w:t>
      </w:r>
      <w:r w:rsidRPr="00D768CB">
        <w:rPr>
          <w:rFonts w:cs="Times New Roman"/>
          <w:lang w:val="en-GB"/>
        </w:rPr>
        <w:t>, L</w:t>
      </w:r>
      <w:r w:rsidRPr="00A44842">
        <w:rPr>
          <w:rFonts w:cs="Times New Roman"/>
          <w:lang w:val="en-GB"/>
        </w:rPr>
        <w:t xml:space="preserve">eipzig University, Brüderstr. 34, </w:t>
      </w:r>
      <w:r>
        <w:rPr>
          <w:rFonts w:cs="Times New Roman" w:hint="eastAsia"/>
          <w:lang w:val="en-GB"/>
        </w:rPr>
        <w:t xml:space="preserve">D </w:t>
      </w:r>
      <w:r w:rsidRPr="00A44842">
        <w:rPr>
          <w:rFonts w:cs="Times New Roman"/>
          <w:lang w:val="en-GB"/>
        </w:rPr>
        <w:t>04103 Leipzig, Germany</w:t>
      </w:r>
    </w:p>
    <w:p w:rsidR="00767695" w:rsidRDefault="00767695" w:rsidP="00767695">
      <w:pPr>
        <w:spacing w:before="240" w:after="0"/>
        <w:rPr>
          <w:rFonts w:cs="Times New Roman"/>
          <w:szCs w:val="24"/>
        </w:rPr>
      </w:pPr>
      <w:r w:rsidRPr="00376CC5">
        <w:rPr>
          <w:rFonts w:cs="Times New Roman"/>
          <w:b/>
          <w:szCs w:val="24"/>
        </w:rPr>
        <w:t xml:space="preserve">* Correspondence: </w:t>
      </w:r>
      <w:r w:rsidRPr="00376CC5">
        <w:rPr>
          <w:rFonts w:cs="Times New Roman"/>
          <w:b/>
          <w:szCs w:val="24"/>
        </w:rPr>
        <w:br/>
      </w:r>
      <w:r>
        <w:rPr>
          <w:rFonts w:cs="Times New Roman"/>
          <w:szCs w:val="24"/>
        </w:rPr>
        <w:t>Annette G. Beck-Sickinger</w:t>
      </w:r>
      <w:r w:rsidRPr="00376CC5">
        <w:rPr>
          <w:rFonts w:cs="Times New Roman"/>
          <w:szCs w:val="24"/>
        </w:rPr>
        <w:br/>
      </w:r>
      <w:r w:rsidR="00781AA2" w:rsidRPr="00781AA2">
        <w:rPr>
          <w:rFonts w:cs="Times New Roman"/>
          <w:szCs w:val="24"/>
        </w:rPr>
        <w:t>abeck-sickinger@uni-leipzig.de</w:t>
      </w:r>
    </w:p>
    <w:p w:rsidR="00BD0275" w:rsidRDefault="00BD0275" w:rsidP="001A4845"/>
    <w:p w:rsidR="00A429A7" w:rsidRPr="00BD0275" w:rsidRDefault="00A429A7" w:rsidP="001A4845"/>
    <w:p w:rsidR="00BD0275" w:rsidRDefault="00BD0275" w:rsidP="00BD0275">
      <w:pPr>
        <w:spacing w:line="480" w:lineRule="auto"/>
        <w:jc w:val="both"/>
        <w:rPr>
          <w:rFonts w:cs="Times New Roman"/>
          <w:b/>
          <w:szCs w:val="24"/>
        </w:rPr>
      </w:pPr>
      <w:r w:rsidRPr="0014195D">
        <w:rPr>
          <w:noProof/>
          <w:lang w:val="de-DE" w:eastAsia="de-DE"/>
        </w:rPr>
        <w:drawing>
          <wp:inline distT="0" distB="0" distL="0" distR="0" wp14:anchorId="3F250009" wp14:editId="097F2F11">
            <wp:extent cx="2333625" cy="2124075"/>
            <wp:effectExtent l="0" t="0" r="9525" b="9525"/>
            <wp:docPr id="4" name="Grafik 4" descr="U:\Publications\Front_Pharmacol Cell-Free Y2 Expression\Figures_Publication_3\LisaKoegler_SI_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ublications\Front_Pharmacol Cell-Free Y2 Expression\Figures_Publication_3\LisaKoegler_SI_Figure_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124075"/>
                    </a:xfrm>
                    <a:prstGeom prst="rect">
                      <a:avLst/>
                    </a:prstGeom>
                    <a:noFill/>
                    <a:ln>
                      <a:noFill/>
                    </a:ln>
                  </pic:spPr>
                </pic:pic>
              </a:graphicData>
            </a:graphic>
          </wp:inline>
        </w:drawing>
      </w:r>
    </w:p>
    <w:p w:rsidR="00BD0275" w:rsidRDefault="00BD0275" w:rsidP="00775E9C">
      <w:pPr>
        <w:spacing w:line="360" w:lineRule="auto"/>
        <w:jc w:val="both"/>
        <w:rPr>
          <w:rFonts w:cs="Times New Roman"/>
          <w:b/>
          <w:szCs w:val="24"/>
        </w:rPr>
      </w:pPr>
      <w:r w:rsidRPr="0001436A">
        <w:rPr>
          <w:rFonts w:cs="Times New Roman"/>
          <w:b/>
          <w:szCs w:val="24"/>
        </w:rPr>
        <w:t xml:space="preserve">Supplementary Figure </w:t>
      </w:r>
      <w:r w:rsidR="00775E9C">
        <w:rPr>
          <w:rFonts w:cs="Times New Roman"/>
          <w:b/>
          <w:szCs w:val="24"/>
        </w:rPr>
        <w:t>S</w:t>
      </w:r>
      <w:r>
        <w:rPr>
          <w:rFonts w:cs="Times New Roman"/>
          <w:b/>
          <w:szCs w:val="24"/>
        </w:rPr>
        <w:t>1</w:t>
      </w:r>
      <w:r w:rsidRPr="00007EA0">
        <w:rPr>
          <w:b/>
          <w:bCs/>
          <w:szCs w:val="24"/>
        </w:rPr>
        <w:t xml:space="preserve">. </w:t>
      </w:r>
      <w:r>
        <w:rPr>
          <w:szCs w:val="24"/>
        </w:rPr>
        <w:t>Summary of IP accumulation</w:t>
      </w:r>
      <w:r w:rsidRPr="00007EA0">
        <w:rPr>
          <w:szCs w:val="24"/>
        </w:rPr>
        <w:t xml:space="preserve"> assays with </w:t>
      </w:r>
      <w:r>
        <w:rPr>
          <w:szCs w:val="24"/>
        </w:rPr>
        <w:t>increasing concentrations of NPY, 5(6)</w:t>
      </w:r>
      <w:r w:rsidR="00641777">
        <w:rPr>
          <w:szCs w:val="24"/>
        </w:rPr>
        <w:t>-</w:t>
      </w:r>
      <w:bookmarkStart w:id="0" w:name="_GoBack"/>
      <w:bookmarkEnd w:id="0"/>
      <w:r>
        <w:rPr>
          <w:szCs w:val="24"/>
        </w:rPr>
        <w:t>TAMRA</w:t>
      </w:r>
      <w:r w:rsidR="00775E9C">
        <w:rPr>
          <w:szCs w:val="24"/>
        </w:rPr>
        <w:t>-</w:t>
      </w:r>
      <w:r>
        <w:rPr>
          <w:szCs w:val="24"/>
        </w:rPr>
        <w:t>Ahx(5-24)NPY, biotin-(Ahx)</w:t>
      </w:r>
      <w:r>
        <w:rPr>
          <w:szCs w:val="24"/>
          <w:vertAlign w:val="subscript"/>
        </w:rPr>
        <w:t>2</w:t>
      </w:r>
      <w:r>
        <w:rPr>
          <w:szCs w:val="24"/>
        </w:rPr>
        <w:t>-NPY or [K</w:t>
      </w:r>
      <w:r>
        <w:rPr>
          <w:szCs w:val="24"/>
          <w:vertAlign w:val="superscript"/>
        </w:rPr>
        <w:t>22</w:t>
      </w:r>
      <w:r>
        <w:rPr>
          <w:szCs w:val="24"/>
        </w:rPr>
        <w:t>[(Ahx)</w:t>
      </w:r>
      <w:r>
        <w:rPr>
          <w:szCs w:val="24"/>
          <w:vertAlign w:val="subscript"/>
        </w:rPr>
        <w:t>2</w:t>
      </w:r>
      <w:r>
        <w:rPr>
          <w:szCs w:val="24"/>
        </w:rPr>
        <w:t>-biotin]Bpa</w:t>
      </w:r>
      <w:r>
        <w:rPr>
          <w:szCs w:val="24"/>
          <w:vertAlign w:val="superscript"/>
        </w:rPr>
        <w:t>27</w:t>
      </w:r>
      <w:r>
        <w:rPr>
          <w:szCs w:val="24"/>
        </w:rPr>
        <w:t>]NPY at Y</w:t>
      </w:r>
      <w:r>
        <w:rPr>
          <w:szCs w:val="24"/>
          <w:vertAlign w:val="subscript"/>
        </w:rPr>
        <w:t>2</w:t>
      </w:r>
      <w:r>
        <w:rPr>
          <w:szCs w:val="24"/>
        </w:rPr>
        <w:t>R_cysteine_deficient</w:t>
      </w:r>
      <w:r w:rsidRPr="00007EA0">
        <w:rPr>
          <w:szCs w:val="24"/>
        </w:rPr>
        <w:t xml:space="preserve">. </w:t>
      </w:r>
      <w:r>
        <w:rPr>
          <w:szCs w:val="24"/>
        </w:rPr>
        <w:t>E</w:t>
      </w:r>
      <w:r w:rsidRPr="00007EA0">
        <w:rPr>
          <w:szCs w:val="24"/>
        </w:rPr>
        <w:t>C</w:t>
      </w:r>
      <w:r w:rsidRPr="00007EA0">
        <w:rPr>
          <w:szCs w:val="24"/>
          <w:vertAlign w:val="subscript"/>
        </w:rPr>
        <w:t>50</w:t>
      </w:r>
      <w:r>
        <w:rPr>
          <w:szCs w:val="24"/>
        </w:rPr>
        <w:t xml:space="preserve"> values were determined using GraphPad Prism 5.0 </w:t>
      </w:r>
      <w:r w:rsidRPr="00007EA0">
        <w:rPr>
          <w:szCs w:val="24"/>
        </w:rPr>
        <w:t>nonlinear regression (curve fit)</w:t>
      </w:r>
      <w:r>
        <w:rPr>
          <w:szCs w:val="24"/>
        </w:rPr>
        <w:t xml:space="preserve">, </w:t>
      </w:r>
      <w:r w:rsidRPr="00007EA0">
        <w:rPr>
          <w:szCs w:val="24"/>
        </w:rPr>
        <w:t>normalized to the associate</w:t>
      </w:r>
      <w:r>
        <w:rPr>
          <w:szCs w:val="24"/>
        </w:rPr>
        <w:t>d NPY curves</w:t>
      </w:r>
      <w:r w:rsidRPr="00007EA0">
        <w:rPr>
          <w:szCs w:val="24"/>
        </w:rPr>
        <w:t>. n ≥ 2.</w:t>
      </w:r>
    </w:p>
    <w:p w:rsidR="0014195D" w:rsidRDefault="0014195D" w:rsidP="00DF6DA8">
      <w:pPr>
        <w:spacing w:line="480" w:lineRule="auto"/>
        <w:jc w:val="both"/>
        <w:rPr>
          <w:rFonts w:cs="Times New Roman"/>
          <w:b/>
          <w:szCs w:val="24"/>
        </w:rPr>
      </w:pPr>
    </w:p>
    <w:p w:rsidR="0014195D" w:rsidRDefault="0014195D" w:rsidP="00DF6DA8">
      <w:pPr>
        <w:spacing w:line="480" w:lineRule="auto"/>
        <w:jc w:val="both"/>
        <w:rPr>
          <w:rFonts w:cs="Times New Roman"/>
          <w:b/>
          <w:szCs w:val="24"/>
        </w:rPr>
      </w:pPr>
    </w:p>
    <w:p w:rsidR="00F04B5D" w:rsidRDefault="00F04B5D" w:rsidP="00DF6DA8">
      <w:pPr>
        <w:spacing w:line="480" w:lineRule="auto"/>
        <w:jc w:val="both"/>
        <w:rPr>
          <w:rFonts w:cs="Times New Roman"/>
          <w:b/>
          <w:szCs w:val="24"/>
        </w:rPr>
      </w:pPr>
      <w:r>
        <w:rPr>
          <w:rFonts w:cs="Times New Roman"/>
          <w:b/>
          <w:noProof/>
          <w:szCs w:val="24"/>
          <w:lang w:val="de-DE" w:eastAsia="de-DE"/>
        </w:rPr>
        <w:lastRenderedPageBreak/>
        <w:drawing>
          <wp:anchor distT="0" distB="0" distL="114300" distR="114300" simplePos="0" relativeHeight="251658240" behindDoc="0" locked="0" layoutInCell="1" allowOverlap="1">
            <wp:simplePos x="0" y="0"/>
            <wp:positionH relativeFrom="column">
              <wp:posOffset>18415</wp:posOffset>
            </wp:positionH>
            <wp:positionV relativeFrom="paragraph">
              <wp:posOffset>4445</wp:posOffset>
            </wp:positionV>
            <wp:extent cx="2632710" cy="1800860"/>
            <wp:effectExtent l="19050" t="0" r="0" b="0"/>
            <wp:wrapSquare wrapText="bothSides"/>
            <wp:docPr id="3" name="Picture 3" descr="U:\Publications\Front_Pharmacol Cell-Free Y2 Expression\Figures Publication 2\LisaKoegler_SI_Figure_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ublications\Front_Pharmacol Cell-Free Y2 Expression\Figures Publication 2\LisaKoegler_SI_Figure_1A.tif"/>
                    <pic:cNvPicPr>
                      <a:picLocks noChangeAspect="1" noChangeArrowheads="1"/>
                    </pic:cNvPicPr>
                  </pic:nvPicPr>
                  <pic:blipFill>
                    <a:blip r:embed="rId9" cstate="print"/>
                    <a:srcRect/>
                    <a:stretch>
                      <a:fillRect/>
                    </a:stretch>
                  </pic:blipFill>
                  <pic:spPr bwMode="auto">
                    <a:xfrm>
                      <a:off x="0" y="0"/>
                      <a:ext cx="2632710" cy="1800860"/>
                    </a:xfrm>
                    <a:prstGeom prst="rect">
                      <a:avLst/>
                    </a:prstGeom>
                    <a:noFill/>
                    <a:ln w="9525">
                      <a:noFill/>
                      <a:miter lim="800000"/>
                      <a:headEnd/>
                      <a:tailEnd/>
                    </a:ln>
                  </pic:spPr>
                </pic:pic>
              </a:graphicData>
            </a:graphic>
          </wp:anchor>
        </w:drawing>
      </w:r>
      <w:r>
        <w:rPr>
          <w:rFonts w:cs="Times New Roman"/>
          <w:b/>
          <w:noProof/>
          <w:szCs w:val="24"/>
          <w:lang w:val="de-DE" w:eastAsia="de-DE"/>
        </w:rPr>
        <w:drawing>
          <wp:inline distT="0" distB="0" distL="0" distR="0">
            <wp:extent cx="3437890" cy="2962910"/>
            <wp:effectExtent l="19050" t="0" r="0" b="0"/>
            <wp:docPr id="2" name="Picture 2" descr="U:\Publications\Front_Pharmacol Cell-Free Y2 Expression\Figures Publication 2\LisaKoegler_SI_Figure_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ublications\Front_Pharmacol Cell-Free Y2 Expression\Figures Publication 2\LisaKoegler_SI_Figure_1B.tif"/>
                    <pic:cNvPicPr>
                      <a:picLocks noChangeAspect="1" noChangeArrowheads="1"/>
                    </pic:cNvPicPr>
                  </pic:nvPicPr>
                  <pic:blipFill>
                    <a:blip r:embed="rId10" cstate="print"/>
                    <a:srcRect/>
                    <a:stretch>
                      <a:fillRect/>
                    </a:stretch>
                  </pic:blipFill>
                  <pic:spPr bwMode="auto">
                    <a:xfrm>
                      <a:off x="0" y="0"/>
                      <a:ext cx="3437890" cy="2962910"/>
                    </a:xfrm>
                    <a:prstGeom prst="rect">
                      <a:avLst/>
                    </a:prstGeom>
                    <a:noFill/>
                    <a:ln w="9525">
                      <a:noFill/>
                      <a:miter lim="800000"/>
                      <a:headEnd/>
                      <a:tailEnd/>
                    </a:ln>
                  </pic:spPr>
                </pic:pic>
              </a:graphicData>
            </a:graphic>
          </wp:inline>
        </w:drawing>
      </w:r>
    </w:p>
    <w:p w:rsidR="0018476A" w:rsidRPr="00194C5A" w:rsidRDefault="00994A3D" w:rsidP="00775E9C">
      <w:pPr>
        <w:spacing w:line="360" w:lineRule="auto"/>
        <w:jc w:val="both"/>
        <w:rPr>
          <w:rFonts w:cs="Times New Roman"/>
          <w:szCs w:val="24"/>
        </w:rPr>
      </w:pPr>
      <w:bookmarkStart w:id="1" w:name="OLE_LINK1"/>
      <w:r w:rsidRPr="0001436A">
        <w:rPr>
          <w:rFonts w:cs="Times New Roman"/>
          <w:b/>
          <w:szCs w:val="24"/>
        </w:rPr>
        <w:t xml:space="preserve">Supplementary Figure </w:t>
      </w:r>
      <w:r w:rsidR="00775E9C">
        <w:rPr>
          <w:rFonts w:cs="Times New Roman"/>
          <w:b/>
          <w:szCs w:val="24"/>
        </w:rPr>
        <w:t>S</w:t>
      </w:r>
      <w:r w:rsidR="00A429A7">
        <w:rPr>
          <w:rFonts w:cs="Times New Roman"/>
          <w:b/>
          <w:szCs w:val="24"/>
        </w:rPr>
        <w:t>2</w:t>
      </w:r>
      <w:r w:rsidRPr="0001436A">
        <w:rPr>
          <w:rFonts w:cs="Times New Roman"/>
          <w:b/>
          <w:szCs w:val="24"/>
        </w:rPr>
        <w:t>.</w:t>
      </w:r>
      <w:r w:rsidR="00905DF1">
        <w:rPr>
          <w:rFonts w:cs="Times New Roman"/>
          <w:b/>
          <w:szCs w:val="24"/>
        </w:rPr>
        <w:t xml:space="preserve"> </w:t>
      </w:r>
      <w:bookmarkEnd w:id="1"/>
      <w:r w:rsidR="00767695" w:rsidRPr="00D140AD">
        <w:rPr>
          <w:rFonts w:cs="Times New Roman"/>
          <w:szCs w:val="24"/>
        </w:rPr>
        <w:t>Restriction sites in [K</w:t>
      </w:r>
      <w:r w:rsidR="00767695" w:rsidRPr="00D140AD">
        <w:rPr>
          <w:rFonts w:cs="Times New Roman"/>
          <w:szCs w:val="24"/>
          <w:vertAlign w:val="superscript"/>
        </w:rPr>
        <w:t>22</w:t>
      </w:r>
      <w:r w:rsidR="00767695" w:rsidRPr="00D140AD">
        <w:rPr>
          <w:rFonts w:cs="Times New Roman"/>
          <w:szCs w:val="24"/>
        </w:rPr>
        <w:t>[(Ahx)</w:t>
      </w:r>
      <w:r w:rsidR="00767695" w:rsidRPr="00D140AD">
        <w:rPr>
          <w:rFonts w:cs="Times New Roman"/>
          <w:szCs w:val="24"/>
          <w:vertAlign w:val="subscript"/>
        </w:rPr>
        <w:t>2</w:t>
      </w:r>
      <w:r w:rsidR="00767695" w:rsidRPr="00D140AD">
        <w:rPr>
          <w:rFonts w:cs="Times New Roman"/>
          <w:szCs w:val="24"/>
        </w:rPr>
        <w:t>-biotin]Bpa</w:t>
      </w:r>
      <w:r w:rsidR="00767695" w:rsidRPr="00D140AD">
        <w:rPr>
          <w:rFonts w:cs="Times New Roman"/>
          <w:szCs w:val="24"/>
          <w:vertAlign w:val="superscript"/>
        </w:rPr>
        <w:t>27</w:t>
      </w:r>
      <w:r w:rsidR="00767695" w:rsidRPr="00D140AD">
        <w:rPr>
          <w:rFonts w:cs="Times New Roman"/>
          <w:szCs w:val="24"/>
        </w:rPr>
        <w:t>]NPY and Y</w:t>
      </w:r>
      <w:r w:rsidR="00767695" w:rsidRPr="00D140AD">
        <w:rPr>
          <w:rFonts w:cs="Times New Roman"/>
          <w:szCs w:val="24"/>
          <w:vertAlign w:val="subscript"/>
        </w:rPr>
        <w:t>2</w:t>
      </w:r>
      <w:r w:rsidR="00767695" w:rsidRPr="00D140AD">
        <w:rPr>
          <w:rFonts w:cs="Times New Roman"/>
          <w:szCs w:val="24"/>
        </w:rPr>
        <w:t xml:space="preserve">R_cysteine_deficient after digestion with the endoproteinase chymotrypsin. </w:t>
      </w:r>
      <w:r w:rsidR="00767695" w:rsidRPr="00D41B18">
        <w:rPr>
          <w:rFonts w:cs="Times New Roman"/>
          <w:b/>
          <w:szCs w:val="24"/>
        </w:rPr>
        <w:t>(A)</w:t>
      </w:r>
      <w:r w:rsidR="00767695" w:rsidRPr="00D140AD">
        <w:rPr>
          <w:rFonts w:cs="Times New Roman"/>
          <w:szCs w:val="24"/>
        </w:rPr>
        <w:t xml:space="preserve"> Amino acid sequence of [K</w:t>
      </w:r>
      <w:r w:rsidR="00767695" w:rsidRPr="00D140AD">
        <w:rPr>
          <w:rFonts w:cs="Times New Roman"/>
          <w:szCs w:val="24"/>
          <w:vertAlign w:val="superscript"/>
        </w:rPr>
        <w:t>22</w:t>
      </w:r>
      <w:r w:rsidR="00767695" w:rsidRPr="00D140AD">
        <w:rPr>
          <w:rFonts w:cs="Times New Roman"/>
          <w:szCs w:val="24"/>
        </w:rPr>
        <w:t>[(Ahx)</w:t>
      </w:r>
      <w:r w:rsidR="00767695" w:rsidRPr="00D140AD">
        <w:rPr>
          <w:rFonts w:cs="Times New Roman"/>
          <w:szCs w:val="24"/>
          <w:vertAlign w:val="subscript"/>
        </w:rPr>
        <w:t>2</w:t>
      </w:r>
      <w:r w:rsidR="00767695" w:rsidRPr="00D140AD">
        <w:rPr>
          <w:rFonts w:cs="Times New Roman"/>
          <w:szCs w:val="24"/>
        </w:rPr>
        <w:t>-biotin]Bpa</w:t>
      </w:r>
      <w:r w:rsidR="00767695" w:rsidRPr="00D140AD">
        <w:rPr>
          <w:rFonts w:cs="Times New Roman"/>
          <w:szCs w:val="24"/>
          <w:vertAlign w:val="superscript"/>
        </w:rPr>
        <w:t>27</w:t>
      </w:r>
      <w:r w:rsidR="00767695" w:rsidRPr="00D140AD">
        <w:rPr>
          <w:rFonts w:cs="Times New Roman"/>
          <w:szCs w:val="24"/>
        </w:rPr>
        <w:t>]NPY with highlighted restriction sites.</w:t>
      </w:r>
      <w:r w:rsidR="00B27A48">
        <w:rPr>
          <w:rFonts w:cs="Times New Roman"/>
          <w:szCs w:val="24"/>
        </w:rPr>
        <w:t xml:space="preserve"> </w:t>
      </w:r>
      <w:r w:rsidR="00767695" w:rsidRPr="00D41B18">
        <w:rPr>
          <w:rFonts w:cs="Times New Roman"/>
          <w:b/>
          <w:szCs w:val="24"/>
        </w:rPr>
        <w:t>(B)</w:t>
      </w:r>
      <w:r w:rsidR="00767695" w:rsidRPr="00D140AD">
        <w:rPr>
          <w:rFonts w:cs="Times New Roman"/>
          <w:szCs w:val="24"/>
        </w:rPr>
        <w:t xml:space="preserve"> Amino acid sequence of Y</w:t>
      </w:r>
      <w:r w:rsidR="00767695" w:rsidRPr="00D140AD">
        <w:rPr>
          <w:rFonts w:cs="Times New Roman"/>
          <w:szCs w:val="24"/>
          <w:vertAlign w:val="subscript"/>
        </w:rPr>
        <w:t>2</w:t>
      </w:r>
      <w:r w:rsidR="00767695">
        <w:rPr>
          <w:rFonts w:cs="Times New Roman"/>
          <w:szCs w:val="24"/>
        </w:rPr>
        <w:t>R_cysteine_defici</w:t>
      </w:r>
      <w:r w:rsidR="00767695" w:rsidRPr="00D140AD">
        <w:rPr>
          <w:rFonts w:cs="Times New Roman"/>
          <w:szCs w:val="24"/>
        </w:rPr>
        <w:t>ent with a C-terminal deca-histidine-tag. N terminus and extracellular loops are highlighted in cyan, transmembrane helices in black and intracellular loops and the modified C terminus in gr</w:t>
      </w:r>
      <w:r w:rsidR="00775E9C">
        <w:rPr>
          <w:rFonts w:cs="Times New Roman"/>
          <w:szCs w:val="24"/>
        </w:rPr>
        <w:t>a</w:t>
      </w:r>
      <w:r w:rsidR="00767695" w:rsidRPr="00D140AD">
        <w:rPr>
          <w:rFonts w:cs="Times New Roman"/>
          <w:szCs w:val="24"/>
        </w:rPr>
        <w:t>y. Restriction sites of chymotrypsin are indicated.</w:t>
      </w:r>
    </w:p>
    <w:p w:rsidR="00194C5A" w:rsidRDefault="00194C5A" w:rsidP="0018476A">
      <w:pPr>
        <w:spacing w:line="480" w:lineRule="auto"/>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194C5A" w:rsidRDefault="00194C5A" w:rsidP="0018476A">
      <w:pPr>
        <w:spacing w:line="480" w:lineRule="auto"/>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18476A" w:rsidRDefault="0018476A" w:rsidP="0018476A">
      <w:pPr>
        <w:spacing w:line="480" w:lineRule="auto"/>
        <w:jc w:val="center"/>
        <w:rPr>
          <w:rFonts w:eastAsia="Times New Roman" w:cs="Times New Roman"/>
          <w:i/>
          <w:snapToGrid w:val="0"/>
          <w:color w:val="000000"/>
          <w:w w:val="0"/>
          <w:sz w:val="0"/>
          <w:szCs w:val="0"/>
          <w:u w:color="000000"/>
          <w:bdr w:val="none" w:sz="0" w:space="0" w:color="000000"/>
          <w:shd w:val="clear" w:color="000000" w:fill="000000"/>
          <w:lang w:val="x-none" w:eastAsia="x-none" w:bidi="x-none"/>
        </w:rPr>
      </w:pPr>
    </w:p>
    <w:p w:rsidR="008A612B" w:rsidRDefault="008A612B" w:rsidP="002B4A57">
      <w:pPr>
        <w:keepNext/>
        <w:rPr>
          <w:rFonts w:cs="Times New Roman"/>
          <w:b/>
          <w:szCs w:val="24"/>
        </w:rPr>
      </w:pPr>
    </w:p>
    <w:p w:rsidR="00194C5A" w:rsidRPr="002B4A57" w:rsidRDefault="00194C5A" w:rsidP="002B4A57">
      <w:pPr>
        <w:keepNext/>
        <w:rPr>
          <w:rFonts w:cs="Times New Roman"/>
          <w:b/>
          <w:szCs w:val="24"/>
        </w:rPr>
      </w:pPr>
      <w:r w:rsidRPr="00194C5A">
        <w:rPr>
          <w:rFonts w:cs="Times New Roman"/>
          <w:b/>
          <w:noProof/>
          <w:szCs w:val="24"/>
          <w:lang w:val="de-DE" w:eastAsia="de-DE"/>
        </w:rPr>
        <w:drawing>
          <wp:inline distT="0" distB="0" distL="0" distR="0">
            <wp:extent cx="6208395" cy="5402157"/>
            <wp:effectExtent l="0" t="0" r="1905" b="8255"/>
            <wp:docPr id="14" name="Grafik 14" descr="U:\Publications\Front_Pharmacol Cell-Free Y2 Expression\Figures_Publication_3\LisaKoegler_Supplementary_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ublications\Front_Pharmacol Cell-Free Y2 Expression\Figures_Publication_3\LisaKoegler_Supplementary_Figure_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5402157"/>
                    </a:xfrm>
                    <a:prstGeom prst="rect">
                      <a:avLst/>
                    </a:prstGeom>
                    <a:noFill/>
                    <a:ln>
                      <a:noFill/>
                    </a:ln>
                  </pic:spPr>
                </pic:pic>
              </a:graphicData>
            </a:graphic>
          </wp:inline>
        </w:drawing>
      </w:r>
    </w:p>
    <w:p w:rsidR="00013435" w:rsidRPr="00DE46AC" w:rsidRDefault="00013435" w:rsidP="00775E9C">
      <w:pPr>
        <w:spacing w:line="360" w:lineRule="auto"/>
        <w:jc w:val="both"/>
        <w:rPr>
          <w:rFonts w:cs="Times New Roman"/>
          <w:szCs w:val="24"/>
        </w:rPr>
      </w:pPr>
      <w:r w:rsidRPr="0001436A">
        <w:rPr>
          <w:rFonts w:cs="Times New Roman"/>
          <w:b/>
          <w:szCs w:val="24"/>
        </w:rPr>
        <w:t xml:space="preserve">Supplementary Figure </w:t>
      </w:r>
      <w:r w:rsidR="00775E9C">
        <w:rPr>
          <w:rFonts w:cs="Times New Roman"/>
          <w:b/>
          <w:szCs w:val="24"/>
        </w:rPr>
        <w:t>S</w:t>
      </w:r>
      <w:r w:rsidR="00A429A7">
        <w:rPr>
          <w:rFonts w:cs="Times New Roman"/>
          <w:b/>
          <w:szCs w:val="24"/>
        </w:rPr>
        <w:t>3</w:t>
      </w:r>
      <w:r w:rsidRPr="0001436A">
        <w:rPr>
          <w:rFonts w:cs="Times New Roman"/>
          <w:b/>
          <w:szCs w:val="24"/>
        </w:rPr>
        <w:t>.</w:t>
      </w:r>
      <w:r w:rsidR="00905DF1">
        <w:rPr>
          <w:rFonts w:cs="Times New Roman"/>
          <w:b/>
          <w:szCs w:val="24"/>
        </w:rPr>
        <w:t xml:space="preserve"> </w:t>
      </w:r>
      <w:r>
        <w:rPr>
          <w:rFonts w:cs="Times New Roman"/>
          <w:b/>
          <w:bCs/>
          <w:szCs w:val="24"/>
        </w:rPr>
        <w:t>Western Blots of the o</w:t>
      </w:r>
      <w:r w:rsidRPr="00DE46AC">
        <w:rPr>
          <w:rFonts w:cs="Times New Roman"/>
          <w:b/>
          <w:bCs/>
          <w:szCs w:val="24"/>
        </w:rPr>
        <w:t>ptimization of cell-free Y</w:t>
      </w:r>
      <w:r w:rsidRPr="00DE46AC">
        <w:rPr>
          <w:rFonts w:cs="Times New Roman"/>
          <w:b/>
          <w:bCs/>
          <w:szCs w:val="24"/>
          <w:vertAlign w:val="subscript"/>
        </w:rPr>
        <w:t>2</w:t>
      </w:r>
      <w:r w:rsidRPr="00DE46AC">
        <w:rPr>
          <w:rFonts w:cs="Times New Roman"/>
          <w:b/>
          <w:bCs/>
          <w:szCs w:val="24"/>
        </w:rPr>
        <w:t>R_eGFP expression</w:t>
      </w:r>
      <w:r w:rsidRPr="00DE46AC">
        <w:rPr>
          <w:rFonts w:cs="Times New Roman"/>
          <w:bCs/>
          <w:szCs w:val="24"/>
        </w:rPr>
        <w:t xml:space="preserve">. </w:t>
      </w:r>
      <w:r>
        <w:rPr>
          <w:rFonts w:cs="Times New Roman"/>
          <w:b/>
          <w:bCs/>
          <w:szCs w:val="24"/>
        </w:rPr>
        <w:t>(A</w:t>
      </w:r>
      <w:r w:rsidRPr="00DE46AC">
        <w:rPr>
          <w:rFonts w:cs="Times New Roman"/>
          <w:b/>
          <w:bCs/>
          <w:szCs w:val="24"/>
        </w:rPr>
        <w:t xml:space="preserve">) </w:t>
      </w:r>
      <w:r w:rsidRPr="00DE46AC">
        <w:rPr>
          <w:rFonts w:cs="Times New Roman"/>
          <w:szCs w:val="24"/>
        </w:rPr>
        <w:t>To monitor soluble receptor expression the crude reaction (1,3</w:t>
      </w:r>
      <w:r>
        <w:rPr>
          <w:rFonts w:cs="Times New Roman"/>
          <w:szCs w:val="24"/>
        </w:rPr>
        <w:t>,5</w:t>
      </w:r>
      <w:r w:rsidRPr="00DE46AC">
        <w:rPr>
          <w:rFonts w:cs="Times New Roman"/>
          <w:szCs w:val="24"/>
        </w:rPr>
        <w:t xml:space="preserve">) was  </w:t>
      </w:r>
      <w:r w:rsidR="00B27A48">
        <w:rPr>
          <w:rFonts w:cs="Times New Roman"/>
          <w:szCs w:val="24"/>
        </w:rPr>
        <w:t xml:space="preserve">centrifuged </w:t>
      </w:r>
      <w:r w:rsidRPr="00DE46AC">
        <w:rPr>
          <w:rFonts w:cs="Times New Roman"/>
          <w:szCs w:val="24"/>
        </w:rPr>
        <w:t>for 2</w:t>
      </w:r>
      <w:r>
        <w:rPr>
          <w:rFonts w:cs="Times New Roman"/>
          <w:szCs w:val="24"/>
        </w:rPr>
        <w:t> </w:t>
      </w:r>
      <w:r w:rsidRPr="00DE46AC">
        <w:rPr>
          <w:rFonts w:cs="Times New Roman"/>
          <w:szCs w:val="24"/>
        </w:rPr>
        <w:t>min at 13,000</w:t>
      </w:r>
      <w:r>
        <w:rPr>
          <w:rFonts w:cs="Times New Roman"/>
          <w:szCs w:val="24"/>
        </w:rPr>
        <w:t> </w:t>
      </w:r>
      <w:r w:rsidRPr="00DE46AC">
        <w:rPr>
          <w:rFonts w:cs="Times New Roman"/>
          <w:szCs w:val="24"/>
        </w:rPr>
        <w:t>rpm and the supernatant (2,4</w:t>
      </w:r>
      <w:r>
        <w:rPr>
          <w:rFonts w:cs="Times New Roman"/>
          <w:szCs w:val="24"/>
        </w:rPr>
        <w:t>,6</w:t>
      </w:r>
      <w:r w:rsidRPr="00DE46AC">
        <w:rPr>
          <w:rFonts w:cs="Times New Roman"/>
          <w:szCs w:val="24"/>
        </w:rPr>
        <w:t xml:space="preserve">) </w:t>
      </w:r>
      <w:r>
        <w:rPr>
          <w:rFonts w:cs="Times New Roman"/>
          <w:szCs w:val="24"/>
        </w:rPr>
        <w:t xml:space="preserve">was </w:t>
      </w:r>
      <w:r w:rsidRPr="00DE46AC">
        <w:rPr>
          <w:rFonts w:cs="Times New Roman"/>
          <w:szCs w:val="24"/>
        </w:rPr>
        <w:t xml:space="preserve">used for analysis. </w:t>
      </w:r>
      <w:r>
        <w:rPr>
          <w:rFonts w:cs="Times New Roman"/>
          <w:szCs w:val="24"/>
        </w:rPr>
        <w:t>Y</w:t>
      </w:r>
      <w:r>
        <w:rPr>
          <w:rFonts w:cs="Times New Roman"/>
          <w:szCs w:val="24"/>
          <w:vertAlign w:val="subscript"/>
        </w:rPr>
        <w:t>2</w:t>
      </w:r>
      <w:r>
        <w:rPr>
          <w:rFonts w:cs="Times New Roman"/>
          <w:szCs w:val="24"/>
        </w:rPr>
        <w:t>R_eGFP expression was performed w</w:t>
      </w:r>
      <w:r w:rsidRPr="00DE46AC">
        <w:rPr>
          <w:rFonts w:cs="Times New Roman"/>
          <w:szCs w:val="24"/>
        </w:rPr>
        <w:t>ithout detergents (</w:t>
      </w:r>
      <w:r>
        <w:rPr>
          <w:rFonts w:cs="Times New Roman"/>
          <w:szCs w:val="24"/>
        </w:rPr>
        <w:t>1,</w:t>
      </w:r>
      <w:r w:rsidRPr="00DE46AC">
        <w:rPr>
          <w:rFonts w:cs="Times New Roman"/>
          <w:szCs w:val="24"/>
        </w:rPr>
        <w:t>2)</w:t>
      </w:r>
      <w:r>
        <w:rPr>
          <w:rFonts w:cs="Times New Roman"/>
          <w:szCs w:val="24"/>
        </w:rPr>
        <w:t xml:space="preserve"> or in presence </w:t>
      </w:r>
      <w:r w:rsidRPr="00DE46AC">
        <w:rPr>
          <w:rFonts w:cs="Times New Roman"/>
          <w:szCs w:val="24"/>
        </w:rPr>
        <w:t>of DDM and Chaps (3</w:t>
      </w:r>
      <w:r>
        <w:rPr>
          <w:rFonts w:cs="Times New Roman"/>
          <w:szCs w:val="24"/>
        </w:rPr>
        <w:t>,4</w:t>
      </w:r>
      <w:r w:rsidRPr="00DE46AC">
        <w:rPr>
          <w:rFonts w:cs="Times New Roman"/>
          <w:szCs w:val="24"/>
        </w:rPr>
        <w:t>)</w:t>
      </w:r>
      <w:r>
        <w:rPr>
          <w:rFonts w:cs="Times New Roman"/>
          <w:szCs w:val="24"/>
        </w:rPr>
        <w:t>, which</w:t>
      </w:r>
      <w:r w:rsidR="00775E9C">
        <w:rPr>
          <w:rFonts w:cs="Times New Roman"/>
          <w:szCs w:val="24"/>
        </w:rPr>
        <w:t xml:space="preserve"> completely inhibit the</w:t>
      </w:r>
      <w:r w:rsidRPr="00DE46AC">
        <w:rPr>
          <w:rFonts w:cs="Times New Roman"/>
          <w:szCs w:val="24"/>
        </w:rPr>
        <w:t xml:space="preserve"> receptor expression</w:t>
      </w:r>
      <w:r>
        <w:rPr>
          <w:rFonts w:cs="Times New Roman"/>
          <w:szCs w:val="24"/>
        </w:rPr>
        <w:t xml:space="preserve">. As expression </w:t>
      </w:r>
      <w:r w:rsidR="00B27A48">
        <w:rPr>
          <w:rFonts w:cs="Times New Roman"/>
          <w:szCs w:val="24"/>
        </w:rPr>
        <w:t>control,</w:t>
      </w:r>
      <w:r>
        <w:rPr>
          <w:rFonts w:cs="Times New Roman"/>
          <w:szCs w:val="24"/>
        </w:rPr>
        <w:t xml:space="preserve"> human chemerin was used, expressed without detergents (5,6)</w:t>
      </w:r>
      <w:r w:rsidRPr="00DE46AC">
        <w:rPr>
          <w:rFonts w:cs="Times New Roman"/>
          <w:szCs w:val="24"/>
        </w:rPr>
        <w:t xml:space="preserve">. </w:t>
      </w:r>
      <w:r>
        <w:rPr>
          <w:rFonts w:cs="Times New Roman"/>
          <w:b/>
          <w:bCs/>
          <w:szCs w:val="24"/>
        </w:rPr>
        <w:t>(B</w:t>
      </w:r>
      <w:r w:rsidRPr="00DE46AC">
        <w:rPr>
          <w:rFonts w:cs="Times New Roman"/>
          <w:b/>
          <w:szCs w:val="24"/>
        </w:rPr>
        <w:t>)</w:t>
      </w:r>
      <w:r w:rsidRPr="00DE46AC">
        <w:rPr>
          <w:rFonts w:cs="Times New Roman"/>
          <w:szCs w:val="24"/>
        </w:rPr>
        <w:t xml:space="preserve"> Soluble expression of Y</w:t>
      </w:r>
      <w:r w:rsidRPr="00DE46AC">
        <w:rPr>
          <w:rFonts w:cs="Times New Roman"/>
          <w:szCs w:val="24"/>
          <w:vertAlign w:val="subscript"/>
        </w:rPr>
        <w:t>2</w:t>
      </w:r>
      <w:r w:rsidRPr="00DE46AC">
        <w:rPr>
          <w:rFonts w:cs="Times New Roman"/>
          <w:szCs w:val="24"/>
        </w:rPr>
        <w:t>R_eGFP</w:t>
      </w:r>
      <w:r>
        <w:rPr>
          <w:rFonts w:cs="Times New Roman"/>
          <w:szCs w:val="24"/>
        </w:rPr>
        <w:t xml:space="preserve"> (1,2)</w:t>
      </w:r>
      <w:r w:rsidRPr="00DE46AC">
        <w:rPr>
          <w:rFonts w:cs="Times New Roman"/>
          <w:szCs w:val="24"/>
        </w:rPr>
        <w:t xml:space="preserve"> or Y</w:t>
      </w:r>
      <w:r w:rsidRPr="00DE46AC">
        <w:rPr>
          <w:rFonts w:cs="Times New Roman"/>
          <w:szCs w:val="24"/>
          <w:vertAlign w:val="subscript"/>
        </w:rPr>
        <w:t>2</w:t>
      </w:r>
      <w:r w:rsidRPr="00DE46AC">
        <w:rPr>
          <w:rFonts w:cs="Times New Roman"/>
          <w:szCs w:val="24"/>
        </w:rPr>
        <w:t>R_e</w:t>
      </w:r>
      <w:r>
        <w:rPr>
          <w:rFonts w:cs="Times New Roman"/>
          <w:szCs w:val="24"/>
        </w:rPr>
        <w:t>YF</w:t>
      </w:r>
      <w:r w:rsidRPr="00DE46AC">
        <w:rPr>
          <w:rFonts w:cs="Times New Roman"/>
          <w:szCs w:val="24"/>
        </w:rPr>
        <w:t xml:space="preserve">P </w:t>
      </w:r>
      <w:r>
        <w:rPr>
          <w:rFonts w:cs="Times New Roman"/>
          <w:szCs w:val="24"/>
        </w:rPr>
        <w:t xml:space="preserve">(3) without detergents (1) or </w:t>
      </w:r>
      <w:r w:rsidRPr="00DE46AC">
        <w:rPr>
          <w:rFonts w:cs="Times New Roman"/>
          <w:szCs w:val="24"/>
        </w:rPr>
        <w:t xml:space="preserve">in presence of </w:t>
      </w:r>
      <w:r>
        <w:rPr>
          <w:rFonts w:cs="Times New Roman"/>
          <w:szCs w:val="24"/>
        </w:rPr>
        <w:t>Brij-35 (2,3)</w:t>
      </w:r>
      <w:r w:rsidRPr="00DE46AC">
        <w:rPr>
          <w:rFonts w:cs="Times New Roman"/>
          <w:szCs w:val="24"/>
        </w:rPr>
        <w:t xml:space="preserve">. Nonsoluble protein was removed after expression by centrifugation. </w:t>
      </w:r>
      <w:r>
        <w:rPr>
          <w:rFonts w:cs="Times New Roman"/>
          <w:szCs w:val="24"/>
        </w:rPr>
        <w:t>As control t</w:t>
      </w:r>
      <w:r w:rsidRPr="00DE46AC">
        <w:rPr>
          <w:rFonts w:cs="Times New Roman"/>
          <w:szCs w:val="24"/>
        </w:rPr>
        <w:t xml:space="preserve">he RM </w:t>
      </w:r>
      <w:r>
        <w:rPr>
          <w:rFonts w:cs="Times New Roman"/>
          <w:szCs w:val="24"/>
        </w:rPr>
        <w:t>without DNA was plotted</w:t>
      </w:r>
      <w:r w:rsidRPr="00DE46AC">
        <w:rPr>
          <w:rFonts w:cs="Times New Roman"/>
          <w:szCs w:val="24"/>
        </w:rPr>
        <w:t xml:space="preserve"> (</w:t>
      </w:r>
      <w:r>
        <w:rPr>
          <w:rFonts w:cs="Times New Roman"/>
          <w:szCs w:val="24"/>
        </w:rPr>
        <w:t>4</w:t>
      </w:r>
      <w:r w:rsidRPr="00DE46AC">
        <w:rPr>
          <w:rFonts w:cs="Times New Roman"/>
          <w:szCs w:val="24"/>
        </w:rPr>
        <w:t>)</w:t>
      </w:r>
      <w:r w:rsidR="00B27A48">
        <w:rPr>
          <w:rFonts w:cs="Times New Roman"/>
          <w:szCs w:val="24"/>
        </w:rPr>
        <w:t>.</w:t>
      </w:r>
      <w:r w:rsidR="00B27A48">
        <w:rPr>
          <w:rFonts w:cs="Times New Roman"/>
          <w:b/>
          <w:bCs/>
          <w:szCs w:val="24"/>
        </w:rPr>
        <w:t xml:space="preserve"> (</w:t>
      </w:r>
      <w:r>
        <w:rPr>
          <w:rFonts w:cs="Times New Roman"/>
          <w:b/>
          <w:bCs/>
          <w:szCs w:val="24"/>
        </w:rPr>
        <w:t>C</w:t>
      </w:r>
      <w:r w:rsidRPr="00DE46AC">
        <w:rPr>
          <w:rFonts w:cs="Times New Roman"/>
          <w:b/>
          <w:bCs/>
          <w:szCs w:val="24"/>
        </w:rPr>
        <w:t>)</w:t>
      </w:r>
      <w:r w:rsidR="00775E9C">
        <w:rPr>
          <w:rFonts w:cs="Times New Roman"/>
          <w:b/>
          <w:bCs/>
          <w:szCs w:val="24"/>
        </w:rPr>
        <w:t xml:space="preserve"> </w:t>
      </w:r>
      <w:r w:rsidRPr="00DE46AC">
        <w:rPr>
          <w:rFonts w:cs="Times New Roman"/>
          <w:szCs w:val="24"/>
        </w:rPr>
        <w:t>Soluble expression of Y</w:t>
      </w:r>
      <w:r w:rsidRPr="00DE46AC">
        <w:rPr>
          <w:rFonts w:cs="Times New Roman"/>
          <w:szCs w:val="24"/>
          <w:vertAlign w:val="subscript"/>
        </w:rPr>
        <w:t>2</w:t>
      </w:r>
      <w:r w:rsidRPr="00DE46AC">
        <w:rPr>
          <w:rFonts w:cs="Times New Roman"/>
          <w:szCs w:val="24"/>
        </w:rPr>
        <w:t>R_eGFP</w:t>
      </w:r>
      <w:r>
        <w:rPr>
          <w:rFonts w:cs="Times New Roman"/>
          <w:szCs w:val="24"/>
        </w:rPr>
        <w:t xml:space="preserve"> in presence of 0.5 % (w/v) (1,2) or 0.2 % (w/v) Brij-58. Crude reaction and supernatant after centrifugation for 2 min at 13,000 rpm were plotted to monitor soluble receptor expression. </w:t>
      </w:r>
      <w:r>
        <w:rPr>
          <w:rFonts w:cs="Times New Roman"/>
          <w:b/>
          <w:bCs/>
          <w:szCs w:val="24"/>
        </w:rPr>
        <w:t>(D</w:t>
      </w:r>
      <w:r w:rsidRPr="00DE46AC">
        <w:rPr>
          <w:rFonts w:cs="Times New Roman"/>
          <w:b/>
          <w:bCs/>
          <w:szCs w:val="24"/>
        </w:rPr>
        <w:t>)</w:t>
      </w:r>
      <w:r w:rsidR="00775E9C">
        <w:rPr>
          <w:rFonts w:cs="Times New Roman"/>
          <w:b/>
          <w:bCs/>
          <w:szCs w:val="24"/>
        </w:rPr>
        <w:t xml:space="preserve"> </w:t>
      </w:r>
      <w:r>
        <w:rPr>
          <w:rFonts w:cs="Times New Roman"/>
          <w:bCs/>
          <w:szCs w:val="24"/>
        </w:rPr>
        <w:t>The Y</w:t>
      </w:r>
      <w:r>
        <w:rPr>
          <w:rFonts w:cs="Times New Roman"/>
          <w:bCs/>
          <w:szCs w:val="24"/>
          <w:vertAlign w:val="subscript"/>
        </w:rPr>
        <w:t>2</w:t>
      </w:r>
      <w:r>
        <w:rPr>
          <w:rFonts w:cs="Times New Roman"/>
          <w:bCs/>
          <w:szCs w:val="24"/>
        </w:rPr>
        <w:t xml:space="preserve">R_eGFP expression in presence of </w:t>
      </w:r>
      <w:r w:rsidRPr="00DE46AC">
        <w:rPr>
          <w:rFonts w:cs="Times New Roman"/>
          <w:szCs w:val="24"/>
        </w:rPr>
        <w:lastRenderedPageBreak/>
        <w:t xml:space="preserve">oxidized (GSSG) and reduced (GSH) </w:t>
      </w:r>
      <w:r>
        <w:rPr>
          <w:rFonts w:cs="Times New Roman"/>
          <w:szCs w:val="24"/>
        </w:rPr>
        <w:t>glutathione was monitored by Western Blot analysis</w:t>
      </w:r>
      <w:r w:rsidRPr="00DE46AC">
        <w:rPr>
          <w:rFonts w:cs="Times New Roman"/>
          <w:szCs w:val="24"/>
        </w:rPr>
        <w:t xml:space="preserve">. </w:t>
      </w:r>
      <w:r>
        <w:rPr>
          <w:rFonts w:cs="Times New Roman"/>
          <w:szCs w:val="24"/>
        </w:rPr>
        <w:t xml:space="preserve">A higher amount of GSH promotes receptor expression (1), while an increased amount of GSSG strongly inhibits it (2). A change in the redox potential during expression by omitting DTT during expression (3) completely inhibits receptor expression. The RM without DNA was used as control (4). </w:t>
      </w:r>
      <w:r>
        <w:rPr>
          <w:rFonts w:cs="Times New Roman"/>
          <w:b/>
          <w:szCs w:val="24"/>
        </w:rPr>
        <w:t>(E</w:t>
      </w:r>
      <w:r w:rsidRPr="000E0667">
        <w:rPr>
          <w:rFonts w:cs="Times New Roman"/>
          <w:b/>
          <w:szCs w:val="24"/>
        </w:rPr>
        <w:t>)</w:t>
      </w:r>
      <w:r w:rsidR="00500146">
        <w:rPr>
          <w:rFonts w:cs="Times New Roman"/>
          <w:b/>
          <w:szCs w:val="24"/>
        </w:rPr>
        <w:t xml:space="preserve"> </w:t>
      </w:r>
      <w:r>
        <w:rPr>
          <w:rFonts w:cs="Times New Roman"/>
          <w:szCs w:val="24"/>
        </w:rPr>
        <w:t xml:space="preserve">Buffer pH was lowered towards pH 7.4 (2) and the effect of GSH and GSSG (1) or CHS (3) addition during expression was monitored. The negative control contents the RM without DNA (4). </w:t>
      </w:r>
      <w:r w:rsidR="00B27A48">
        <w:rPr>
          <w:rFonts w:cs="Times New Roman"/>
          <w:szCs w:val="24"/>
        </w:rPr>
        <w:t>Arrows indicate synthesized receptors</w:t>
      </w:r>
      <w:r w:rsidR="00500146">
        <w:rPr>
          <w:rFonts w:cs="Times New Roman"/>
          <w:szCs w:val="24"/>
        </w:rPr>
        <w:t xml:space="preserve">. </w:t>
      </w:r>
      <w:r w:rsidRPr="00DE46AC">
        <w:rPr>
          <w:rFonts w:cs="Times New Roman"/>
          <w:szCs w:val="24"/>
        </w:rPr>
        <w:t>Brij-35 – polyoxyethylene(23)laurylether, Brij-58 – polyoxyethylene(20)cetyl</w:t>
      </w:r>
      <w:r>
        <w:rPr>
          <w:rFonts w:cs="Times New Roman"/>
          <w:szCs w:val="24"/>
        </w:rPr>
        <w:t>-</w:t>
      </w:r>
      <w:r w:rsidRPr="00DE46AC">
        <w:rPr>
          <w:rFonts w:cs="Times New Roman"/>
          <w:szCs w:val="24"/>
        </w:rPr>
        <w:t>ether,</w:t>
      </w:r>
      <w:r w:rsidR="00B27A48">
        <w:rPr>
          <w:rFonts w:cs="Times New Roman"/>
          <w:szCs w:val="24"/>
        </w:rPr>
        <w:t xml:space="preserve"> </w:t>
      </w:r>
      <w:r w:rsidRPr="00DE46AC">
        <w:rPr>
          <w:rFonts w:cs="Times New Roman"/>
          <w:szCs w:val="24"/>
        </w:rPr>
        <w:t>Chaps – 3-[(3-cholamidopropyl)dimethylammonio]-1-propansulfonat,</w:t>
      </w:r>
      <w:r>
        <w:rPr>
          <w:rFonts w:cs="Times New Roman"/>
          <w:szCs w:val="24"/>
        </w:rPr>
        <w:t xml:space="preserve"> CHS – cholesteryl hemisuccinate; </w:t>
      </w:r>
      <w:r w:rsidRPr="00DE46AC">
        <w:rPr>
          <w:rFonts w:cs="Times New Roman"/>
          <w:szCs w:val="24"/>
        </w:rPr>
        <w:t>DDM – n-dodecyl β-D-maltoside,</w:t>
      </w:r>
      <w:r w:rsidR="00B27A48">
        <w:rPr>
          <w:rFonts w:cs="Times New Roman"/>
          <w:szCs w:val="24"/>
        </w:rPr>
        <w:t xml:space="preserve"> </w:t>
      </w:r>
      <w:r w:rsidRPr="00500191">
        <w:rPr>
          <w:rFonts w:cs="Times New Roman"/>
          <w:szCs w:val="24"/>
        </w:rPr>
        <w:t xml:space="preserve">DTT – </w:t>
      </w:r>
      <w:r>
        <w:rPr>
          <w:rFonts w:cs="Times New Roman"/>
          <w:bCs/>
          <w:szCs w:val="24"/>
        </w:rPr>
        <w:t>d</w:t>
      </w:r>
      <w:r w:rsidRPr="00500191">
        <w:rPr>
          <w:rFonts w:cs="Times New Roman"/>
          <w:bCs/>
          <w:szCs w:val="24"/>
        </w:rPr>
        <w:t>ithiothreitol</w:t>
      </w:r>
      <w:r w:rsidRPr="00500191">
        <w:rPr>
          <w:b/>
          <w:bCs/>
        </w:rPr>
        <w:t>,</w:t>
      </w:r>
      <w:r>
        <w:rPr>
          <w:rFonts w:cs="Times New Roman"/>
          <w:szCs w:val="24"/>
        </w:rPr>
        <w:t xml:space="preserve"> RM – reaction mix; </w:t>
      </w:r>
      <w:r w:rsidR="00775E9C">
        <w:rPr>
          <w:rFonts w:cs="Times New Roman"/>
          <w:szCs w:val="24"/>
        </w:rPr>
        <w:t>n ≥ 2.</w:t>
      </w:r>
      <w:r w:rsidRPr="00DE46AC">
        <w:rPr>
          <w:rFonts w:cs="Times New Roman"/>
          <w:szCs w:val="24"/>
        </w:rPr>
        <w:t xml:space="preserve"> </w:t>
      </w:r>
    </w:p>
    <w:p w:rsidR="00DE23E8" w:rsidRDefault="00F55473" w:rsidP="00654E8F">
      <w:pPr>
        <w:spacing w:before="240"/>
      </w:pPr>
      <w:r w:rsidRPr="00F55473">
        <w:rPr>
          <w:noProof/>
          <w:lang w:val="de-DE" w:eastAsia="de-DE"/>
        </w:rPr>
        <w:lastRenderedPageBreak/>
        <w:drawing>
          <wp:inline distT="0" distB="0" distL="0" distR="0">
            <wp:extent cx="5648325" cy="6372225"/>
            <wp:effectExtent l="0" t="0" r="9525" b="9525"/>
            <wp:docPr id="9" name="Grafik 9" descr="U:\Publications\Front_Pharmacol Cell-Free Y2 Expression\Figures_Publication_3\LisaKoegler_SI_Figure_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ublications\Front_Pharmacol Cell-Free Y2 Expression\Figures_Publication_3\LisaKoegler_SI_Figure_4A.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8325" cy="6372225"/>
                    </a:xfrm>
                    <a:prstGeom prst="rect">
                      <a:avLst/>
                    </a:prstGeom>
                    <a:noFill/>
                    <a:ln>
                      <a:noFill/>
                    </a:ln>
                  </pic:spPr>
                </pic:pic>
              </a:graphicData>
            </a:graphic>
          </wp:inline>
        </w:drawing>
      </w:r>
    </w:p>
    <w:p w:rsidR="00F55473" w:rsidRDefault="00F55473" w:rsidP="00654E8F">
      <w:pPr>
        <w:spacing w:before="240"/>
      </w:pPr>
      <w:r w:rsidRPr="00F55473">
        <w:rPr>
          <w:noProof/>
          <w:lang w:val="de-DE" w:eastAsia="de-DE"/>
        </w:rPr>
        <w:lastRenderedPageBreak/>
        <w:drawing>
          <wp:inline distT="0" distB="0" distL="0" distR="0">
            <wp:extent cx="6208395" cy="2857688"/>
            <wp:effectExtent l="0" t="0" r="1905" b="0"/>
            <wp:docPr id="10" name="Grafik 10" descr="U:\Publications\Front_Pharmacol Cell-Free Y2 Expression\Figures_Publication_3\LisaKoegler_SI_Figure_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ublications\Front_Pharmacol Cell-Free Y2 Expression\Figures_Publication_3\LisaKoegler_SI_Figure_4B.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2857688"/>
                    </a:xfrm>
                    <a:prstGeom prst="rect">
                      <a:avLst/>
                    </a:prstGeom>
                    <a:noFill/>
                    <a:ln>
                      <a:noFill/>
                    </a:ln>
                  </pic:spPr>
                </pic:pic>
              </a:graphicData>
            </a:graphic>
          </wp:inline>
        </w:drawing>
      </w:r>
    </w:p>
    <w:p w:rsidR="00F55473" w:rsidRDefault="00F55473" w:rsidP="00654E8F">
      <w:pPr>
        <w:spacing w:before="240"/>
      </w:pPr>
      <w:r w:rsidRPr="00F55473">
        <w:rPr>
          <w:noProof/>
          <w:lang w:val="de-DE" w:eastAsia="de-DE"/>
        </w:rPr>
        <w:drawing>
          <wp:inline distT="0" distB="0" distL="0" distR="0">
            <wp:extent cx="6208395" cy="3834597"/>
            <wp:effectExtent l="0" t="0" r="1905" b="0"/>
            <wp:docPr id="11" name="Grafik 11" descr="U:\Publications\Front_Pharmacol Cell-Free Y2 Expression\Figures_Publication_3\LisaKoegler_SI_Figure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ublications\Front_Pharmacol Cell-Free Y2 Expression\Figures_Publication_3\LisaKoegler_SI_Figure_4C.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3834597"/>
                    </a:xfrm>
                    <a:prstGeom prst="rect">
                      <a:avLst/>
                    </a:prstGeom>
                    <a:noFill/>
                    <a:ln>
                      <a:noFill/>
                    </a:ln>
                  </pic:spPr>
                </pic:pic>
              </a:graphicData>
            </a:graphic>
          </wp:inline>
        </w:drawing>
      </w:r>
    </w:p>
    <w:p w:rsidR="00CD422D" w:rsidRPr="00CD422D" w:rsidRDefault="008E0707" w:rsidP="00775E9C">
      <w:pPr>
        <w:spacing w:before="240" w:line="360" w:lineRule="auto"/>
        <w:rPr>
          <w:szCs w:val="24"/>
        </w:rPr>
      </w:pPr>
      <w:r w:rsidRPr="00E3579B">
        <w:rPr>
          <w:b/>
          <w:szCs w:val="24"/>
        </w:rPr>
        <w:t xml:space="preserve">Supplementary Figure </w:t>
      </w:r>
      <w:r w:rsidR="00775E9C">
        <w:rPr>
          <w:b/>
          <w:szCs w:val="24"/>
        </w:rPr>
        <w:t>S</w:t>
      </w:r>
      <w:r w:rsidRPr="00E3579B">
        <w:rPr>
          <w:b/>
          <w:szCs w:val="24"/>
        </w:rPr>
        <w:t>4:</w:t>
      </w:r>
      <w:r>
        <w:rPr>
          <w:szCs w:val="24"/>
        </w:rPr>
        <w:t xml:space="preserve"> Analysis of ta</w:t>
      </w:r>
      <w:r w:rsidR="00E3579B">
        <w:rPr>
          <w:szCs w:val="24"/>
        </w:rPr>
        <w:t>ndem MS/MS spectra by Biotools, allowing crosslinking to occur between Bpa at position 27 of NPY and one amino acid sequence of the identified receptor fragment at a time. (A) Parent ion 2665.5. (B) Parent ion 3345.0 (C) Parent ion 3655.1</w:t>
      </w:r>
      <w:r w:rsidR="001A4845">
        <w:rPr>
          <w:szCs w:val="24"/>
        </w:rPr>
        <w:t>.</w:t>
      </w:r>
    </w:p>
    <w:sectPr w:rsidR="00CD422D" w:rsidRPr="00CD422D"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BDB" w:rsidRDefault="00B32BDB" w:rsidP="00117666">
      <w:pPr>
        <w:spacing w:after="0"/>
      </w:pPr>
      <w:r>
        <w:separator/>
      </w:r>
    </w:p>
  </w:endnote>
  <w:endnote w:type="continuationSeparator" w:id="0">
    <w:p w:rsidR="00B32BDB" w:rsidRDefault="00B32BD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577C4C" w:rsidRDefault="0018476A">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49530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00995F6A" w:rsidRPr="00577C4C" w:rsidRDefault="006639C8">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F73E1A">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9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" filled="f" stroked="f" strokeweight=".5pt">
              <v:path arrowok="t"/>
              <v:textbox style="mso-fit-shape-to-text:t">
                <w:txbxContent>
                  <w:p w:rsidR="00995F6A" w:rsidRPr="00577C4C" w:rsidRDefault="006639C8">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F73E1A">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577C4C" w:rsidRDefault="0018476A">
    <w:pPr>
      <w:rPr>
        <w:b/>
        <w:sz w:val="20"/>
        <w:szCs w:val="24"/>
      </w:rPr>
    </w:pPr>
    <w:r>
      <w:rPr>
        <w:noProof/>
        <w:lang w:val="de-DE" w:eastAsia="de-DE"/>
      </w:rPr>
      <mc:AlternateContent>
        <mc:Choice Requires="wps">
          <w:drawing>
            <wp:anchor distT="0" distB="0" distL="114300" distR="114300" simplePos="0" relativeHeight="251646976" behindDoc="0" locked="0" layoutInCell="1" allowOverlap="1">
              <wp:simplePos x="0" y="0"/>
              <wp:positionH relativeFrom="margin">
                <wp:align>right</wp:align>
              </wp:positionH>
              <wp:positionV relativeFrom="bottomMargin">
                <wp:align>top</wp:align>
              </wp:positionV>
              <wp:extent cx="1508760" cy="4953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00995F6A" w:rsidRPr="00577C4C" w:rsidRDefault="006639C8">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F73E1A">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9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" filled="f" stroked="f" strokeweight=".5pt">
              <v:path arrowok="t"/>
              <v:textbox style="mso-fit-shape-to-text:t">
                <w:txbxContent>
                  <w:p w:rsidR="00995F6A" w:rsidRPr="00577C4C" w:rsidRDefault="006639C8">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F73E1A">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BDB" w:rsidRDefault="00B32BDB" w:rsidP="00117666">
      <w:pPr>
        <w:spacing w:after="0"/>
      </w:pPr>
      <w:r>
        <w:separator/>
      </w:r>
    </w:p>
  </w:footnote>
  <w:footnote w:type="continuationSeparator" w:id="0">
    <w:p w:rsidR="00B32BDB" w:rsidRDefault="00B32BD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Default="0093429D" w:rsidP="0093429D">
    <w:r w:rsidRPr="005A1D84">
      <w:rPr>
        <w:b/>
        <w:noProof/>
        <w:color w:val="A6A6A6" w:themeColor="background1" w:themeShade="A6"/>
        <w:lang w:val="de-DE" w:eastAsia="de-DE"/>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87D52"/>
    <w:multiLevelType w:val="hybridMultilevel"/>
    <w:tmpl w:val="02E2E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2978"/>
        </w:tabs>
        <w:ind w:left="2978"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07470"/>
    <w:rsid w:val="00013435"/>
    <w:rsid w:val="0001436A"/>
    <w:rsid w:val="00034304"/>
    <w:rsid w:val="00035434"/>
    <w:rsid w:val="00052A14"/>
    <w:rsid w:val="00077D53"/>
    <w:rsid w:val="00105FD9"/>
    <w:rsid w:val="00117666"/>
    <w:rsid w:val="0014195D"/>
    <w:rsid w:val="001549D3"/>
    <w:rsid w:val="00160065"/>
    <w:rsid w:val="00161985"/>
    <w:rsid w:val="00177D84"/>
    <w:rsid w:val="0018476A"/>
    <w:rsid w:val="00194C5A"/>
    <w:rsid w:val="001A4845"/>
    <w:rsid w:val="00241F74"/>
    <w:rsid w:val="00267D18"/>
    <w:rsid w:val="002868E2"/>
    <w:rsid w:val="002869C3"/>
    <w:rsid w:val="002936E4"/>
    <w:rsid w:val="002B4A57"/>
    <w:rsid w:val="002C74CA"/>
    <w:rsid w:val="002E192D"/>
    <w:rsid w:val="003544FB"/>
    <w:rsid w:val="003545A8"/>
    <w:rsid w:val="003D2F2D"/>
    <w:rsid w:val="00401590"/>
    <w:rsid w:val="00447801"/>
    <w:rsid w:val="00452E9C"/>
    <w:rsid w:val="004600DF"/>
    <w:rsid w:val="004735C8"/>
    <w:rsid w:val="004947A6"/>
    <w:rsid w:val="004961FF"/>
    <w:rsid w:val="00497071"/>
    <w:rsid w:val="00500146"/>
    <w:rsid w:val="00517A89"/>
    <w:rsid w:val="005250F2"/>
    <w:rsid w:val="00593EEA"/>
    <w:rsid w:val="005A5EEE"/>
    <w:rsid w:val="006375C7"/>
    <w:rsid w:val="00641777"/>
    <w:rsid w:val="00654E8F"/>
    <w:rsid w:val="00660D05"/>
    <w:rsid w:val="006639C8"/>
    <w:rsid w:val="006820B1"/>
    <w:rsid w:val="006A46E8"/>
    <w:rsid w:val="006B7D14"/>
    <w:rsid w:val="00701727"/>
    <w:rsid w:val="0070566C"/>
    <w:rsid w:val="00714C50"/>
    <w:rsid w:val="00725A7D"/>
    <w:rsid w:val="007501BE"/>
    <w:rsid w:val="00767695"/>
    <w:rsid w:val="00775E9C"/>
    <w:rsid w:val="00781AA2"/>
    <w:rsid w:val="00790BB3"/>
    <w:rsid w:val="007C206C"/>
    <w:rsid w:val="00817DD6"/>
    <w:rsid w:val="00834553"/>
    <w:rsid w:val="0083759F"/>
    <w:rsid w:val="00885156"/>
    <w:rsid w:val="008A612B"/>
    <w:rsid w:val="008E0707"/>
    <w:rsid w:val="00905DF1"/>
    <w:rsid w:val="009151AA"/>
    <w:rsid w:val="0093429D"/>
    <w:rsid w:val="00943573"/>
    <w:rsid w:val="00970F7D"/>
    <w:rsid w:val="00994A3D"/>
    <w:rsid w:val="009C2B12"/>
    <w:rsid w:val="00A174D9"/>
    <w:rsid w:val="00A429A7"/>
    <w:rsid w:val="00A6333C"/>
    <w:rsid w:val="00A75A4B"/>
    <w:rsid w:val="00A94E71"/>
    <w:rsid w:val="00AA4D24"/>
    <w:rsid w:val="00AB6715"/>
    <w:rsid w:val="00B1671E"/>
    <w:rsid w:val="00B25EB8"/>
    <w:rsid w:val="00B27A48"/>
    <w:rsid w:val="00B32BDB"/>
    <w:rsid w:val="00B37F4D"/>
    <w:rsid w:val="00B4299C"/>
    <w:rsid w:val="00BD0275"/>
    <w:rsid w:val="00C52A7B"/>
    <w:rsid w:val="00C56BAF"/>
    <w:rsid w:val="00C679AA"/>
    <w:rsid w:val="00C75972"/>
    <w:rsid w:val="00CD066B"/>
    <w:rsid w:val="00CD422D"/>
    <w:rsid w:val="00CE4FEE"/>
    <w:rsid w:val="00CE5B59"/>
    <w:rsid w:val="00DB59C3"/>
    <w:rsid w:val="00DC259A"/>
    <w:rsid w:val="00DE23E8"/>
    <w:rsid w:val="00DF6DA8"/>
    <w:rsid w:val="00E3579B"/>
    <w:rsid w:val="00E52377"/>
    <w:rsid w:val="00E64E17"/>
    <w:rsid w:val="00E866C9"/>
    <w:rsid w:val="00EA3D3C"/>
    <w:rsid w:val="00EC090A"/>
    <w:rsid w:val="00ED20B5"/>
    <w:rsid w:val="00F04B5D"/>
    <w:rsid w:val="00F46900"/>
    <w:rsid w:val="00F55473"/>
    <w:rsid w:val="00F61D89"/>
    <w:rsid w:val="00F73E1A"/>
    <w:rsid w:val="00FB1B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0FDE91"/>
  <w15:docId w15:val="{6299D3D8-16D5-4427-BB44-224FB2A01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ADA8705-348F-4ADA-A18E-4455C9B04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6</Pages>
  <Words>463</Words>
  <Characters>2923</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Maria Kögler</dc:creator>
  <cp:lastModifiedBy>Stichel, Jan Dirk</cp:lastModifiedBy>
  <cp:revision>2</cp:revision>
  <cp:lastPrinted>2013-10-03T12:51:00Z</cp:lastPrinted>
  <dcterms:created xsi:type="dcterms:W3CDTF">2019-02-20T08:32:00Z</dcterms:created>
  <dcterms:modified xsi:type="dcterms:W3CDTF">2019-02-20T08:32:00Z</dcterms:modified>
</cp:coreProperties>
</file>