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652DA" w14:textId="77777777" w:rsidR="00C34FBE" w:rsidRPr="00DD1310" w:rsidRDefault="00C34FBE" w:rsidP="00C34FBE">
      <w:pPr>
        <w:spacing w:after="0" w:line="480" w:lineRule="auto"/>
        <w:rPr>
          <w:rFonts w:ascii="Arial" w:hAnsi="Arial" w:cs="Arial"/>
          <w:b/>
          <w:bCs/>
        </w:rPr>
      </w:pPr>
      <w:r w:rsidRPr="00DD1310">
        <w:rPr>
          <w:rStyle w:val="Heading1Char"/>
          <w:rFonts w:eastAsia="Calibri"/>
        </w:rPr>
        <w:t>Supplementary data</w:t>
      </w:r>
    </w:p>
    <w:p w14:paraId="1F352FCB" w14:textId="77777777" w:rsidR="00C34FBE" w:rsidRPr="00DD1310" w:rsidRDefault="00C34FBE" w:rsidP="00C34FBE">
      <w:pPr>
        <w:spacing w:after="0" w:line="480" w:lineRule="auto"/>
        <w:rPr>
          <w:rFonts w:ascii="Arial" w:hAnsi="Arial" w:cs="Arial"/>
          <w:b/>
          <w:bCs/>
        </w:rPr>
      </w:pPr>
    </w:p>
    <w:p w14:paraId="567733DF" w14:textId="77777777" w:rsidR="00C34FBE" w:rsidRPr="00DD1310" w:rsidRDefault="00C34FBE" w:rsidP="00C34FBE">
      <w:pPr>
        <w:spacing w:after="0" w:line="480" w:lineRule="auto"/>
        <w:rPr>
          <w:rFonts w:ascii="Arial" w:hAnsi="Arial" w:cs="Arial"/>
          <w:b/>
          <w:bCs/>
        </w:rPr>
      </w:pPr>
      <w:r w:rsidRPr="00DD1310">
        <w:rPr>
          <w:rFonts w:ascii="Arial" w:hAnsi="Arial" w:cs="Arial"/>
          <w:b/>
          <w:bCs/>
        </w:rPr>
        <w:t>Supplementary Figure S1</w:t>
      </w:r>
    </w:p>
    <w:p w14:paraId="360DC389" w14:textId="77777777" w:rsidR="00C34FBE" w:rsidRPr="00DD1310" w:rsidRDefault="00C34FBE" w:rsidP="00C34FBE">
      <w:pPr>
        <w:spacing w:after="0" w:line="480" w:lineRule="auto"/>
        <w:rPr>
          <w:rFonts w:ascii="Arial" w:hAnsi="Arial" w:cs="Arial"/>
          <w:b/>
          <w:bCs/>
        </w:rPr>
      </w:pPr>
      <w:r w:rsidRPr="00DD1310">
        <w:rPr>
          <w:rFonts w:ascii="Arial" w:hAnsi="Arial" w:cs="Arial"/>
          <w:bCs/>
        </w:rPr>
        <w:t>Individual values for each of the four replicates of serum AMH for each individual patient and at each of the three time points (</w:t>
      </w:r>
      <w:r w:rsidRPr="00DD1310">
        <w:rPr>
          <w:rFonts w:ascii="Arial" w:hAnsi="Arial" w:cs="Arial"/>
          <w:bCs/>
          <w:i/>
        </w:rPr>
        <w:t>n</w:t>
      </w:r>
      <w:r w:rsidRPr="00DD1310">
        <w:rPr>
          <w:rFonts w:ascii="Arial" w:hAnsi="Arial" w:cs="Arial"/>
          <w:bCs/>
        </w:rPr>
        <w:t xml:space="preserve"> = 52); AMH, anti-Müllerian hormone; BL, baseline. </w:t>
      </w:r>
    </w:p>
    <w:p w14:paraId="49132A39" w14:textId="77777777" w:rsidR="00C34FBE" w:rsidRPr="00DD1310" w:rsidRDefault="00C34FBE" w:rsidP="00C34FBE">
      <w:pPr>
        <w:spacing w:line="480" w:lineRule="auto"/>
        <w:rPr>
          <w:noProof/>
          <w:lang w:val="en-GB" w:eastAsia="en-GB"/>
        </w:rPr>
      </w:pPr>
      <w:r w:rsidRPr="00DD1310">
        <w:rPr>
          <w:noProof/>
          <w:lang w:val="en-GB" w:eastAsia="ja-JP"/>
        </w:rPr>
        <w:drawing>
          <wp:inline distT="0" distB="0" distL="0" distR="0" wp14:anchorId="1A7D632F" wp14:editId="5752B972">
            <wp:extent cx="48006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7A32C" w14:textId="77777777" w:rsidR="00C34FBE" w:rsidRPr="00DD1310" w:rsidRDefault="00C34FBE" w:rsidP="00C34FBE">
      <w:pPr>
        <w:spacing w:line="480" w:lineRule="auto"/>
        <w:rPr>
          <w:noProof/>
          <w:lang w:val="en-GB" w:eastAsia="en-GB"/>
        </w:rPr>
      </w:pPr>
    </w:p>
    <w:p w14:paraId="7A4BC059" w14:textId="77777777" w:rsidR="00DA2A0E" w:rsidRPr="00DD1310" w:rsidRDefault="00DA2A0E" w:rsidP="00C34FBE">
      <w:pPr>
        <w:spacing w:after="0" w:line="480" w:lineRule="auto"/>
        <w:rPr>
          <w:noProof/>
          <w:lang w:val="en-GB" w:eastAsia="en-GB"/>
        </w:rPr>
      </w:pPr>
    </w:p>
    <w:p w14:paraId="471F0FCA" w14:textId="77777777" w:rsidR="00DA2A0E" w:rsidRPr="00DD1310" w:rsidRDefault="00DA2A0E">
      <w:pPr>
        <w:spacing w:line="259" w:lineRule="auto"/>
        <w:rPr>
          <w:noProof/>
          <w:lang w:val="en-GB" w:eastAsia="en-GB"/>
        </w:rPr>
      </w:pPr>
    </w:p>
    <w:p w14:paraId="0DADA329" w14:textId="77777777" w:rsidR="00DA2A0E" w:rsidRPr="00DD1310" w:rsidRDefault="00DA2A0E">
      <w:pPr>
        <w:spacing w:line="259" w:lineRule="auto"/>
        <w:rPr>
          <w:noProof/>
          <w:lang w:val="en-GB" w:eastAsia="en-GB"/>
        </w:rPr>
      </w:pPr>
      <w:r w:rsidRPr="00DD1310">
        <w:rPr>
          <w:noProof/>
          <w:lang w:val="en-GB" w:eastAsia="en-GB"/>
        </w:rPr>
        <w:br w:type="page"/>
      </w:r>
    </w:p>
    <w:p w14:paraId="3D719460" w14:textId="77777777" w:rsidR="00AF341C" w:rsidRPr="00AF341C" w:rsidRDefault="00AF341C" w:rsidP="00AF341C">
      <w:pPr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Supplementary Figure S2</w:t>
      </w:r>
    </w:p>
    <w:p w14:paraId="47C0EBEB" w14:textId="7A0E78C0" w:rsidR="00DA2A0E" w:rsidRDefault="00DA2A0E" w:rsidP="00DA2A0E">
      <w:pPr>
        <w:spacing w:after="0" w:line="480" w:lineRule="auto"/>
        <w:rPr>
          <w:rFonts w:ascii="Arial" w:hAnsi="Arial" w:cs="Arial"/>
          <w:bCs/>
        </w:rPr>
      </w:pPr>
      <w:r w:rsidRPr="00DD1310">
        <w:rPr>
          <w:rFonts w:ascii="Arial" w:hAnsi="Arial" w:cs="Arial"/>
          <w:bCs/>
        </w:rPr>
        <w:t>Box plots of serum (a) FSH, (b) LH, (c) estradiol, and (d) progesterone, at baseline (prior to GnRH</w:t>
      </w:r>
      <w:r w:rsidR="00D43D50" w:rsidRPr="00DD1310">
        <w:rPr>
          <w:rFonts w:ascii="Arial" w:hAnsi="Arial" w:cs="Arial"/>
          <w:bCs/>
        </w:rPr>
        <w:t>-</w:t>
      </w:r>
      <w:r w:rsidRPr="00DD1310">
        <w:rPr>
          <w:rFonts w:ascii="Arial" w:hAnsi="Arial" w:cs="Arial"/>
          <w:bCs/>
        </w:rPr>
        <w:t>agonist treatment) and on days 7 and 14 during GnRH</w:t>
      </w:r>
      <w:r w:rsidR="00D43D50" w:rsidRPr="00DD1310">
        <w:rPr>
          <w:rFonts w:ascii="Arial" w:hAnsi="Arial" w:cs="Arial"/>
          <w:bCs/>
        </w:rPr>
        <w:t>-</w:t>
      </w:r>
      <w:r w:rsidRPr="00DD1310">
        <w:rPr>
          <w:rFonts w:ascii="Arial" w:hAnsi="Arial" w:cs="Arial"/>
          <w:bCs/>
        </w:rPr>
        <w:t xml:space="preserve">agonist treatment. Circles represent individual patient data (mean values calculated from the replicate measurements of the four aliquots for each sample at each visit); crosses are the mean value of all patients at each visit; horizontal lines summarize the median and the first and third quartiles (within the box) and 1.5x the interquartile range (whiskers). </w:t>
      </w:r>
      <w:bookmarkStart w:id="0" w:name="_GoBack"/>
      <w:bookmarkEnd w:id="0"/>
      <w:r w:rsidRPr="00DD1310">
        <w:rPr>
          <w:rFonts w:ascii="Arial" w:hAnsi="Arial" w:cs="Arial"/>
          <w:bCs/>
        </w:rPr>
        <w:t>FSH,</w:t>
      </w:r>
      <w:r w:rsidR="00365F1A" w:rsidRPr="00DD1310">
        <w:rPr>
          <w:rFonts w:ascii="Arial" w:hAnsi="Arial" w:cs="Arial"/>
          <w:bCs/>
        </w:rPr>
        <w:t xml:space="preserve"> follicle-stimulating hormone,</w:t>
      </w:r>
      <w:r w:rsidRPr="00DD1310">
        <w:rPr>
          <w:rFonts w:ascii="Arial" w:hAnsi="Arial" w:cs="Arial"/>
          <w:bCs/>
        </w:rPr>
        <w:t xml:space="preserve"> GnRH, gonadotropin-releasing hormone, LH,</w:t>
      </w:r>
      <w:r w:rsidR="00365F1A" w:rsidRPr="00DD1310">
        <w:rPr>
          <w:rFonts w:ascii="Arial" w:hAnsi="Arial" w:cs="Arial"/>
          <w:bCs/>
        </w:rPr>
        <w:t xml:space="preserve"> luteinizing hormone.</w:t>
      </w:r>
    </w:p>
    <w:p w14:paraId="05E1AB34" w14:textId="77777777" w:rsidR="00AF341C" w:rsidRDefault="00AF341C" w:rsidP="00DA2A0E">
      <w:pPr>
        <w:spacing w:after="0" w:line="480" w:lineRule="auto"/>
        <w:rPr>
          <w:rFonts w:ascii="Arial" w:hAnsi="Arial" w:cs="Arial"/>
          <w:bCs/>
        </w:rPr>
      </w:pPr>
    </w:p>
    <w:p w14:paraId="0AA36BB5" w14:textId="7D48503E" w:rsidR="00DA2A0E" w:rsidRPr="00DD1310" w:rsidRDefault="005836EC">
      <w:pPr>
        <w:spacing w:line="259" w:lineRule="auto"/>
        <w:rPr>
          <w:rFonts w:ascii="Arial" w:hAnsi="Arial" w:cs="Arial"/>
          <w:b/>
          <w:bCs/>
        </w:rPr>
      </w:pPr>
      <w:r w:rsidRPr="00DD1310">
        <w:rPr>
          <w:noProof/>
          <w:lang w:val="en-GB" w:eastAsia="ja-JP"/>
        </w:rPr>
        <w:drawing>
          <wp:inline distT="0" distB="0" distL="0" distR="0" wp14:anchorId="5A3B4D2A" wp14:editId="276A912B">
            <wp:extent cx="5731510" cy="455866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5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1310">
        <w:rPr>
          <w:rFonts w:ascii="Arial" w:hAnsi="Arial" w:cs="Arial"/>
          <w:b/>
          <w:bCs/>
        </w:rPr>
        <w:t xml:space="preserve"> </w:t>
      </w:r>
      <w:r w:rsidR="00DA2A0E" w:rsidRPr="00DD1310">
        <w:rPr>
          <w:rFonts w:ascii="Arial" w:hAnsi="Arial" w:cs="Arial"/>
          <w:b/>
          <w:bCs/>
        </w:rPr>
        <w:br w:type="page"/>
      </w:r>
    </w:p>
    <w:p w14:paraId="3A67B095" w14:textId="77777777" w:rsidR="00C34FBE" w:rsidRPr="00DD1310" w:rsidRDefault="00C34FBE" w:rsidP="00C34FBE">
      <w:pPr>
        <w:spacing w:after="0" w:line="480" w:lineRule="auto"/>
        <w:rPr>
          <w:rFonts w:ascii="Arial" w:hAnsi="Arial" w:cs="Arial"/>
          <w:b/>
          <w:bCs/>
        </w:rPr>
        <w:sectPr w:rsidR="00C34FBE" w:rsidRPr="00DD1310">
          <w:pgSz w:w="11906" w:h="16838"/>
          <w:pgMar w:top="1440" w:right="1440" w:bottom="1440" w:left="1440" w:header="708" w:footer="708" w:gutter="0"/>
          <w:cols w:space="720"/>
        </w:sectPr>
      </w:pPr>
    </w:p>
    <w:p w14:paraId="36EE15F4" w14:textId="77777777" w:rsidR="00C34FBE" w:rsidRPr="00DD1310" w:rsidRDefault="00852B26" w:rsidP="00C34FBE">
      <w:pPr>
        <w:spacing w:line="480" w:lineRule="auto"/>
        <w:rPr>
          <w:rFonts w:ascii="Arial" w:hAnsi="Arial" w:cs="Arial"/>
          <w:b/>
          <w:bCs/>
        </w:rPr>
      </w:pPr>
      <w:r w:rsidRPr="00DD1310">
        <w:rPr>
          <w:rFonts w:ascii="Arial" w:hAnsi="Arial" w:cs="Arial"/>
          <w:b/>
          <w:bCs/>
        </w:rPr>
        <w:lastRenderedPageBreak/>
        <w:t>Supplementary Table S1</w:t>
      </w:r>
    </w:p>
    <w:p w14:paraId="66CCF29A" w14:textId="6BB9A4EE" w:rsidR="00C34FBE" w:rsidRPr="00DD1310" w:rsidRDefault="00C34FBE" w:rsidP="00C34FBE">
      <w:pPr>
        <w:spacing w:after="0" w:line="480" w:lineRule="auto"/>
        <w:rPr>
          <w:rFonts w:ascii="Arial" w:hAnsi="Arial" w:cs="Arial"/>
          <w:bCs/>
        </w:rPr>
      </w:pPr>
      <w:r w:rsidRPr="00DD1310">
        <w:rPr>
          <w:rFonts w:ascii="Arial" w:hAnsi="Arial" w:cs="Arial"/>
          <w:bCs/>
        </w:rPr>
        <w:t>Mean ± SD and minimum–maximum serum levels of AMH, FSH, LH, estradiol, and progesterone at baseline (prior to GnRH-agonist treatment) and on days 7 and 14 during GnRH-agonist treatment.</w:t>
      </w:r>
    </w:p>
    <w:p w14:paraId="5F83EA4A" w14:textId="77777777" w:rsidR="00C34FBE" w:rsidRPr="00DD1310" w:rsidRDefault="00C34FBE" w:rsidP="00C34FBE">
      <w:pPr>
        <w:spacing w:after="0" w:line="480" w:lineRule="auto"/>
        <w:rPr>
          <w:rFonts w:ascii="Arial" w:hAnsi="Arial" w:cs="Arial"/>
          <w:bCs/>
        </w:rPr>
      </w:pPr>
    </w:p>
    <w:tbl>
      <w:tblPr>
        <w:tblW w:w="12474" w:type="dxa"/>
        <w:tblLook w:val="04A0" w:firstRow="1" w:lastRow="0" w:firstColumn="1" w:lastColumn="0" w:noHBand="0" w:noVBand="1"/>
      </w:tblPr>
      <w:tblGrid>
        <w:gridCol w:w="4491"/>
        <w:gridCol w:w="2661"/>
        <w:gridCol w:w="2661"/>
        <w:gridCol w:w="2661"/>
      </w:tblGrid>
      <w:tr w:rsidR="00C34FBE" w:rsidRPr="00DD1310" w14:paraId="2B2DC3DA" w14:textId="77777777" w:rsidTr="00C34FBE"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C00BBF" w14:textId="77777777" w:rsidR="00C34FBE" w:rsidRPr="00DD1310" w:rsidRDefault="00C34FBE">
            <w:pPr>
              <w:spacing w:before="79" w:after="105" w:line="480" w:lineRule="auto"/>
              <w:rPr>
                <w:rFonts w:ascii="Arial" w:hAnsi="Arial" w:cs="Arial"/>
                <w:b/>
              </w:rPr>
            </w:pPr>
            <w:r w:rsidRPr="00DD1310">
              <w:rPr>
                <w:rFonts w:ascii="Arial" w:hAnsi="Arial" w:cs="Arial"/>
                <w:b/>
              </w:rPr>
              <w:t>Hormone</w:t>
            </w:r>
            <w:r w:rsidRPr="00DD1310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8F89AE" w14:textId="77777777" w:rsidR="00C34FBE" w:rsidRPr="00DD1310" w:rsidRDefault="00C34FBE">
            <w:pPr>
              <w:spacing w:before="79" w:after="105" w:line="480" w:lineRule="auto"/>
              <w:jc w:val="center"/>
              <w:rPr>
                <w:rFonts w:ascii="Arial" w:hAnsi="Arial" w:cs="Arial"/>
                <w:b/>
              </w:rPr>
            </w:pPr>
            <w:r w:rsidRPr="00DD1310">
              <w:rPr>
                <w:rFonts w:ascii="Arial" w:hAnsi="Arial" w:cs="Arial"/>
                <w:b/>
              </w:rPr>
              <w:t>Baseline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A1DC9C" w14:textId="77777777" w:rsidR="00C34FBE" w:rsidRPr="00DD1310" w:rsidRDefault="00C34FBE">
            <w:pPr>
              <w:spacing w:before="79" w:after="105" w:line="480" w:lineRule="auto"/>
              <w:jc w:val="center"/>
              <w:rPr>
                <w:rFonts w:ascii="Arial" w:hAnsi="Arial" w:cs="Arial"/>
                <w:b/>
              </w:rPr>
            </w:pPr>
            <w:r w:rsidRPr="00DD1310">
              <w:rPr>
                <w:rFonts w:ascii="Arial" w:hAnsi="Arial" w:cs="Arial"/>
                <w:b/>
              </w:rPr>
              <w:t>Day 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1992503" w14:textId="77777777" w:rsidR="00C34FBE" w:rsidRPr="00DD1310" w:rsidRDefault="00C34FBE">
            <w:pPr>
              <w:spacing w:before="79" w:after="105" w:line="480" w:lineRule="auto"/>
              <w:jc w:val="center"/>
              <w:rPr>
                <w:rFonts w:ascii="Arial" w:hAnsi="Arial" w:cs="Arial"/>
                <w:b/>
              </w:rPr>
            </w:pPr>
            <w:r w:rsidRPr="00DD1310">
              <w:rPr>
                <w:rFonts w:ascii="Arial" w:hAnsi="Arial" w:cs="Arial"/>
                <w:b/>
              </w:rPr>
              <w:t>Day 14</w:t>
            </w:r>
          </w:p>
        </w:tc>
      </w:tr>
      <w:tr w:rsidR="00C34FBE" w:rsidRPr="00DD1310" w14:paraId="4B8237F3" w14:textId="77777777" w:rsidTr="00C34FBE">
        <w:tc>
          <w:tcPr>
            <w:tcW w:w="4491" w:type="dxa"/>
            <w:hideMark/>
          </w:tcPr>
          <w:p w14:paraId="15BF3AEB" w14:textId="77777777" w:rsidR="00C34FBE" w:rsidRPr="00DD1310" w:rsidRDefault="00C34FBE">
            <w:pPr>
              <w:spacing w:before="79" w:after="105" w:line="480" w:lineRule="auto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AMH, ng/mL</w:t>
            </w:r>
          </w:p>
        </w:tc>
        <w:tc>
          <w:tcPr>
            <w:tcW w:w="2661" w:type="dxa"/>
            <w:hideMark/>
          </w:tcPr>
          <w:p w14:paraId="6444101A" w14:textId="77777777" w:rsidR="00C34FBE" w:rsidRPr="00DD1310" w:rsidRDefault="00C34FBE">
            <w:pPr>
              <w:spacing w:before="79" w:after="105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 xml:space="preserve">1.65 </w:t>
            </w:r>
            <w:r w:rsidRPr="00DD1310">
              <w:rPr>
                <w:rFonts w:ascii="Arial" w:hAnsi="Arial" w:cs="Arial"/>
                <w:bCs/>
              </w:rPr>
              <w:t>±</w:t>
            </w:r>
            <w:r w:rsidRPr="00DD1310">
              <w:rPr>
                <w:rFonts w:ascii="Arial" w:hAnsi="Arial" w:cs="Arial"/>
              </w:rPr>
              <w:t xml:space="preserve"> 0.811</w:t>
            </w:r>
            <w:r w:rsidRPr="00DD1310">
              <w:rPr>
                <w:rFonts w:ascii="Arial" w:hAnsi="Arial" w:cs="Arial"/>
              </w:rPr>
              <w:br/>
              <w:t>0.340–3.73</w:t>
            </w:r>
          </w:p>
        </w:tc>
        <w:tc>
          <w:tcPr>
            <w:tcW w:w="2661" w:type="dxa"/>
            <w:hideMark/>
          </w:tcPr>
          <w:p w14:paraId="222AA145" w14:textId="77777777" w:rsidR="00C34FBE" w:rsidRPr="00DD1310" w:rsidRDefault="00C34FBE">
            <w:pPr>
              <w:spacing w:before="79" w:after="105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 xml:space="preserve">1.39 </w:t>
            </w:r>
            <w:r w:rsidRPr="00DD1310">
              <w:rPr>
                <w:rFonts w:ascii="Arial" w:hAnsi="Arial" w:cs="Arial"/>
                <w:bCs/>
              </w:rPr>
              <w:t>±</w:t>
            </w:r>
            <w:r w:rsidRPr="00DD1310">
              <w:rPr>
                <w:rFonts w:ascii="Arial" w:hAnsi="Arial" w:cs="Arial"/>
              </w:rPr>
              <w:t xml:space="preserve"> 0.700 </w:t>
            </w:r>
            <w:r w:rsidRPr="00DD1310">
              <w:rPr>
                <w:rFonts w:ascii="Arial" w:hAnsi="Arial" w:cs="Arial"/>
              </w:rPr>
              <w:br/>
              <w:t>0.363–3.74</w:t>
            </w:r>
          </w:p>
        </w:tc>
        <w:tc>
          <w:tcPr>
            <w:tcW w:w="2661" w:type="dxa"/>
            <w:hideMark/>
          </w:tcPr>
          <w:p w14:paraId="58799627" w14:textId="77777777" w:rsidR="00C34FBE" w:rsidRPr="00DD1310" w:rsidRDefault="00C34FBE">
            <w:pPr>
              <w:spacing w:before="79" w:after="105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 xml:space="preserve">1.94 </w:t>
            </w:r>
            <w:r w:rsidRPr="00DD1310">
              <w:rPr>
                <w:rFonts w:ascii="Arial" w:hAnsi="Arial" w:cs="Arial"/>
                <w:bCs/>
              </w:rPr>
              <w:t>±</w:t>
            </w:r>
            <w:r w:rsidRPr="00DD1310">
              <w:rPr>
                <w:rFonts w:ascii="Arial" w:hAnsi="Arial" w:cs="Arial"/>
              </w:rPr>
              <w:t xml:space="preserve"> 0.865 </w:t>
            </w:r>
            <w:r w:rsidRPr="00DD1310">
              <w:rPr>
                <w:rFonts w:ascii="Arial" w:hAnsi="Arial" w:cs="Arial"/>
              </w:rPr>
              <w:br/>
              <w:t>0.585–4.45</w:t>
            </w:r>
          </w:p>
        </w:tc>
      </w:tr>
      <w:tr w:rsidR="00C34FBE" w:rsidRPr="00DD1310" w14:paraId="7DD792EF" w14:textId="77777777" w:rsidTr="00C34FBE">
        <w:tc>
          <w:tcPr>
            <w:tcW w:w="4491" w:type="dxa"/>
            <w:hideMark/>
          </w:tcPr>
          <w:p w14:paraId="5DA940B0" w14:textId="77777777" w:rsidR="00C34FBE" w:rsidRPr="00DD1310" w:rsidRDefault="00C34FBE">
            <w:pPr>
              <w:spacing w:before="79" w:after="105" w:line="480" w:lineRule="auto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AMH, pmol/L</w:t>
            </w:r>
          </w:p>
        </w:tc>
        <w:tc>
          <w:tcPr>
            <w:tcW w:w="2661" w:type="dxa"/>
            <w:hideMark/>
          </w:tcPr>
          <w:p w14:paraId="412390DB" w14:textId="77777777" w:rsidR="00C34FBE" w:rsidRPr="00DD1310" w:rsidRDefault="00C34FBE">
            <w:pPr>
              <w:spacing w:before="79" w:after="105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 xml:space="preserve">11.8 </w:t>
            </w:r>
            <w:r w:rsidRPr="00DD1310">
              <w:rPr>
                <w:rFonts w:ascii="Arial" w:hAnsi="Arial" w:cs="Arial"/>
                <w:bCs/>
              </w:rPr>
              <w:t>±</w:t>
            </w:r>
            <w:r w:rsidRPr="00DD1310">
              <w:rPr>
                <w:rFonts w:ascii="Arial" w:hAnsi="Arial" w:cs="Arial"/>
              </w:rPr>
              <w:t xml:space="preserve"> 5.79</w:t>
            </w:r>
            <w:r w:rsidRPr="00DD1310">
              <w:rPr>
                <w:rFonts w:ascii="Arial" w:hAnsi="Arial" w:cs="Arial"/>
              </w:rPr>
              <w:br/>
              <w:t>2.43–26.6</w:t>
            </w:r>
          </w:p>
        </w:tc>
        <w:tc>
          <w:tcPr>
            <w:tcW w:w="2661" w:type="dxa"/>
            <w:hideMark/>
          </w:tcPr>
          <w:p w14:paraId="0C78F123" w14:textId="77777777" w:rsidR="00C34FBE" w:rsidRPr="00DD1310" w:rsidRDefault="00C34FBE">
            <w:pPr>
              <w:spacing w:before="79" w:after="105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 xml:space="preserve">9.92 </w:t>
            </w:r>
            <w:r w:rsidRPr="00DD1310">
              <w:rPr>
                <w:rFonts w:ascii="Arial" w:hAnsi="Arial" w:cs="Arial"/>
                <w:bCs/>
              </w:rPr>
              <w:t>±</w:t>
            </w:r>
            <w:r w:rsidRPr="00DD1310">
              <w:rPr>
                <w:rFonts w:ascii="Arial" w:hAnsi="Arial" w:cs="Arial"/>
              </w:rPr>
              <w:t xml:space="preserve"> 5.00 </w:t>
            </w:r>
            <w:r w:rsidRPr="00DD1310">
              <w:rPr>
                <w:rFonts w:ascii="Arial" w:hAnsi="Arial" w:cs="Arial"/>
              </w:rPr>
              <w:br/>
              <w:t>2.59–26.7</w:t>
            </w:r>
          </w:p>
        </w:tc>
        <w:tc>
          <w:tcPr>
            <w:tcW w:w="2661" w:type="dxa"/>
            <w:hideMark/>
          </w:tcPr>
          <w:p w14:paraId="16C77B72" w14:textId="77777777" w:rsidR="00C34FBE" w:rsidRPr="00DD1310" w:rsidRDefault="00C34FBE">
            <w:pPr>
              <w:spacing w:before="79" w:after="105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 xml:space="preserve">13.9 </w:t>
            </w:r>
            <w:r w:rsidRPr="00DD1310">
              <w:rPr>
                <w:rFonts w:ascii="Arial" w:hAnsi="Arial" w:cs="Arial"/>
                <w:bCs/>
              </w:rPr>
              <w:t>±</w:t>
            </w:r>
            <w:r w:rsidRPr="00DD1310">
              <w:rPr>
                <w:rFonts w:ascii="Arial" w:hAnsi="Arial" w:cs="Arial"/>
              </w:rPr>
              <w:t xml:space="preserve"> 6.18 </w:t>
            </w:r>
            <w:r w:rsidRPr="00DD1310">
              <w:rPr>
                <w:rFonts w:ascii="Arial" w:hAnsi="Arial" w:cs="Arial"/>
              </w:rPr>
              <w:br/>
              <w:t>4.18–31.7</w:t>
            </w:r>
          </w:p>
        </w:tc>
      </w:tr>
      <w:tr w:rsidR="00C34FBE" w:rsidRPr="00DD1310" w14:paraId="165A0C83" w14:textId="77777777" w:rsidTr="00C34FBE">
        <w:tc>
          <w:tcPr>
            <w:tcW w:w="4491" w:type="dxa"/>
            <w:shd w:val="clear" w:color="auto" w:fill="FFFFFF"/>
            <w:hideMark/>
          </w:tcPr>
          <w:p w14:paraId="522CE8D0" w14:textId="77777777" w:rsidR="00C34FBE" w:rsidRPr="00DD1310" w:rsidRDefault="00C34FBE">
            <w:pPr>
              <w:spacing w:after="105" w:line="480" w:lineRule="auto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FSH, IU/L</w:t>
            </w:r>
          </w:p>
        </w:tc>
        <w:tc>
          <w:tcPr>
            <w:tcW w:w="2661" w:type="dxa"/>
            <w:shd w:val="clear" w:color="auto" w:fill="FFFFFF"/>
            <w:hideMark/>
          </w:tcPr>
          <w:p w14:paraId="1FEC557F" w14:textId="77777777" w:rsidR="00C34FBE" w:rsidRPr="00DD1310" w:rsidRDefault="00C34FBE">
            <w:pPr>
              <w:spacing w:after="105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 xml:space="preserve">4.22 </w:t>
            </w:r>
            <w:r w:rsidRPr="00DD1310">
              <w:rPr>
                <w:rFonts w:ascii="Arial" w:hAnsi="Arial" w:cs="Arial"/>
                <w:bCs/>
              </w:rPr>
              <w:t>±</w:t>
            </w:r>
            <w:r w:rsidRPr="00DD1310">
              <w:rPr>
                <w:rFonts w:ascii="Arial" w:hAnsi="Arial" w:cs="Arial"/>
              </w:rPr>
              <w:t xml:space="preserve"> 1.77</w:t>
            </w:r>
            <w:r w:rsidRPr="00DD1310">
              <w:rPr>
                <w:rFonts w:ascii="Arial" w:hAnsi="Arial" w:cs="Arial"/>
              </w:rPr>
              <w:br/>
              <w:t>0.319–9.25</w:t>
            </w:r>
          </w:p>
        </w:tc>
        <w:tc>
          <w:tcPr>
            <w:tcW w:w="2661" w:type="dxa"/>
            <w:shd w:val="clear" w:color="auto" w:fill="FFFFFF"/>
            <w:hideMark/>
          </w:tcPr>
          <w:p w14:paraId="4898AC1F" w14:textId="77777777" w:rsidR="00C34FBE" w:rsidRPr="00DD1310" w:rsidRDefault="00C34FBE">
            <w:pPr>
              <w:spacing w:after="105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 xml:space="preserve">3.72 </w:t>
            </w:r>
            <w:r w:rsidRPr="00DD1310">
              <w:rPr>
                <w:rFonts w:ascii="Arial" w:hAnsi="Arial" w:cs="Arial"/>
                <w:bCs/>
              </w:rPr>
              <w:t>±</w:t>
            </w:r>
            <w:r w:rsidRPr="00DD1310">
              <w:rPr>
                <w:rFonts w:ascii="Arial" w:hAnsi="Arial" w:cs="Arial"/>
              </w:rPr>
              <w:t xml:space="preserve"> 1.58</w:t>
            </w:r>
            <w:r w:rsidRPr="00DD1310">
              <w:rPr>
                <w:rFonts w:ascii="Arial" w:hAnsi="Arial" w:cs="Arial"/>
              </w:rPr>
              <w:br/>
              <w:t>1.17–8.91</w:t>
            </w:r>
          </w:p>
        </w:tc>
        <w:tc>
          <w:tcPr>
            <w:tcW w:w="2661" w:type="dxa"/>
            <w:shd w:val="clear" w:color="auto" w:fill="FFFFFF"/>
            <w:hideMark/>
          </w:tcPr>
          <w:p w14:paraId="241009F0" w14:textId="77777777" w:rsidR="00C34FBE" w:rsidRPr="00DD1310" w:rsidRDefault="00C34FBE">
            <w:pPr>
              <w:spacing w:after="105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 xml:space="preserve">4.05 </w:t>
            </w:r>
            <w:r w:rsidRPr="00DD1310">
              <w:rPr>
                <w:rFonts w:ascii="Arial" w:hAnsi="Arial" w:cs="Arial"/>
                <w:bCs/>
              </w:rPr>
              <w:t>±</w:t>
            </w:r>
            <w:r w:rsidRPr="00DD1310">
              <w:rPr>
                <w:rFonts w:ascii="Arial" w:hAnsi="Arial" w:cs="Arial"/>
              </w:rPr>
              <w:t xml:space="preserve"> 1.67</w:t>
            </w:r>
            <w:r w:rsidRPr="00DD1310">
              <w:rPr>
                <w:rFonts w:ascii="Arial" w:hAnsi="Arial" w:cs="Arial"/>
              </w:rPr>
              <w:br/>
              <w:t>1.92–8.72</w:t>
            </w:r>
          </w:p>
        </w:tc>
      </w:tr>
      <w:tr w:rsidR="00C34FBE" w:rsidRPr="00DD1310" w14:paraId="0BF64C5F" w14:textId="77777777" w:rsidTr="00C34FBE">
        <w:tc>
          <w:tcPr>
            <w:tcW w:w="4491" w:type="dxa"/>
            <w:hideMark/>
          </w:tcPr>
          <w:p w14:paraId="179ECCA4" w14:textId="77777777" w:rsidR="00C34FBE" w:rsidRPr="00DD1310" w:rsidRDefault="00C34FBE">
            <w:pPr>
              <w:spacing w:after="105" w:line="480" w:lineRule="auto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LH, IU/L</w:t>
            </w:r>
          </w:p>
        </w:tc>
        <w:tc>
          <w:tcPr>
            <w:tcW w:w="2661" w:type="dxa"/>
            <w:hideMark/>
          </w:tcPr>
          <w:p w14:paraId="421D7B42" w14:textId="77777777" w:rsidR="00C34FBE" w:rsidRPr="00DD1310" w:rsidRDefault="00C34FBE">
            <w:pPr>
              <w:spacing w:after="105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 xml:space="preserve">6.72 </w:t>
            </w:r>
            <w:r w:rsidRPr="00DD1310">
              <w:rPr>
                <w:rFonts w:ascii="Arial" w:hAnsi="Arial" w:cs="Arial"/>
                <w:bCs/>
              </w:rPr>
              <w:t>±</w:t>
            </w:r>
            <w:r w:rsidRPr="00DD1310">
              <w:rPr>
                <w:rFonts w:ascii="Arial" w:hAnsi="Arial" w:cs="Arial"/>
              </w:rPr>
              <w:t xml:space="preserve"> 3.66</w:t>
            </w:r>
            <w:r w:rsidRPr="00DD1310">
              <w:rPr>
                <w:rFonts w:ascii="Arial" w:hAnsi="Arial" w:cs="Arial"/>
              </w:rPr>
              <w:br/>
              <w:t>0.100–14.8</w:t>
            </w:r>
          </w:p>
        </w:tc>
        <w:tc>
          <w:tcPr>
            <w:tcW w:w="2661" w:type="dxa"/>
            <w:hideMark/>
          </w:tcPr>
          <w:p w14:paraId="000E57FD" w14:textId="77777777" w:rsidR="00C34FBE" w:rsidRPr="00DD1310" w:rsidRDefault="00C34FBE">
            <w:pPr>
              <w:spacing w:after="105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 xml:space="preserve">6.17 </w:t>
            </w:r>
            <w:r w:rsidRPr="00DD1310">
              <w:rPr>
                <w:rFonts w:ascii="Arial" w:hAnsi="Arial" w:cs="Arial"/>
                <w:bCs/>
              </w:rPr>
              <w:t>±</w:t>
            </w:r>
            <w:r w:rsidRPr="00DD1310">
              <w:rPr>
                <w:rFonts w:ascii="Arial" w:hAnsi="Arial" w:cs="Arial"/>
              </w:rPr>
              <w:t xml:space="preserve"> 3.00</w:t>
            </w:r>
            <w:r w:rsidRPr="00DD1310">
              <w:rPr>
                <w:rFonts w:ascii="Arial" w:hAnsi="Arial" w:cs="Arial"/>
              </w:rPr>
              <w:br/>
              <w:t>1.85–13.5</w:t>
            </w:r>
          </w:p>
        </w:tc>
        <w:tc>
          <w:tcPr>
            <w:tcW w:w="2661" w:type="dxa"/>
            <w:hideMark/>
          </w:tcPr>
          <w:p w14:paraId="4152438D" w14:textId="77777777" w:rsidR="00C34FBE" w:rsidRPr="00DD1310" w:rsidRDefault="00C34FBE">
            <w:pPr>
              <w:spacing w:after="105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 xml:space="preserve">3.70 </w:t>
            </w:r>
            <w:r w:rsidRPr="00DD1310">
              <w:rPr>
                <w:rFonts w:ascii="Arial" w:hAnsi="Arial" w:cs="Arial"/>
                <w:bCs/>
              </w:rPr>
              <w:t>±</w:t>
            </w:r>
            <w:r w:rsidRPr="00DD1310">
              <w:rPr>
                <w:rFonts w:ascii="Arial" w:hAnsi="Arial" w:cs="Arial"/>
              </w:rPr>
              <w:t xml:space="preserve"> 1.92</w:t>
            </w:r>
            <w:r w:rsidRPr="00DD1310">
              <w:rPr>
                <w:rFonts w:ascii="Arial" w:hAnsi="Arial" w:cs="Arial"/>
              </w:rPr>
              <w:br/>
              <w:t>1.06–9.92</w:t>
            </w:r>
          </w:p>
        </w:tc>
      </w:tr>
      <w:tr w:rsidR="00C34FBE" w:rsidRPr="00DD1310" w14:paraId="66F96661" w14:textId="77777777" w:rsidTr="00C34FBE">
        <w:tc>
          <w:tcPr>
            <w:tcW w:w="4491" w:type="dxa"/>
            <w:hideMark/>
          </w:tcPr>
          <w:p w14:paraId="02DC98F4" w14:textId="77777777" w:rsidR="00C34FBE" w:rsidRPr="00DD1310" w:rsidRDefault="00C34FBE">
            <w:pPr>
              <w:spacing w:after="105" w:line="480" w:lineRule="auto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Estradiol, pg/mL</w:t>
            </w:r>
          </w:p>
        </w:tc>
        <w:tc>
          <w:tcPr>
            <w:tcW w:w="2661" w:type="dxa"/>
            <w:hideMark/>
          </w:tcPr>
          <w:p w14:paraId="63E48435" w14:textId="77777777" w:rsidR="00C34FBE" w:rsidRPr="00DD1310" w:rsidRDefault="00C34FBE">
            <w:pPr>
              <w:spacing w:after="105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 xml:space="preserve">142 </w:t>
            </w:r>
            <w:r w:rsidRPr="00DD1310">
              <w:rPr>
                <w:rFonts w:ascii="Arial" w:hAnsi="Arial" w:cs="Arial"/>
                <w:bCs/>
              </w:rPr>
              <w:t>±</w:t>
            </w:r>
            <w:r w:rsidRPr="00DD1310">
              <w:rPr>
                <w:rFonts w:ascii="Arial" w:hAnsi="Arial" w:cs="Arial"/>
              </w:rPr>
              <w:t xml:space="preserve"> 87.9</w:t>
            </w:r>
            <w:r w:rsidRPr="00DD1310">
              <w:rPr>
                <w:rFonts w:ascii="Arial" w:hAnsi="Arial" w:cs="Arial"/>
              </w:rPr>
              <w:br/>
              <w:t>5.00–410</w:t>
            </w:r>
          </w:p>
        </w:tc>
        <w:tc>
          <w:tcPr>
            <w:tcW w:w="2661" w:type="dxa"/>
            <w:hideMark/>
          </w:tcPr>
          <w:p w14:paraId="50B0CE9B" w14:textId="77777777" w:rsidR="00C34FBE" w:rsidRPr="00DD1310" w:rsidRDefault="00C34FBE">
            <w:pPr>
              <w:spacing w:after="105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 xml:space="preserve">125 </w:t>
            </w:r>
            <w:r w:rsidRPr="00DD1310">
              <w:rPr>
                <w:rFonts w:ascii="Arial" w:hAnsi="Arial" w:cs="Arial"/>
                <w:bCs/>
              </w:rPr>
              <w:t>±</w:t>
            </w:r>
            <w:r w:rsidRPr="00DD1310">
              <w:rPr>
                <w:rFonts w:ascii="Arial" w:hAnsi="Arial" w:cs="Arial"/>
              </w:rPr>
              <w:t xml:space="preserve"> 127</w:t>
            </w:r>
            <w:r w:rsidRPr="00DD1310">
              <w:rPr>
                <w:rFonts w:ascii="Arial" w:hAnsi="Arial" w:cs="Arial"/>
              </w:rPr>
              <w:br/>
              <w:t>5.00–551</w:t>
            </w:r>
          </w:p>
        </w:tc>
        <w:tc>
          <w:tcPr>
            <w:tcW w:w="2661" w:type="dxa"/>
            <w:hideMark/>
          </w:tcPr>
          <w:p w14:paraId="29F2E9A0" w14:textId="77777777" w:rsidR="00C34FBE" w:rsidRPr="00DD1310" w:rsidRDefault="00C34FBE">
            <w:pPr>
              <w:spacing w:after="105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 xml:space="preserve">10.6 </w:t>
            </w:r>
            <w:r w:rsidRPr="00DD1310">
              <w:rPr>
                <w:rFonts w:ascii="Arial" w:hAnsi="Arial" w:cs="Arial"/>
                <w:bCs/>
              </w:rPr>
              <w:t>±</w:t>
            </w:r>
            <w:r w:rsidRPr="00DD1310">
              <w:rPr>
                <w:rFonts w:ascii="Arial" w:hAnsi="Arial" w:cs="Arial"/>
              </w:rPr>
              <w:t xml:space="preserve"> 18.0</w:t>
            </w:r>
            <w:r w:rsidRPr="00DD1310">
              <w:rPr>
                <w:rFonts w:ascii="Arial" w:hAnsi="Arial" w:cs="Arial"/>
              </w:rPr>
              <w:br/>
              <w:t>5.00–129</w:t>
            </w:r>
          </w:p>
        </w:tc>
      </w:tr>
      <w:tr w:rsidR="00C34FBE" w:rsidRPr="00DD1310" w14:paraId="32F784E0" w14:textId="77777777" w:rsidTr="00C34FBE"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D98D7B" w14:textId="77777777" w:rsidR="00C34FBE" w:rsidRPr="00DD1310" w:rsidRDefault="00C34FBE">
            <w:pPr>
              <w:spacing w:after="105" w:line="480" w:lineRule="auto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lastRenderedPageBreak/>
              <w:t>Progesterone, nmol/L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154CED" w14:textId="77777777" w:rsidR="00C34FBE" w:rsidRPr="00DD1310" w:rsidRDefault="00C34FBE">
            <w:pPr>
              <w:spacing w:after="105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 xml:space="preserve">12.9 </w:t>
            </w:r>
            <w:r w:rsidRPr="00DD1310">
              <w:rPr>
                <w:rFonts w:ascii="Arial" w:hAnsi="Arial" w:cs="Arial"/>
                <w:bCs/>
              </w:rPr>
              <w:t>±</w:t>
            </w:r>
            <w:r w:rsidRPr="00DD1310">
              <w:rPr>
                <w:rFonts w:ascii="Arial" w:hAnsi="Arial" w:cs="Arial"/>
              </w:rPr>
              <w:t xml:space="preserve"> 7.35</w:t>
            </w:r>
            <w:r w:rsidRPr="00DD1310">
              <w:rPr>
                <w:rFonts w:ascii="Arial" w:hAnsi="Arial" w:cs="Arial"/>
              </w:rPr>
              <w:br/>
              <w:t>0.569–32.1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34DE23" w14:textId="77777777" w:rsidR="00C34FBE" w:rsidRPr="00DD1310" w:rsidRDefault="00C34FBE">
            <w:pPr>
              <w:spacing w:after="105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 xml:space="preserve">8.90 </w:t>
            </w:r>
            <w:r w:rsidRPr="00DD1310">
              <w:rPr>
                <w:rFonts w:ascii="Arial" w:hAnsi="Arial" w:cs="Arial"/>
                <w:bCs/>
              </w:rPr>
              <w:t>±</w:t>
            </w:r>
            <w:r w:rsidRPr="00DD1310">
              <w:rPr>
                <w:rFonts w:ascii="Arial" w:hAnsi="Arial" w:cs="Arial"/>
              </w:rPr>
              <w:t xml:space="preserve"> 10.1</w:t>
            </w:r>
            <w:r w:rsidRPr="00DD1310">
              <w:rPr>
                <w:rFonts w:ascii="Arial" w:hAnsi="Arial" w:cs="Arial"/>
              </w:rPr>
              <w:br/>
              <w:t>0.224–38.2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3ACDD6" w14:textId="77777777" w:rsidR="00C34FBE" w:rsidRPr="00DD1310" w:rsidRDefault="00C34FBE">
            <w:pPr>
              <w:spacing w:after="105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 xml:space="preserve">0.613 </w:t>
            </w:r>
            <w:r w:rsidRPr="00DD1310">
              <w:rPr>
                <w:rFonts w:ascii="Arial" w:hAnsi="Arial" w:cs="Arial"/>
                <w:bCs/>
              </w:rPr>
              <w:t>±</w:t>
            </w:r>
            <w:r w:rsidRPr="00DD1310">
              <w:rPr>
                <w:rFonts w:ascii="Arial" w:hAnsi="Arial" w:cs="Arial"/>
              </w:rPr>
              <w:t xml:space="preserve"> 0.914</w:t>
            </w:r>
            <w:r w:rsidRPr="00DD1310">
              <w:rPr>
                <w:rFonts w:ascii="Arial" w:hAnsi="Arial" w:cs="Arial"/>
              </w:rPr>
              <w:br/>
              <w:t>0.089–6.67</w:t>
            </w:r>
          </w:p>
        </w:tc>
      </w:tr>
    </w:tbl>
    <w:p w14:paraId="5CB1620F" w14:textId="77777777" w:rsidR="00C34FBE" w:rsidRPr="00DD1310" w:rsidRDefault="00C34FBE" w:rsidP="00C34FBE">
      <w:pPr>
        <w:spacing w:after="0" w:line="480" w:lineRule="auto"/>
        <w:rPr>
          <w:rFonts w:ascii="Arial" w:hAnsi="Arial" w:cs="Arial"/>
          <w:bCs/>
          <w:sz w:val="20"/>
          <w:szCs w:val="20"/>
        </w:rPr>
      </w:pPr>
    </w:p>
    <w:p w14:paraId="1C0BCDBE" w14:textId="77777777" w:rsidR="00C34FBE" w:rsidRPr="00DD1310" w:rsidRDefault="00C34FBE" w:rsidP="00C34FBE">
      <w:pPr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DD1310">
        <w:rPr>
          <w:rFonts w:ascii="Arial" w:hAnsi="Arial" w:cs="Arial"/>
          <w:bCs/>
          <w:sz w:val="20"/>
          <w:szCs w:val="20"/>
          <w:vertAlign w:val="superscript"/>
        </w:rPr>
        <w:t>a</w:t>
      </w:r>
      <w:r w:rsidRPr="00DD1310">
        <w:rPr>
          <w:rFonts w:ascii="Arial" w:hAnsi="Arial" w:cs="Arial"/>
          <w:bCs/>
          <w:sz w:val="20"/>
          <w:szCs w:val="20"/>
        </w:rPr>
        <w:t xml:space="preserve"> Values are mean ± SD and minimum–maximum values and </w:t>
      </w:r>
      <w:r w:rsidRPr="00DD1310">
        <w:rPr>
          <w:rFonts w:ascii="Arial" w:hAnsi="Arial" w:cs="Arial"/>
          <w:bCs/>
          <w:i/>
          <w:sz w:val="20"/>
          <w:szCs w:val="20"/>
        </w:rPr>
        <w:t>n</w:t>
      </w:r>
      <w:r w:rsidRPr="00DD1310">
        <w:rPr>
          <w:rFonts w:ascii="Arial" w:hAnsi="Arial" w:cs="Arial"/>
          <w:bCs/>
          <w:sz w:val="20"/>
          <w:szCs w:val="20"/>
        </w:rPr>
        <w:t xml:space="preserve"> = 52 for all measurements.</w:t>
      </w:r>
    </w:p>
    <w:p w14:paraId="0BE0A1E8" w14:textId="77777777" w:rsidR="00C34FBE" w:rsidRPr="00DD1310" w:rsidRDefault="00C34FBE" w:rsidP="00C34FBE">
      <w:pPr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DD1310">
        <w:rPr>
          <w:rFonts w:ascii="Arial" w:hAnsi="Arial" w:cs="Arial"/>
          <w:bCs/>
          <w:sz w:val="20"/>
          <w:szCs w:val="20"/>
        </w:rPr>
        <w:t>AMH, anti-Müllerian hormone; FSH, follicle stimulating hormone; GnRH, gonadotropin-releasing hormone; LH, luteinizing hormone; SD, standard deviation.</w:t>
      </w:r>
    </w:p>
    <w:p w14:paraId="43AFF761" w14:textId="77777777" w:rsidR="00C34FBE" w:rsidRPr="00DD1310" w:rsidRDefault="00C34FBE" w:rsidP="00C34FBE">
      <w:pPr>
        <w:spacing w:after="0" w:line="480" w:lineRule="auto"/>
        <w:rPr>
          <w:rFonts w:ascii="Arial" w:hAnsi="Arial" w:cs="Arial"/>
          <w:bCs/>
          <w:sz w:val="20"/>
          <w:szCs w:val="20"/>
        </w:rPr>
      </w:pPr>
    </w:p>
    <w:p w14:paraId="50B2239F" w14:textId="77777777" w:rsidR="00C34FBE" w:rsidRPr="00DD1310" w:rsidRDefault="00C34FBE" w:rsidP="00C34FBE">
      <w:pPr>
        <w:spacing w:line="480" w:lineRule="auto"/>
        <w:rPr>
          <w:rFonts w:ascii="Arial" w:hAnsi="Arial" w:cs="Arial"/>
          <w:b/>
          <w:bCs/>
          <w:sz w:val="20"/>
          <w:szCs w:val="24"/>
        </w:rPr>
      </w:pPr>
    </w:p>
    <w:p w14:paraId="5D0D6D5E" w14:textId="77777777" w:rsidR="00C34FBE" w:rsidRPr="00DD1310" w:rsidRDefault="00C34FBE" w:rsidP="00C34FBE">
      <w:pPr>
        <w:spacing w:after="0" w:line="480" w:lineRule="auto"/>
        <w:rPr>
          <w:rFonts w:ascii="Arial" w:hAnsi="Arial" w:cs="Arial"/>
          <w:b/>
          <w:bCs/>
          <w:caps/>
        </w:rPr>
        <w:sectPr w:rsidR="00C34FBE" w:rsidRPr="00DD1310">
          <w:pgSz w:w="16838" w:h="11906" w:orient="landscape"/>
          <w:pgMar w:top="1440" w:right="1440" w:bottom="1440" w:left="1440" w:header="708" w:footer="708" w:gutter="0"/>
          <w:cols w:space="720"/>
        </w:sectPr>
      </w:pPr>
    </w:p>
    <w:p w14:paraId="67298A7C" w14:textId="77777777" w:rsidR="00C34FBE" w:rsidRPr="00DD1310" w:rsidRDefault="00C34FBE" w:rsidP="00C34FBE">
      <w:pPr>
        <w:spacing w:after="0" w:line="480" w:lineRule="auto"/>
        <w:rPr>
          <w:rFonts w:ascii="Arial" w:hAnsi="Arial" w:cs="Arial"/>
          <w:b/>
          <w:bCs/>
        </w:rPr>
      </w:pPr>
      <w:r w:rsidRPr="00DD1310">
        <w:rPr>
          <w:rFonts w:ascii="Arial" w:hAnsi="Arial" w:cs="Arial"/>
          <w:b/>
          <w:bCs/>
        </w:rPr>
        <w:lastRenderedPageBreak/>
        <w:t>Supplementary Table S</w:t>
      </w:r>
      <w:r w:rsidR="00852B26" w:rsidRPr="00DD1310">
        <w:rPr>
          <w:rFonts w:ascii="Arial" w:hAnsi="Arial" w:cs="Arial"/>
          <w:b/>
          <w:bCs/>
        </w:rPr>
        <w:t>2</w:t>
      </w:r>
    </w:p>
    <w:p w14:paraId="3FB2A0FF" w14:textId="77777777" w:rsidR="00C34FBE" w:rsidRPr="00DD1310" w:rsidRDefault="00C34FBE" w:rsidP="00C34FBE">
      <w:pPr>
        <w:spacing w:after="0" w:line="480" w:lineRule="auto"/>
        <w:rPr>
          <w:rFonts w:ascii="Arial" w:hAnsi="Arial" w:cs="Arial"/>
          <w:bCs/>
        </w:rPr>
      </w:pPr>
      <w:r w:rsidRPr="00DD1310">
        <w:rPr>
          <w:rFonts w:ascii="Arial" w:hAnsi="Arial" w:cs="Arial"/>
          <w:bCs/>
        </w:rPr>
        <w:t>Change in AMH level at days 7 and 14 relative to baseline estimated by a linear mixed-effects model.</w:t>
      </w:r>
    </w:p>
    <w:tbl>
      <w:tblPr>
        <w:tblW w:w="9725" w:type="dxa"/>
        <w:tblLook w:val="04A0" w:firstRow="1" w:lastRow="0" w:firstColumn="1" w:lastColumn="0" w:noHBand="0" w:noVBand="1"/>
      </w:tblPr>
      <w:tblGrid>
        <w:gridCol w:w="2518"/>
        <w:gridCol w:w="3160"/>
        <w:gridCol w:w="2077"/>
        <w:gridCol w:w="1970"/>
      </w:tblGrid>
      <w:tr w:rsidR="00C34FBE" w:rsidRPr="00DD1310" w14:paraId="633EFC0A" w14:textId="77777777" w:rsidTr="00C34FBE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D72A55" w14:textId="77777777" w:rsidR="00C34FBE" w:rsidRPr="00DD1310" w:rsidRDefault="00C34FBE">
            <w:pPr>
              <w:spacing w:before="102" w:after="136" w:line="480" w:lineRule="auto"/>
              <w:rPr>
                <w:rFonts w:ascii="Arial" w:hAnsi="Arial" w:cs="Arial"/>
                <w:b/>
              </w:rPr>
            </w:pPr>
            <w:r w:rsidRPr="00DD1310">
              <w:rPr>
                <w:rFonts w:ascii="Arial" w:hAnsi="Arial" w:cs="Arial"/>
                <w:b/>
              </w:rPr>
              <w:t>Fixed effects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37FD499" w14:textId="77777777" w:rsidR="00C34FBE" w:rsidRPr="00DD1310" w:rsidRDefault="00C34FBE">
            <w:pPr>
              <w:spacing w:before="102" w:after="136" w:line="480" w:lineRule="auto"/>
              <w:jc w:val="center"/>
              <w:rPr>
                <w:rFonts w:ascii="Arial" w:hAnsi="Arial" w:cs="Arial"/>
                <w:b/>
              </w:rPr>
            </w:pPr>
            <w:r w:rsidRPr="00DD1310">
              <w:rPr>
                <w:rFonts w:ascii="Arial" w:hAnsi="Arial" w:cs="Arial"/>
                <w:b/>
              </w:rPr>
              <w:t>Estimate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A0BC3A0" w14:textId="77777777" w:rsidR="00C34FBE" w:rsidRPr="00DD1310" w:rsidRDefault="00C34FBE">
            <w:pPr>
              <w:spacing w:before="102" w:after="136" w:line="480" w:lineRule="auto"/>
              <w:jc w:val="center"/>
              <w:rPr>
                <w:rFonts w:ascii="Arial" w:hAnsi="Arial" w:cs="Arial"/>
                <w:b/>
              </w:rPr>
            </w:pPr>
            <w:r w:rsidRPr="00DD1310">
              <w:rPr>
                <w:rFonts w:ascii="Arial" w:hAnsi="Arial" w:cs="Arial"/>
                <w:b/>
                <w:i/>
              </w:rPr>
              <w:t>P</w:t>
            </w:r>
            <w:r w:rsidRPr="00DD1310">
              <w:rPr>
                <w:rFonts w:ascii="Arial" w:hAnsi="Arial" w:cs="Arial"/>
                <w:b/>
              </w:rPr>
              <w:t xml:space="preserve"> value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5CCD5B" w14:textId="77777777" w:rsidR="00C34FBE" w:rsidRPr="00DD1310" w:rsidRDefault="00C34FBE">
            <w:pPr>
              <w:spacing w:before="102" w:after="136" w:line="480" w:lineRule="auto"/>
              <w:jc w:val="center"/>
              <w:rPr>
                <w:rFonts w:ascii="Arial" w:hAnsi="Arial" w:cs="Arial"/>
                <w:b/>
              </w:rPr>
            </w:pPr>
            <w:r w:rsidRPr="00DD1310">
              <w:rPr>
                <w:rFonts w:ascii="Arial" w:hAnsi="Arial" w:cs="Arial"/>
                <w:b/>
              </w:rPr>
              <w:t>95% CI</w:t>
            </w:r>
          </w:p>
        </w:tc>
      </w:tr>
      <w:tr w:rsidR="00C34FBE" w:rsidRPr="00DD1310" w14:paraId="37C20DB3" w14:textId="77777777" w:rsidTr="00C34FBE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57FFA0" w14:textId="77777777" w:rsidR="00C34FBE" w:rsidRPr="00DD1310" w:rsidRDefault="00C34FBE">
            <w:pPr>
              <w:spacing w:after="136" w:line="480" w:lineRule="auto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Intercept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F65780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1.9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8769B8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0.1143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EFACB9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–0.56, 4.36</w:t>
            </w:r>
          </w:p>
        </w:tc>
      </w:tr>
      <w:tr w:rsidR="00C34FBE" w:rsidRPr="00DD1310" w14:paraId="2E07FECD" w14:textId="77777777" w:rsidTr="00C34FBE">
        <w:tc>
          <w:tcPr>
            <w:tcW w:w="2518" w:type="dxa"/>
            <w:hideMark/>
          </w:tcPr>
          <w:p w14:paraId="2A94535C" w14:textId="77777777" w:rsidR="00C34FBE" w:rsidRPr="00DD1310" w:rsidRDefault="00C34FBE">
            <w:pPr>
              <w:spacing w:after="136" w:line="480" w:lineRule="auto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Visit day 7</w:t>
            </w:r>
          </w:p>
        </w:tc>
        <w:tc>
          <w:tcPr>
            <w:tcW w:w="3160" w:type="dxa"/>
            <w:hideMark/>
          </w:tcPr>
          <w:p w14:paraId="174EC744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–0.28</w:t>
            </w:r>
          </w:p>
        </w:tc>
        <w:tc>
          <w:tcPr>
            <w:tcW w:w="2077" w:type="dxa"/>
            <w:hideMark/>
          </w:tcPr>
          <w:p w14:paraId="443F432F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0.0002</w:t>
            </w:r>
          </w:p>
        </w:tc>
        <w:tc>
          <w:tcPr>
            <w:tcW w:w="1970" w:type="dxa"/>
            <w:hideMark/>
          </w:tcPr>
          <w:p w14:paraId="4A0146DA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–0.41, –0.14</w:t>
            </w:r>
          </w:p>
        </w:tc>
      </w:tr>
      <w:tr w:rsidR="00C34FBE" w:rsidRPr="00DD1310" w14:paraId="310A7885" w14:textId="77777777" w:rsidTr="00C34FBE">
        <w:tc>
          <w:tcPr>
            <w:tcW w:w="2518" w:type="dxa"/>
            <w:hideMark/>
          </w:tcPr>
          <w:p w14:paraId="03C6BDA4" w14:textId="77777777" w:rsidR="00C34FBE" w:rsidRPr="00DD1310" w:rsidRDefault="00C34FBE">
            <w:pPr>
              <w:spacing w:after="136" w:line="480" w:lineRule="auto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Visit day 14</w:t>
            </w:r>
          </w:p>
        </w:tc>
        <w:tc>
          <w:tcPr>
            <w:tcW w:w="3160" w:type="dxa"/>
            <w:hideMark/>
          </w:tcPr>
          <w:p w14:paraId="7A65F4C5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0.3</w:t>
            </w:r>
          </w:p>
        </w:tc>
        <w:tc>
          <w:tcPr>
            <w:tcW w:w="2077" w:type="dxa"/>
            <w:hideMark/>
          </w:tcPr>
          <w:p w14:paraId="346C329C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0.0004</w:t>
            </w:r>
          </w:p>
        </w:tc>
        <w:tc>
          <w:tcPr>
            <w:tcW w:w="1970" w:type="dxa"/>
            <w:hideMark/>
          </w:tcPr>
          <w:p w14:paraId="35DE6D0E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0.14, 0.45</w:t>
            </w:r>
          </w:p>
        </w:tc>
      </w:tr>
      <w:tr w:rsidR="00C34FBE" w:rsidRPr="00DD1310" w14:paraId="680EAE6D" w14:textId="77777777" w:rsidTr="00C34FBE">
        <w:tc>
          <w:tcPr>
            <w:tcW w:w="2518" w:type="dxa"/>
            <w:hideMark/>
          </w:tcPr>
          <w:p w14:paraId="79BE5643" w14:textId="77777777" w:rsidR="00C34FBE" w:rsidRPr="00DD1310" w:rsidRDefault="00C34FBE">
            <w:pPr>
              <w:spacing w:after="136" w:line="480" w:lineRule="auto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Age</w:t>
            </w:r>
          </w:p>
        </w:tc>
        <w:tc>
          <w:tcPr>
            <w:tcW w:w="3160" w:type="dxa"/>
            <w:hideMark/>
          </w:tcPr>
          <w:p w14:paraId="16004147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–0.02</w:t>
            </w:r>
          </w:p>
        </w:tc>
        <w:tc>
          <w:tcPr>
            <w:tcW w:w="2077" w:type="dxa"/>
            <w:hideMark/>
          </w:tcPr>
          <w:p w14:paraId="22D4FADD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0.58</w:t>
            </w:r>
          </w:p>
        </w:tc>
        <w:tc>
          <w:tcPr>
            <w:tcW w:w="1970" w:type="dxa"/>
            <w:hideMark/>
          </w:tcPr>
          <w:p w14:paraId="5FA8C15B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–0.07, 0.04</w:t>
            </w:r>
          </w:p>
        </w:tc>
      </w:tr>
      <w:tr w:rsidR="00C34FBE" w:rsidRPr="00DD1310" w14:paraId="69ACF35F" w14:textId="77777777" w:rsidTr="00C34FBE">
        <w:tc>
          <w:tcPr>
            <w:tcW w:w="2518" w:type="dxa"/>
            <w:hideMark/>
          </w:tcPr>
          <w:p w14:paraId="16467ACB" w14:textId="77777777" w:rsidR="00C34FBE" w:rsidRPr="00DD1310" w:rsidRDefault="00C34FBE">
            <w:pPr>
              <w:spacing w:after="136" w:line="480" w:lineRule="auto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BMI</w:t>
            </w:r>
          </w:p>
        </w:tc>
        <w:tc>
          <w:tcPr>
            <w:tcW w:w="3160" w:type="dxa"/>
            <w:hideMark/>
          </w:tcPr>
          <w:p w14:paraId="28E18681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–0.02</w:t>
            </w:r>
          </w:p>
        </w:tc>
        <w:tc>
          <w:tcPr>
            <w:tcW w:w="2077" w:type="dxa"/>
            <w:hideMark/>
          </w:tcPr>
          <w:p w14:paraId="6EF1C4A6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0.39</w:t>
            </w:r>
          </w:p>
        </w:tc>
        <w:tc>
          <w:tcPr>
            <w:tcW w:w="1970" w:type="dxa"/>
            <w:hideMark/>
          </w:tcPr>
          <w:p w14:paraId="4C120093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–0.07, 0.03</w:t>
            </w:r>
          </w:p>
        </w:tc>
      </w:tr>
      <w:tr w:rsidR="00C34FBE" w:rsidRPr="00DD1310" w14:paraId="6EA70280" w14:textId="77777777" w:rsidTr="00C34FBE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B0179E6" w14:textId="77777777" w:rsidR="00C34FBE" w:rsidRPr="00DD1310" w:rsidRDefault="00C34FBE">
            <w:pPr>
              <w:spacing w:after="136" w:line="480" w:lineRule="auto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Baseline AFC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2AE4617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0.08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C3E2E2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0.0015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E3BBC3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0.03, 0.13</w:t>
            </w:r>
          </w:p>
        </w:tc>
      </w:tr>
      <w:tr w:rsidR="00C34FBE" w:rsidRPr="00DD1310" w14:paraId="65297B43" w14:textId="77777777" w:rsidTr="00C34FB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817E077" w14:textId="77777777" w:rsidR="00C34FBE" w:rsidRPr="00DD1310" w:rsidRDefault="00C34FBE">
            <w:pPr>
              <w:spacing w:after="136" w:line="480" w:lineRule="auto"/>
              <w:rPr>
                <w:rFonts w:ascii="Arial" w:hAnsi="Arial" w:cs="Arial"/>
                <w:b/>
              </w:rPr>
            </w:pPr>
            <w:r w:rsidRPr="00DD1310">
              <w:rPr>
                <w:rFonts w:ascii="Arial" w:hAnsi="Arial" w:cs="Arial"/>
                <w:b/>
              </w:rPr>
              <w:t>Random effects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70AE15C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  <w:b/>
              </w:rPr>
            </w:pPr>
            <w:r w:rsidRPr="00DD1310">
              <w:rPr>
                <w:rFonts w:ascii="Arial" w:hAnsi="Arial" w:cs="Arial"/>
                <w:b/>
              </w:rPr>
              <w:t>Variance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774861A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  <w:b/>
              </w:rPr>
            </w:pPr>
            <w:r w:rsidRPr="00DD1310">
              <w:rPr>
                <w:rFonts w:ascii="Arial" w:hAnsi="Arial" w:cs="Arial"/>
                <w:b/>
              </w:rPr>
              <w:t>SD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495AB4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34FBE" w:rsidRPr="00DD1310" w14:paraId="6E9CDE11" w14:textId="77777777" w:rsidTr="00C34FBE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6AAB4F" w14:textId="77777777" w:rsidR="00C34FBE" w:rsidRPr="00DD1310" w:rsidRDefault="00C34FBE">
            <w:pPr>
              <w:spacing w:after="136" w:line="480" w:lineRule="auto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Intercept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3AB3BE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0.48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0E42C9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0.70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724ECCA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34FBE" w:rsidRPr="00DD1310" w14:paraId="2E7CB338" w14:textId="77777777" w:rsidTr="00C34FBE">
        <w:tc>
          <w:tcPr>
            <w:tcW w:w="2518" w:type="dxa"/>
            <w:shd w:val="clear" w:color="auto" w:fill="FFFFFF"/>
            <w:hideMark/>
          </w:tcPr>
          <w:p w14:paraId="13002678" w14:textId="77777777" w:rsidR="00C34FBE" w:rsidRPr="00DD1310" w:rsidRDefault="00C34FBE">
            <w:pPr>
              <w:spacing w:after="136" w:line="480" w:lineRule="auto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Visit day 7</w:t>
            </w:r>
          </w:p>
        </w:tc>
        <w:tc>
          <w:tcPr>
            <w:tcW w:w="3160" w:type="dxa"/>
            <w:shd w:val="clear" w:color="auto" w:fill="FFFFFF"/>
            <w:hideMark/>
          </w:tcPr>
          <w:p w14:paraId="07D0797A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0.23</w:t>
            </w:r>
          </w:p>
        </w:tc>
        <w:tc>
          <w:tcPr>
            <w:tcW w:w="2077" w:type="dxa"/>
            <w:shd w:val="clear" w:color="auto" w:fill="FFFFFF"/>
            <w:hideMark/>
          </w:tcPr>
          <w:p w14:paraId="63D0F36B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0.48</w:t>
            </w:r>
          </w:p>
        </w:tc>
        <w:tc>
          <w:tcPr>
            <w:tcW w:w="1970" w:type="dxa"/>
            <w:shd w:val="clear" w:color="auto" w:fill="FFFFFF"/>
          </w:tcPr>
          <w:p w14:paraId="62172F41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34FBE" w:rsidRPr="00DD1310" w14:paraId="5B3F52A9" w14:textId="77777777" w:rsidTr="00C34FBE">
        <w:tc>
          <w:tcPr>
            <w:tcW w:w="2518" w:type="dxa"/>
            <w:shd w:val="clear" w:color="auto" w:fill="FFFFFF"/>
            <w:hideMark/>
          </w:tcPr>
          <w:p w14:paraId="00F446AF" w14:textId="77777777" w:rsidR="00C34FBE" w:rsidRPr="00DD1310" w:rsidRDefault="00C34FBE">
            <w:pPr>
              <w:spacing w:after="136" w:line="480" w:lineRule="auto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 xml:space="preserve">Visit day </w:t>
            </w:r>
            <w:r w:rsidR="00546967" w:rsidRPr="00DD1310">
              <w:rPr>
                <w:rFonts w:ascii="Arial" w:hAnsi="Arial" w:cs="Arial"/>
              </w:rPr>
              <w:t>1</w:t>
            </w:r>
            <w:r w:rsidRPr="00DD1310">
              <w:rPr>
                <w:rFonts w:ascii="Arial" w:hAnsi="Arial" w:cs="Arial"/>
              </w:rPr>
              <w:t>4</w:t>
            </w:r>
          </w:p>
        </w:tc>
        <w:tc>
          <w:tcPr>
            <w:tcW w:w="3160" w:type="dxa"/>
            <w:shd w:val="clear" w:color="auto" w:fill="FFFFFF"/>
            <w:hideMark/>
          </w:tcPr>
          <w:p w14:paraId="36486B29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0.28</w:t>
            </w:r>
          </w:p>
        </w:tc>
        <w:tc>
          <w:tcPr>
            <w:tcW w:w="2077" w:type="dxa"/>
            <w:shd w:val="clear" w:color="auto" w:fill="FFFFFF"/>
            <w:hideMark/>
          </w:tcPr>
          <w:p w14:paraId="1343D798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0.53</w:t>
            </w:r>
          </w:p>
        </w:tc>
        <w:tc>
          <w:tcPr>
            <w:tcW w:w="1970" w:type="dxa"/>
            <w:shd w:val="clear" w:color="auto" w:fill="FFFFFF"/>
          </w:tcPr>
          <w:p w14:paraId="2CB29D0A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C34FBE" w:rsidRPr="00DD1310" w14:paraId="5E4FD5C3" w14:textId="77777777" w:rsidTr="00C34FBE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75308EB" w14:textId="77777777" w:rsidR="00C34FBE" w:rsidRPr="00DD1310" w:rsidRDefault="00C34FBE">
            <w:pPr>
              <w:spacing w:after="136" w:line="480" w:lineRule="auto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Residual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789EBF3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0.0008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12D952E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  <w:r w:rsidRPr="00DD1310">
              <w:rPr>
                <w:rFonts w:ascii="Arial" w:hAnsi="Arial" w:cs="Arial"/>
              </w:rPr>
              <w:t>0.03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C0DFA1" w14:textId="77777777" w:rsidR="00C34FBE" w:rsidRPr="00DD1310" w:rsidRDefault="00C34FBE">
            <w:pPr>
              <w:spacing w:after="136"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7C89579" w14:textId="77777777" w:rsidR="00C34FBE" w:rsidRDefault="00C34FBE" w:rsidP="00C34FBE">
      <w:pPr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DD1310">
        <w:rPr>
          <w:rFonts w:ascii="Arial" w:hAnsi="Arial" w:cs="Arial"/>
          <w:bCs/>
          <w:sz w:val="20"/>
          <w:szCs w:val="24"/>
        </w:rPr>
        <w:t>AFC, antral follicle count; AMH, anti-Müllerian hormone; BMI, body mass index; CI, confidence interval; SD, standard deviation.</w:t>
      </w:r>
      <w:r>
        <w:rPr>
          <w:rFonts w:ascii="Arial" w:hAnsi="Arial" w:cs="Arial"/>
          <w:bCs/>
          <w:sz w:val="20"/>
          <w:szCs w:val="24"/>
        </w:rPr>
        <w:t xml:space="preserve"> </w:t>
      </w:r>
    </w:p>
    <w:p w14:paraId="251B118F" w14:textId="77777777" w:rsidR="00CB6E20" w:rsidRDefault="00CB6E20" w:rsidP="00C34FBE"/>
    <w:sectPr w:rsidR="00CB6E20" w:rsidSect="00987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34588" w14:textId="77777777" w:rsidR="004B4E43" w:rsidRDefault="004B4E43" w:rsidP="009F292C">
      <w:pPr>
        <w:spacing w:after="0" w:line="240" w:lineRule="auto"/>
      </w:pPr>
      <w:r>
        <w:separator/>
      </w:r>
    </w:p>
  </w:endnote>
  <w:endnote w:type="continuationSeparator" w:id="0">
    <w:p w14:paraId="5DDB94EE" w14:textId="77777777" w:rsidR="004B4E43" w:rsidRDefault="004B4E43" w:rsidP="009F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BB7AD" w14:textId="77777777" w:rsidR="004B4E43" w:rsidRDefault="004B4E43" w:rsidP="009F292C">
      <w:pPr>
        <w:spacing w:after="0" w:line="240" w:lineRule="auto"/>
      </w:pPr>
      <w:r>
        <w:separator/>
      </w:r>
    </w:p>
  </w:footnote>
  <w:footnote w:type="continuationSeparator" w:id="0">
    <w:p w14:paraId="39C03518" w14:textId="77777777" w:rsidR="004B4E43" w:rsidRDefault="004B4E43" w:rsidP="009F2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A8"/>
    <w:rsid w:val="001C5C65"/>
    <w:rsid w:val="00365F1A"/>
    <w:rsid w:val="003E3599"/>
    <w:rsid w:val="004B4E43"/>
    <w:rsid w:val="004B6F7C"/>
    <w:rsid w:val="00515ECF"/>
    <w:rsid w:val="00546967"/>
    <w:rsid w:val="00547424"/>
    <w:rsid w:val="005836EC"/>
    <w:rsid w:val="006E6D8B"/>
    <w:rsid w:val="00852B26"/>
    <w:rsid w:val="008F053A"/>
    <w:rsid w:val="009A30A8"/>
    <w:rsid w:val="009F292C"/>
    <w:rsid w:val="00AB6314"/>
    <w:rsid w:val="00AF341C"/>
    <w:rsid w:val="00BF7171"/>
    <w:rsid w:val="00C34FBE"/>
    <w:rsid w:val="00CB6E20"/>
    <w:rsid w:val="00D43D50"/>
    <w:rsid w:val="00DA2A0E"/>
    <w:rsid w:val="00DD1310"/>
    <w:rsid w:val="00F4154A"/>
    <w:rsid w:val="00F5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1F617C"/>
  <w15:chartTrackingRefBased/>
  <w15:docId w15:val="{B91769B0-600D-457D-8BA6-BB53061C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FBE"/>
    <w:pPr>
      <w:spacing w:line="25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34FBE"/>
    <w:pPr>
      <w:spacing w:line="480" w:lineRule="auto"/>
      <w:outlineLvl w:val="0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FBE"/>
    <w:rPr>
      <w:rFonts w:ascii="Arial" w:eastAsia="Times New Roman" w:hAnsi="Arial" w:cs="Arial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2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2C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2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A0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A0E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0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Kelly</dc:creator>
  <cp:keywords/>
  <dc:description/>
  <cp:lastModifiedBy>Louise Kelly</cp:lastModifiedBy>
  <cp:revision>6</cp:revision>
  <dcterms:created xsi:type="dcterms:W3CDTF">2018-12-19T20:14:00Z</dcterms:created>
  <dcterms:modified xsi:type="dcterms:W3CDTF">2019-01-25T09:17:00Z</dcterms:modified>
</cp:coreProperties>
</file>