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3B856" w14:textId="005F8344" w:rsidR="00C60B0A" w:rsidRDefault="006809C6" w:rsidP="004D110E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8018CA0" wp14:editId="44027B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187700"/>
            <wp:effectExtent l="0" t="0" r="0" b="0"/>
            <wp:wrapTight wrapText="bothSides">
              <wp:wrapPolygon edited="0">
                <wp:start x="0" y="0"/>
                <wp:lineTo x="0" y="21514"/>
                <wp:lineTo x="21554" y="21514"/>
                <wp:lineTo x="2155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 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4ECBD" w14:textId="6CDA75EF" w:rsidR="00C60B0A" w:rsidRPr="006809C6" w:rsidRDefault="006809C6" w:rsidP="004D110E">
      <w:pPr>
        <w:spacing w:line="360" w:lineRule="auto"/>
        <w:jc w:val="both"/>
      </w:pPr>
      <w:r>
        <w:rPr>
          <w:b/>
        </w:rPr>
        <w:t xml:space="preserve">Supplementary Figure 1. </w:t>
      </w:r>
      <w:r>
        <w:t>Transduction efficacy of GFP</w:t>
      </w:r>
      <w:r>
        <w:rPr>
          <w:vertAlign w:val="superscript"/>
        </w:rPr>
        <w:t>FVIII</w:t>
      </w:r>
      <w:r>
        <w:t xml:space="preserve"> or FoxP3</w:t>
      </w:r>
      <w:r w:rsidRPr="006809C6">
        <w:rPr>
          <w:vertAlign w:val="superscript"/>
        </w:rPr>
        <w:t>FVIII</w:t>
      </w:r>
      <w:r>
        <w:t xml:space="preserve"> T</w:t>
      </w:r>
      <w:r w:rsidR="004E3F46">
        <w:rPr>
          <w:vertAlign w:val="subscript"/>
        </w:rPr>
        <w:t xml:space="preserve"> </w:t>
      </w:r>
      <w:r>
        <w:t xml:space="preserve">cells, prior to </w:t>
      </w:r>
      <w:r w:rsidR="006810E9">
        <w:t xml:space="preserve">cell sorting before adoptive transfer. </w:t>
      </w:r>
    </w:p>
    <w:p w14:paraId="298D0CFA" w14:textId="127FCC61" w:rsidR="00C60B0A" w:rsidRDefault="00C60B0A" w:rsidP="004D110E">
      <w:pPr>
        <w:spacing w:line="360" w:lineRule="auto"/>
        <w:jc w:val="both"/>
        <w:rPr>
          <w:b/>
        </w:rPr>
      </w:pPr>
      <w:bookmarkStart w:id="0" w:name="_GoBack"/>
      <w:bookmarkEnd w:id="0"/>
    </w:p>
    <w:p w14:paraId="24F11A3B" w14:textId="642966EC" w:rsidR="00C60B0A" w:rsidRDefault="00C60B0A" w:rsidP="004D110E">
      <w:pPr>
        <w:spacing w:line="360" w:lineRule="auto"/>
        <w:jc w:val="both"/>
        <w:rPr>
          <w:b/>
        </w:rPr>
      </w:pPr>
    </w:p>
    <w:p w14:paraId="0EB02948" w14:textId="21777F64" w:rsidR="00C60B0A" w:rsidRDefault="00C60B0A" w:rsidP="004D110E">
      <w:pPr>
        <w:spacing w:line="360" w:lineRule="auto"/>
        <w:jc w:val="both"/>
        <w:rPr>
          <w:b/>
        </w:rPr>
      </w:pPr>
    </w:p>
    <w:p w14:paraId="1E0164D1" w14:textId="79EDC3B6" w:rsidR="00C60B0A" w:rsidRDefault="00C60B0A" w:rsidP="004D110E">
      <w:pPr>
        <w:spacing w:line="360" w:lineRule="auto"/>
        <w:jc w:val="both"/>
        <w:rPr>
          <w:b/>
        </w:rPr>
      </w:pPr>
    </w:p>
    <w:p w14:paraId="3838EE42" w14:textId="2C7C9E88" w:rsidR="00C60B0A" w:rsidRDefault="00C60B0A" w:rsidP="004D110E">
      <w:pPr>
        <w:spacing w:line="360" w:lineRule="auto"/>
        <w:jc w:val="both"/>
        <w:rPr>
          <w:b/>
        </w:rPr>
      </w:pPr>
    </w:p>
    <w:p w14:paraId="1055F111" w14:textId="77777777" w:rsidR="00C60B0A" w:rsidRDefault="00C60B0A" w:rsidP="004D110E">
      <w:pPr>
        <w:spacing w:line="360" w:lineRule="auto"/>
        <w:jc w:val="both"/>
        <w:rPr>
          <w:b/>
        </w:rPr>
      </w:pPr>
    </w:p>
    <w:p w14:paraId="4A81DC8B" w14:textId="77777777" w:rsidR="00C60B0A" w:rsidRDefault="00C60B0A" w:rsidP="004D110E">
      <w:pPr>
        <w:spacing w:line="360" w:lineRule="auto"/>
        <w:jc w:val="both"/>
        <w:rPr>
          <w:b/>
        </w:rPr>
      </w:pPr>
    </w:p>
    <w:p w14:paraId="7AD3582B" w14:textId="72EDF4F2" w:rsidR="00C60B0A" w:rsidRDefault="00C60B0A" w:rsidP="004D110E">
      <w:pPr>
        <w:spacing w:line="360" w:lineRule="auto"/>
        <w:jc w:val="both"/>
        <w:rPr>
          <w:b/>
        </w:rPr>
      </w:pPr>
    </w:p>
    <w:p w14:paraId="726F2678" w14:textId="77777777" w:rsidR="00C60B0A" w:rsidRDefault="00C60B0A" w:rsidP="004D110E">
      <w:pPr>
        <w:spacing w:line="360" w:lineRule="auto"/>
        <w:jc w:val="both"/>
        <w:rPr>
          <w:b/>
        </w:rPr>
      </w:pPr>
    </w:p>
    <w:p w14:paraId="4D4433FF" w14:textId="2567DBC6" w:rsidR="00C60B0A" w:rsidRDefault="00C60B0A" w:rsidP="004D110E">
      <w:pPr>
        <w:spacing w:line="360" w:lineRule="auto"/>
        <w:jc w:val="both"/>
        <w:rPr>
          <w:b/>
        </w:rPr>
      </w:pPr>
    </w:p>
    <w:p w14:paraId="22F40CD9" w14:textId="26996144" w:rsidR="00C60B0A" w:rsidRDefault="00C60B0A" w:rsidP="004D110E">
      <w:pPr>
        <w:spacing w:line="360" w:lineRule="auto"/>
        <w:jc w:val="both"/>
        <w:rPr>
          <w:b/>
        </w:rPr>
      </w:pPr>
    </w:p>
    <w:p w14:paraId="44943DC2" w14:textId="7A91173C" w:rsidR="00C60B0A" w:rsidRDefault="00C60B0A" w:rsidP="004D110E">
      <w:pPr>
        <w:spacing w:line="360" w:lineRule="auto"/>
        <w:jc w:val="both"/>
        <w:rPr>
          <w:b/>
        </w:rPr>
      </w:pPr>
    </w:p>
    <w:p w14:paraId="7DEB400D" w14:textId="3C2C29B5" w:rsidR="00C60B0A" w:rsidRDefault="00C60B0A" w:rsidP="004D110E">
      <w:pPr>
        <w:spacing w:line="360" w:lineRule="auto"/>
        <w:jc w:val="both"/>
        <w:rPr>
          <w:b/>
        </w:rPr>
      </w:pPr>
    </w:p>
    <w:p w14:paraId="74FDCE91" w14:textId="5C767450" w:rsidR="00C60B0A" w:rsidRDefault="00C60B0A" w:rsidP="004D110E">
      <w:pPr>
        <w:spacing w:line="360" w:lineRule="auto"/>
        <w:jc w:val="both"/>
        <w:rPr>
          <w:b/>
        </w:rPr>
      </w:pPr>
    </w:p>
    <w:p w14:paraId="0B0D0D5A" w14:textId="77777777" w:rsidR="00C60B0A" w:rsidRDefault="00C60B0A" w:rsidP="004D110E">
      <w:pPr>
        <w:spacing w:line="360" w:lineRule="auto"/>
        <w:jc w:val="both"/>
        <w:rPr>
          <w:b/>
        </w:rPr>
      </w:pPr>
    </w:p>
    <w:p w14:paraId="5855BCC0" w14:textId="53CF5B96" w:rsidR="00C60B0A" w:rsidRDefault="004E3F46" w:rsidP="004D110E">
      <w:pPr>
        <w:spacing w:line="360" w:lineRule="auto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7C88E3F" wp14:editId="27B3C2F0">
            <wp:simplePos x="0" y="0"/>
            <wp:positionH relativeFrom="column">
              <wp:posOffset>325120</wp:posOffset>
            </wp:positionH>
            <wp:positionV relativeFrom="paragraph">
              <wp:posOffset>7913</wp:posOffset>
            </wp:positionV>
            <wp:extent cx="4906010" cy="5816600"/>
            <wp:effectExtent l="0" t="0" r="0" b="0"/>
            <wp:wrapTight wrapText="bothSides">
              <wp:wrapPolygon edited="0">
                <wp:start x="0" y="0"/>
                <wp:lineTo x="0" y="21553"/>
                <wp:lineTo x="21527" y="21553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 2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B035C" w14:textId="238F8433" w:rsidR="00C60B0A" w:rsidRDefault="00C60B0A" w:rsidP="004D110E">
      <w:pPr>
        <w:spacing w:line="360" w:lineRule="auto"/>
        <w:jc w:val="both"/>
        <w:rPr>
          <w:b/>
        </w:rPr>
      </w:pPr>
    </w:p>
    <w:p w14:paraId="363185CF" w14:textId="7A43C591" w:rsidR="00C60B0A" w:rsidRDefault="00C60B0A" w:rsidP="004D110E">
      <w:pPr>
        <w:spacing w:line="360" w:lineRule="auto"/>
        <w:jc w:val="both"/>
        <w:rPr>
          <w:b/>
        </w:rPr>
      </w:pPr>
    </w:p>
    <w:p w14:paraId="52C09199" w14:textId="49CC01AB" w:rsidR="00C60B0A" w:rsidRDefault="00C60B0A" w:rsidP="004D110E">
      <w:pPr>
        <w:spacing w:line="360" w:lineRule="auto"/>
        <w:jc w:val="both"/>
        <w:rPr>
          <w:b/>
        </w:rPr>
      </w:pPr>
    </w:p>
    <w:p w14:paraId="511AD062" w14:textId="3C5C1162" w:rsidR="00C60B0A" w:rsidRDefault="00C60B0A" w:rsidP="004D110E">
      <w:pPr>
        <w:spacing w:line="360" w:lineRule="auto"/>
        <w:jc w:val="both"/>
        <w:rPr>
          <w:b/>
        </w:rPr>
      </w:pPr>
    </w:p>
    <w:p w14:paraId="7008D7D7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16E97661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62A2CD2D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72E7EDD6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6D68176B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2AC13495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2DE5E97D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3E6B1225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274D9845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6FE64934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5AA046A4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3B516A94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6D359B11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326B93E3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1EEB34B1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0526737E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5FC5006E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754626CD" w14:textId="77777777" w:rsidR="006809C6" w:rsidRDefault="006809C6" w:rsidP="004D110E">
      <w:pPr>
        <w:spacing w:line="360" w:lineRule="auto"/>
        <w:jc w:val="both"/>
        <w:rPr>
          <w:b/>
        </w:rPr>
      </w:pPr>
    </w:p>
    <w:p w14:paraId="72074AD6" w14:textId="0B3AF814" w:rsidR="0062770A" w:rsidRDefault="004D110E" w:rsidP="006809C6">
      <w:pPr>
        <w:spacing w:line="360" w:lineRule="auto"/>
        <w:jc w:val="both"/>
      </w:pPr>
      <w:r w:rsidRPr="0051582F">
        <w:rPr>
          <w:b/>
        </w:rPr>
        <w:t xml:space="preserve">Supplementary Figure </w:t>
      </w:r>
      <w:r w:rsidR="00C60B0A">
        <w:rPr>
          <w:b/>
        </w:rPr>
        <w:t>2</w:t>
      </w:r>
      <w:r>
        <w:rPr>
          <w:b/>
        </w:rPr>
        <w:t>.</w:t>
      </w:r>
      <w:r w:rsidRPr="0051582F">
        <w:rPr>
          <w:b/>
        </w:rPr>
        <w:t xml:space="preserve"> </w:t>
      </w:r>
      <w:r>
        <w:rPr>
          <w:b/>
        </w:rPr>
        <w:t xml:space="preserve">Treatment with anti-mCD20 does not affect recovery of B cell compartments. </w:t>
      </w:r>
      <w:r w:rsidRPr="00652E45">
        <w:t>Spleens and bone marrow of mice treated with anti-m</w:t>
      </w:r>
      <w:r>
        <w:t>CD20 were harvested after the 4-</w:t>
      </w:r>
      <w:r w:rsidRPr="00652E45">
        <w:t>month time point to confirm that B cell depletion was transient</w:t>
      </w:r>
      <w:r>
        <w:t xml:space="preserve">. </w:t>
      </w:r>
      <w:r w:rsidRPr="00652E45">
        <w:rPr>
          <w:b/>
        </w:rPr>
        <w:t>A.</w:t>
      </w:r>
      <w:r>
        <w:t xml:space="preserve"> Schematic representation of gating for plasma cell populations in the bone marrow and </w:t>
      </w:r>
      <w:r w:rsidRPr="00652E45">
        <w:rPr>
          <w:b/>
        </w:rPr>
        <w:t>B.</w:t>
      </w:r>
      <w:r>
        <w:t xml:space="preserve"> Memory B cell populations in the spleen. </w:t>
      </w:r>
      <w:r w:rsidRPr="000D5EDF">
        <w:rPr>
          <w:b/>
        </w:rPr>
        <w:t xml:space="preserve">C. </w:t>
      </w:r>
      <w:r w:rsidR="00346E0C">
        <w:t>Total CD19</w:t>
      </w:r>
      <w:r w:rsidR="00346E0C" w:rsidRPr="00346E0C">
        <w:rPr>
          <w:vertAlign w:val="superscript"/>
        </w:rPr>
        <w:t>+</w:t>
      </w:r>
      <w:r w:rsidR="00346E0C">
        <w:t xml:space="preserve"> B cells in the spleens of </w:t>
      </w:r>
      <w:r w:rsidR="00346E0C">
        <w:t>control, anti-mCD20 treated and FoxP3</w:t>
      </w:r>
      <w:r w:rsidR="00346E0C" w:rsidRPr="000D5EDF">
        <w:rPr>
          <w:vertAlign w:val="superscript"/>
        </w:rPr>
        <w:t>FVIII</w:t>
      </w:r>
      <w:r w:rsidR="00346E0C">
        <w:t>+anti-mCD20 treated mice</w:t>
      </w:r>
      <w:r w:rsidR="00346E0C">
        <w:t>.</w:t>
      </w:r>
      <w:r w:rsidR="00346E0C" w:rsidRPr="000D5EDF">
        <w:rPr>
          <w:b/>
        </w:rPr>
        <w:t xml:space="preserve"> </w:t>
      </w:r>
      <w:r w:rsidRPr="000D5EDF">
        <w:rPr>
          <w:b/>
        </w:rPr>
        <w:t xml:space="preserve">D. </w:t>
      </w:r>
      <w:r>
        <w:t>Percentage of IgM</w:t>
      </w:r>
      <w:r w:rsidRPr="000D5EDF">
        <w:rPr>
          <w:vertAlign w:val="superscript"/>
        </w:rPr>
        <w:t>+</w:t>
      </w:r>
      <w:r>
        <w:t xml:space="preserve"> and IgG</w:t>
      </w:r>
      <w:r w:rsidRPr="000D5EDF">
        <w:rPr>
          <w:vertAlign w:val="superscript"/>
        </w:rPr>
        <w:t>+</w:t>
      </w:r>
      <w:r>
        <w:t xml:space="preserve"> memory B cells in spleens.</w:t>
      </w:r>
      <w:r w:rsidRPr="000D5EDF">
        <w:t xml:space="preserve"> </w:t>
      </w:r>
      <w:proofErr w:type="spellStart"/>
      <w:r w:rsidR="00346E0C" w:rsidRPr="00346E0C">
        <w:rPr>
          <w:b/>
        </w:rPr>
        <w:t>E.</w:t>
      </w:r>
      <w:r w:rsidR="00346E0C">
        <w:t xml:space="preserve"> </w:t>
      </w:r>
      <w:proofErr w:type="spellEnd"/>
      <w:r w:rsidR="00346E0C">
        <w:t>Percentage of plasma cells in the bone marrow</w:t>
      </w:r>
      <w:r w:rsidR="00346E0C">
        <w:t xml:space="preserve">. </w:t>
      </w:r>
      <w:r w:rsidR="00346E0C">
        <w:t xml:space="preserve">Data are average </w:t>
      </w:r>
      <w:r w:rsidR="00346E0C">
        <w:sym w:font="Symbol" w:char="F0B1"/>
      </w:r>
      <w:r w:rsidR="00346E0C">
        <w:t xml:space="preserve">SD of at least 4 animals per group. Statistically significant differences are indicated.  </w:t>
      </w:r>
    </w:p>
    <w:sectPr w:rsidR="0062770A" w:rsidSect="003022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10E"/>
    <w:rsid w:val="000352AB"/>
    <w:rsid w:val="000659BF"/>
    <w:rsid w:val="00072D5F"/>
    <w:rsid w:val="00097561"/>
    <w:rsid w:val="00097938"/>
    <w:rsid w:val="000C5A35"/>
    <w:rsid w:val="00107299"/>
    <w:rsid w:val="001B78F9"/>
    <w:rsid w:val="001C0507"/>
    <w:rsid w:val="001F6C6F"/>
    <w:rsid w:val="0022722D"/>
    <w:rsid w:val="00252D2B"/>
    <w:rsid w:val="00291843"/>
    <w:rsid w:val="002A7DEA"/>
    <w:rsid w:val="002C31DD"/>
    <w:rsid w:val="00302287"/>
    <w:rsid w:val="00311076"/>
    <w:rsid w:val="00312755"/>
    <w:rsid w:val="0031574E"/>
    <w:rsid w:val="00346E0C"/>
    <w:rsid w:val="00353807"/>
    <w:rsid w:val="00356FCE"/>
    <w:rsid w:val="00364896"/>
    <w:rsid w:val="0037581F"/>
    <w:rsid w:val="003775D3"/>
    <w:rsid w:val="00383640"/>
    <w:rsid w:val="003971B0"/>
    <w:rsid w:val="003B3E59"/>
    <w:rsid w:val="00444F0A"/>
    <w:rsid w:val="00453FB4"/>
    <w:rsid w:val="00481236"/>
    <w:rsid w:val="004A1CFA"/>
    <w:rsid w:val="004C413C"/>
    <w:rsid w:val="004D110E"/>
    <w:rsid w:val="004E3F46"/>
    <w:rsid w:val="00503B8B"/>
    <w:rsid w:val="00505296"/>
    <w:rsid w:val="00514E10"/>
    <w:rsid w:val="00536821"/>
    <w:rsid w:val="0056719F"/>
    <w:rsid w:val="005A39C8"/>
    <w:rsid w:val="005C79DD"/>
    <w:rsid w:val="005E4ED7"/>
    <w:rsid w:val="00642777"/>
    <w:rsid w:val="006809C6"/>
    <w:rsid w:val="006810E9"/>
    <w:rsid w:val="00682DF4"/>
    <w:rsid w:val="006D28DC"/>
    <w:rsid w:val="006E063F"/>
    <w:rsid w:val="00712A29"/>
    <w:rsid w:val="00775EA0"/>
    <w:rsid w:val="007E07BE"/>
    <w:rsid w:val="007F31AC"/>
    <w:rsid w:val="00824160"/>
    <w:rsid w:val="00835E13"/>
    <w:rsid w:val="008E6703"/>
    <w:rsid w:val="009968D9"/>
    <w:rsid w:val="009A5858"/>
    <w:rsid w:val="009C6A6B"/>
    <w:rsid w:val="00A63F72"/>
    <w:rsid w:val="00A70419"/>
    <w:rsid w:val="00AA23B1"/>
    <w:rsid w:val="00AC26D1"/>
    <w:rsid w:val="00AD7AFC"/>
    <w:rsid w:val="00B37054"/>
    <w:rsid w:val="00C60B0A"/>
    <w:rsid w:val="00CB5F89"/>
    <w:rsid w:val="00CD6EEC"/>
    <w:rsid w:val="00CF7DC8"/>
    <w:rsid w:val="00D50D44"/>
    <w:rsid w:val="00D67855"/>
    <w:rsid w:val="00DF05F7"/>
    <w:rsid w:val="00E53EC0"/>
    <w:rsid w:val="00E8583C"/>
    <w:rsid w:val="00EB3A23"/>
    <w:rsid w:val="00EC1AB7"/>
    <w:rsid w:val="00ED60BF"/>
    <w:rsid w:val="00ED67DB"/>
    <w:rsid w:val="00F5538C"/>
    <w:rsid w:val="00F626DC"/>
    <w:rsid w:val="00F67EF5"/>
    <w:rsid w:val="00F90B26"/>
    <w:rsid w:val="00F95BC3"/>
    <w:rsid w:val="00FC18B1"/>
    <w:rsid w:val="00FD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71213"/>
  <w15:chartTrackingRefBased/>
  <w15:docId w15:val="{608A7C7C-71CB-1E49-AF21-2B1D15C6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D110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Biswas,Moanaro</dc:creator>
  <cp:keywords/>
  <dc:description/>
  <cp:lastModifiedBy>Biswas, Naro</cp:lastModifiedBy>
  <cp:revision>8</cp:revision>
  <dcterms:created xsi:type="dcterms:W3CDTF">2019-01-08T20:01:00Z</dcterms:created>
  <dcterms:modified xsi:type="dcterms:W3CDTF">2019-01-08T21:36:00Z</dcterms:modified>
</cp:coreProperties>
</file>