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B7E" w14:textId="0724CEB9" w:rsidR="00BF4E05" w:rsidRDefault="00D81481" w:rsidP="005E6AA5">
      <w:pPr>
        <w:tabs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E6AA5">
        <w:rPr>
          <w:rFonts w:ascii="Times New Roman" w:hAnsi="Times New Roman" w:cs="Times New Roman"/>
          <w:b/>
          <w:lang w:val="en-US"/>
        </w:rPr>
        <w:t xml:space="preserve">Supplemental Data </w:t>
      </w:r>
      <w:r w:rsidR="001E563D" w:rsidRPr="005E6AA5">
        <w:rPr>
          <w:rFonts w:ascii="Times New Roman" w:hAnsi="Times New Roman" w:cs="Times New Roman"/>
          <w:b/>
          <w:lang w:val="en-US"/>
        </w:rPr>
        <w:t>6</w:t>
      </w:r>
      <w:r w:rsidRPr="005E6AA5">
        <w:rPr>
          <w:rFonts w:ascii="Times New Roman" w:hAnsi="Times New Roman" w:cs="Times New Roman"/>
          <w:b/>
          <w:lang w:val="en-US"/>
        </w:rPr>
        <w:t>:</w:t>
      </w:r>
      <w:r w:rsidR="00BF4E05" w:rsidRPr="005E6AA5">
        <w:rPr>
          <w:rFonts w:ascii="Times New Roman" w:hAnsi="Times New Roman" w:cs="Times New Roman"/>
          <w:b/>
          <w:lang w:val="en-US"/>
        </w:rPr>
        <w:t xml:space="preserve"> </w:t>
      </w:r>
      <w:r w:rsidR="00BF4E05" w:rsidRPr="005E6AA5">
        <w:rPr>
          <w:rFonts w:ascii="Times New Roman" w:hAnsi="Times New Roman" w:cs="Times New Roman"/>
          <w:lang w:val="en-US"/>
        </w:rPr>
        <w:t>S</w:t>
      </w:r>
      <w:r w:rsidR="00106471" w:rsidRPr="005E6AA5">
        <w:rPr>
          <w:rFonts w:ascii="Times New Roman" w:hAnsi="Times New Roman" w:cs="Times New Roman"/>
          <w:lang w:val="en-US"/>
        </w:rPr>
        <w:t xml:space="preserve">elected categories and </w:t>
      </w:r>
      <w:r w:rsidR="00F97DEE" w:rsidRPr="005E6AA5">
        <w:rPr>
          <w:rFonts w:ascii="Times New Roman" w:hAnsi="Times New Roman" w:cs="Times New Roman"/>
          <w:lang w:val="en-US"/>
        </w:rPr>
        <w:t xml:space="preserve">associated </w:t>
      </w:r>
      <w:r w:rsidR="00106471" w:rsidRPr="005E6AA5">
        <w:rPr>
          <w:rFonts w:ascii="Times New Roman" w:hAnsi="Times New Roman" w:cs="Times New Roman"/>
          <w:lang w:val="en-US"/>
        </w:rPr>
        <w:t>genes</w:t>
      </w:r>
      <w:r w:rsidR="00E961D2" w:rsidRPr="005E6AA5">
        <w:rPr>
          <w:rFonts w:ascii="Times New Roman" w:hAnsi="Times New Roman" w:cs="Times New Roman"/>
          <w:lang w:val="en-US"/>
        </w:rPr>
        <w:t xml:space="preserve"> shared between conditions or “unique” for each group resulting from KEGG pat</w:t>
      </w:r>
      <w:r w:rsidRPr="005E6AA5">
        <w:rPr>
          <w:rFonts w:ascii="Times New Roman" w:hAnsi="Times New Roman" w:cs="Times New Roman"/>
          <w:lang w:val="en-US"/>
        </w:rPr>
        <w:t>hway and GO enrichment analysis.</w:t>
      </w:r>
      <w:r w:rsidR="008A2722" w:rsidRPr="005E6AA5">
        <w:rPr>
          <w:rFonts w:ascii="Times New Roman" w:hAnsi="Times New Roman" w:cs="Times New Roman"/>
          <w:lang w:val="en-US"/>
        </w:rPr>
        <w:t xml:space="preserve"> Normal weight (</w:t>
      </w:r>
      <w:proofErr w:type="spellStart"/>
      <w:r w:rsidR="008A2722" w:rsidRPr="005E6AA5">
        <w:rPr>
          <w:rFonts w:ascii="Times New Roman" w:hAnsi="Times New Roman" w:cs="Times New Roman"/>
          <w:lang w:val="en-US"/>
        </w:rPr>
        <w:t>Nw</w:t>
      </w:r>
      <w:proofErr w:type="spellEnd"/>
      <w:r w:rsidR="008A2722" w:rsidRPr="005E6AA5">
        <w:rPr>
          <w:rFonts w:ascii="Times New Roman" w:hAnsi="Times New Roman" w:cs="Times New Roman"/>
          <w:lang w:val="en-US"/>
        </w:rPr>
        <w:t>), obese (Ob), normal weight affected by CRC (</w:t>
      </w:r>
      <w:proofErr w:type="spellStart"/>
      <w:r w:rsidR="008A2722" w:rsidRPr="005E6AA5">
        <w:rPr>
          <w:rFonts w:ascii="Times New Roman" w:hAnsi="Times New Roman" w:cs="Times New Roman"/>
          <w:lang w:val="en-US"/>
        </w:rPr>
        <w:t>NwCRC</w:t>
      </w:r>
      <w:proofErr w:type="spellEnd"/>
      <w:r w:rsidR="008A2722" w:rsidRPr="005E6AA5">
        <w:rPr>
          <w:rFonts w:ascii="Times New Roman" w:hAnsi="Times New Roman" w:cs="Times New Roman"/>
          <w:lang w:val="en-US"/>
        </w:rPr>
        <w:t xml:space="preserve">) and obese </w:t>
      </w:r>
      <w:r w:rsidR="008A2722" w:rsidRPr="005E6AA5">
        <w:rPr>
          <w:rFonts w:ascii="Times New Roman" w:hAnsi="Times New Roman" w:cs="Times New Roman"/>
          <w:lang w:val="en-US"/>
        </w:rPr>
        <w:t>affected by CRC</w:t>
      </w:r>
      <w:r w:rsidR="008A2722" w:rsidRPr="005E6AA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A2722" w:rsidRPr="005E6AA5">
        <w:rPr>
          <w:rFonts w:ascii="Times New Roman" w:hAnsi="Times New Roman" w:cs="Times New Roman"/>
          <w:lang w:val="en-US"/>
        </w:rPr>
        <w:t>ObCRC</w:t>
      </w:r>
      <w:proofErr w:type="spellEnd"/>
      <w:r w:rsidR="005E6AA5" w:rsidRPr="005E6AA5">
        <w:rPr>
          <w:rFonts w:ascii="Times New Roman" w:hAnsi="Times New Roman" w:cs="Times New Roman"/>
          <w:lang w:val="en-US"/>
        </w:rPr>
        <w:t>)</w:t>
      </w:r>
      <w:r w:rsidR="005E6AA5">
        <w:rPr>
          <w:rFonts w:ascii="Times New Roman" w:hAnsi="Times New Roman" w:cs="Times New Roman"/>
          <w:lang w:val="en-US"/>
        </w:rPr>
        <w:t xml:space="preserve"> groups</w:t>
      </w:r>
      <w:r w:rsidR="005E6AA5" w:rsidRPr="005E6AA5">
        <w:rPr>
          <w:rFonts w:ascii="Times New Roman" w:hAnsi="Times New Roman" w:cs="Times New Roman"/>
          <w:lang w:val="en-US"/>
        </w:rPr>
        <w:t>.</w:t>
      </w:r>
    </w:p>
    <w:p w14:paraId="2915E327" w14:textId="77777777" w:rsidR="005E6AA5" w:rsidRPr="005E6AA5" w:rsidRDefault="005E6AA5" w:rsidP="005E6AA5">
      <w:pPr>
        <w:tabs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ellasemplice5"/>
        <w:tblW w:w="14287" w:type="dxa"/>
        <w:tblLook w:val="04A0" w:firstRow="1" w:lastRow="0" w:firstColumn="1" w:lastColumn="0" w:noHBand="0" w:noVBand="1"/>
      </w:tblPr>
      <w:tblGrid>
        <w:gridCol w:w="1985"/>
        <w:gridCol w:w="3260"/>
        <w:gridCol w:w="7513"/>
        <w:gridCol w:w="1529"/>
      </w:tblGrid>
      <w:tr w:rsidR="00C43431" w:rsidRPr="00AE2E6B" w14:paraId="48CB3CFB" w14:textId="08346840" w:rsidTr="00DC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77421EBC" w14:textId="77777777" w:rsidR="00C43431" w:rsidRPr="00AE2E6B" w:rsidRDefault="00C43431" w:rsidP="009166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Condition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EA21AD1" w14:textId="77777777" w:rsidR="00C43431" w:rsidRPr="00AE2E6B" w:rsidRDefault="00C43431" w:rsidP="0091661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Categories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BEB9BF7" w14:textId="77777777" w:rsidR="00C43431" w:rsidRPr="00AE2E6B" w:rsidRDefault="00C43431" w:rsidP="0091661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DET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5D90199E" w14:textId="0BFF7A9A" w:rsidR="00C43431" w:rsidRPr="00AE2E6B" w:rsidRDefault="00C43431" w:rsidP="00C4343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FDR</w:t>
            </w:r>
          </w:p>
        </w:tc>
      </w:tr>
      <w:tr w:rsidR="00C43431" w:rsidRPr="00AE2E6B" w14:paraId="0A934E30" w14:textId="7C33AF57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37EF328A" w14:textId="77777777" w:rsidR="00C43431" w:rsidRPr="00F97DEE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97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SHARED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6E72AB4D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513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40229AA4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65DAA0DA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43431" w:rsidRPr="00AE2E6B" w14:paraId="4467C32F" w14:textId="0F59BBF7" w:rsidTr="00DC5199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14:paraId="502B3B4A" w14:textId="44E5A720" w:rsidR="00C43431" w:rsidRPr="00AE2E6B" w:rsidRDefault="00C43431" w:rsidP="00C43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NwCRC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groups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58E5409" w14:textId="77777777" w:rsidR="00C43431" w:rsidRPr="00AE2E6B" w:rsidRDefault="00C43431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Pyruvate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03AA20D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ALDH3A2, ALDH7A1, LDHD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008CB45F" w14:textId="23D212E7" w:rsidR="00C43431" w:rsidRPr="00AE2E6B" w:rsidRDefault="001E74E9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0,</w:t>
            </w:r>
            <w:r w:rsidRPr="001E74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0090</w:t>
            </w:r>
          </w:p>
        </w:tc>
      </w:tr>
      <w:tr w:rsidR="00C43431" w:rsidRPr="00AE2E6B" w14:paraId="2AF89938" w14:textId="30F0587C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BB7C295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33B0A62C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Cellular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aldehyde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metabolic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process</w:t>
            </w:r>
            <w:proofErr w:type="spellEnd"/>
          </w:p>
        </w:tc>
        <w:tc>
          <w:tcPr>
            <w:tcW w:w="7513" w:type="dxa"/>
          </w:tcPr>
          <w:p w14:paraId="1AE3A9DF" w14:textId="345EC387" w:rsidR="00C43431" w:rsidRPr="00AE2E6B" w:rsidRDefault="00C43431" w:rsidP="00C4343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ALDH3A2, ALDH7A1, LDHD</w:t>
            </w:r>
          </w:p>
        </w:tc>
        <w:tc>
          <w:tcPr>
            <w:tcW w:w="1529" w:type="dxa"/>
          </w:tcPr>
          <w:p w14:paraId="0F7F5AD4" w14:textId="29C85E1E" w:rsidR="00C43431" w:rsidRPr="00AE2E6B" w:rsidRDefault="001E74E9" w:rsidP="002A405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</w:t>
            </w:r>
            <w:r w:rsidRPr="001E74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 w:rsidRPr="001E74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0478</w:t>
            </w:r>
          </w:p>
        </w:tc>
      </w:tr>
      <w:tr w:rsidR="00C43431" w:rsidRPr="00AE2E6B" w14:paraId="1A72EBC3" w14:textId="23CC2476" w:rsidTr="00DC519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E1ABE94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030E0751" w14:textId="77777777" w:rsidR="00C43431" w:rsidRPr="00AE2E6B" w:rsidRDefault="00C43431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Extracellular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exosome</w:t>
            </w:r>
            <w:proofErr w:type="spellEnd"/>
          </w:p>
        </w:tc>
        <w:tc>
          <w:tcPr>
            <w:tcW w:w="7513" w:type="dxa"/>
          </w:tcPr>
          <w:p w14:paraId="4C3B4FD8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BMP3, TM7SF3, PEPD, LTBP2, STK25, TBC1D10A, ACTN1, RFNG, ECM1, ALDH3A2, CD9, PSMA1, ALDH7A1, LAT2, HPGD, AUP1, MEST</w:t>
            </w:r>
          </w:p>
        </w:tc>
        <w:tc>
          <w:tcPr>
            <w:tcW w:w="1529" w:type="dxa"/>
          </w:tcPr>
          <w:p w14:paraId="699F8FDB" w14:textId="527A596D" w:rsidR="00C43431" w:rsidRPr="00AE2E6B" w:rsidRDefault="001E74E9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="002A40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0105</w:t>
            </w:r>
          </w:p>
        </w:tc>
      </w:tr>
      <w:tr w:rsidR="00C43431" w:rsidRPr="00AE2E6B" w14:paraId="0A7C6DA9" w14:textId="295EA39B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45CB5D99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D2948B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R</w:t>
            </w:r>
            <w:r w:rsidRPr="00B436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egulation</w:t>
            </w:r>
            <w:proofErr w:type="spellEnd"/>
            <w:r w:rsidRPr="00B436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B436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apoptotic</w:t>
            </w:r>
            <w:proofErr w:type="spellEnd"/>
            <w:r w:rsidRPr="00B436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436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process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A9969CC" w14:textId="77777777" w:rsidR="00C43431" w:rsidRPr="00B436F2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BMP3, FYN, SRA1, ACTN1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EB747C7" w14:textId="462EB198" w:rsidR="00C43431" w:rsidRPr="00B436F2" w:rsidRDefault="001E74E9" w:rsidP="002A405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0478</w:t>
            </w:r>
          </w:p>
        </w:tc>
      </w:tr>
      <w:tr w:rsidR="00C43431" w:rsidRPr="00AE2E6B" w14:paraId="7C4C2B49" w14:textId="4849684C" w:rsidTr="00DC519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14:paraId="6287A8DC" w14:textId="273A5B77" w:rsidR="00C43431" w:rsidRPr="00AE2E6B" w:rsidRDefault="00C43431" w:rsidP="00C43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ObCRC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groups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965F02B" w14:textId="77777777" w:rsidR="00C43431" w:rsidRPr="00AE2E6B" w:rsidRDefault="00C43431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Pyruvate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6BB58D8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LDHB, ALDH7A1, LDHD, ACACB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4332FEA1" w14:textId="615C7CB7" w:rsidR="00C43431" w:rsidRPr="00AE2E6B" w:rsidRDefault="001E74E9" w:rsidP="002A40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C43431" w:rsidRPr="00AE2E6B" w14:paraId="58997FB0" w14:textId="165F4A39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125810A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66D4174D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Extracellular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matrix</w:t>
            </w:r>
            <w:proofErr w:type="spellEnd"/>
          </w:p>
        </w:tc>
        <w:tc>
          <w:tcPr>
            <w:tcW w:w="7513" w:type="dxa"/>
          </w:tcPr>
          <w:p w14:paraId="718EC76D" w14:textId="77777777" w:rsidR="00C43431" w:rsidRPr="00052E44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CRIP2, LMCD1, COL12A1, ECM1</w:t>
            </w:r>
          </w:p>
          <w:p w14:paraId="0D85945E" w14:textId="77777777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</w:tcPr>
          <w:p w14:paraId="60AF171D" w14:textId="359D4808" w:rsidR="00C43431" w:rsidRPr="00052E44" w:rsidRDefault="001E74E9" w:rsidP="002A405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0329</w:t>
            </w:r>
          </w:p>
        </w:tc>
      </w:tr>
      <w:tr w:rsidR="00C43431" w:rsidRPr="00AE2E6B" w14:paraId="70CFD3D6" w14:textId="3816AC65" w:rsidTr="00DC5199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13C45CDB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2AEFD5" w14:textId="4E4DFA1D" w:rsidR="00C43431" w:rsidRPr="00AE2E6B" w:rsidRDefault="00C43431" w:rsidP="00052E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Calcineurin-NFAT</w:t>
            </w: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signaling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cascade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D3FBA02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NFATC2, NFATC1 LMCD1, IGF1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8E07801" w14:textId="737AB783" w:rsidR="00C43431" w:rsidRPr="00AE2E6B" w:rsidRDefault="001E74E9" w:rsidP="002A40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0</w:t>
            </w:r>
            <w:r w:rsidR="002A40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0477</w:t>
            </w:r>
          </w:p>
        </w:tc>
      </w:tr>
      <w:tr w:rsidR="00C43431" w:rsidRPr="00AE2E6B" w14:paraId="03087BA3" w14:textId="3668ABFC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14:paraId="6FFEB545" w14:textId="71DB4A7C" w:rsidR="00C43431" w:rsidRPr="00AE2E6B" w:rsidRDefault="00C43431" w:rsidP="00C43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ObCRC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NwCRC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groups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E77E80E" w14:textId="6DDACFB6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degradation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90E420C" w14:textId="77777777" w:rsidR="00C43431" w:rsidRPr="00AE2E6B" w:rsidRDefault="00C43431" w:rsidP="00C4343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ACADVL, ALDH7A1, ADH1B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89AB26B" w14:textId="1B8E676D" w:rsidR="00C43431" w:rsidRPr="00AE2E6B" w:rsidRDefault="001E74E9" w:rsidP="002A405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0353</w:t>
            </w:r>
          </w:p>
        </w:tc>
      </w:tr>
      <w:tr w:rsidR="00C43431" w:rsidRPr="00AE2E6B" w14:paraId="13292A50" w14:textId="11BBA4D7" w:rsidTr="00DC519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77BD54F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64B32146" w14:textId="77777777" w:rsidR="00C43431" w:rsidRPr="00AE2E6B" w:rsidRDefault="00C43431" w:rsidP="00052E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Extracellular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matrix</w:t>
            </w:r>
            <w:proofErr w:type="spellEnd"/>
          </w:p>
        </w:tc>
        <w:tc>
          <w:tcPr>
            <w:tcW w:w="7513" w:type="dxa"/>
          </w:tcPr>
          <w:p w14:paraId="471068A6" w14:textId="77777777" w:rsidR="00C43431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ACTG1, P4HB, RPS18, LTBP2, LMNA, MFGE8, ANXA2</w:t>
            </w:r>
          </w:p>
          <w:p w14:paraId="5B8B898F" w14:textId="77777777" w:rsidR="00C43431" w:rsidRPr="00AE2E6B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6AF8A25" w14:textId="6463D0B3" w:rsidR="00C43431" w:rsidRPr="00AE2E6B" w:rsidRDefault="001E74E9" w:rsidP="002A405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0051</w:t>
            </w:r>
          </w:p>
        </w:tc>
      </w:tr>
      <w:tr w:rsidR="00C43431" w:rsidRPr="001E74E9" w14:paraId="6AC87CFE" w14:textId="77539690" w:rsidTr="00E9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D49001A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6495B265" w14:textId="77777777" w:rsidR="00C43431" w:rsidRPr="00AE2E6B" w:rsidRDefault="00C43431" w:rsidP="00052E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Focal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adhesion</w:t>
            </w:r>
            <w:proofErr w:type="spellEnd"/>
          </w:p>
        </w:tc>
        <w:tc>
          <w:tcPr>
            <w:tcW w:w="7513" w:type="dxa"/>
          </w:tcPr>
          <w:p w14:paraId="5DE9BB6F" w14:textId="77777777" w:rsidR="00C43431" w:rsidRPr="005B7DA8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7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ACTG1, CD9, P4HB, RPS18, GNB2, AIF1L, ACTN1</w:t>
            </w:r>
          </w:p>
        </w:tc>
        <w:tc>
          <w:tcPr>
            <w:tcW w:w="1529" w:type="dxa"/>
          </w:tcPr>
          <w:p w14:paraId="5CC40C72" w14:textId="100DB6D0" w:rsidR="00C43431" w:rsidRPr="005B7DA8" w:rsidRDefault="001E74E9" w:rsidP="002A4051">
            <w:pPr>
              <w:tabs>
                <w:tab w:val="left" w:pos="645"/>
              </w:tabs>
              <w:spacing w:after="0" w:line="240" w:lineRule="auto"/>
              <w:ind w:left="313" w:hanging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1E7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0135</w:t>
            </w:r>
          </w:p>
        </w:tc>
      </w:tr>
      <w:tr w:rsidR="00C43431" w:rsidRPr="001E74E9" w14:paraId="04D9EBF6" w14:textId="681E4E40" w:rsidTr="00DC519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8701D27" w14:textId="77777777" w:rsidR="00C43431" w:rsidRPr="005B7DA8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60" w:type="dxa"/>
          </w:tcPr>
          <w:p w14:paraId="701B24D3" w14:textId="77777777" w:rsidR="00C43431" w:rsidRPr="00AE2E6B" w:rsidRDefault="00C43431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Cell-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cell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adhesion</w:t>
            </w:r>
            <w:proofErr w:type="spellEnd"/>
          </w:p>
        </w:tc>
        <w:tc>
          <w:tcPr>
            <w:tcW w:w="7513" w:type="dxa"/>
          </w:tcPr>
          <w:p w14:paraId="5C60B3AD" w14:textId="77777777" w:rsidR="00C43431" w:rsidRPr="005B7DA8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D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CAST, TBC1D10A, NOP56, PPP1R13L, ANXA2</w:t>
            </w:r>
          </w:p>
        </w:tc>
        <w:tc>
          <w:tcPr>
            <w:tcW w:w="1529" w:type="dxa"/>
          </w:tcPr>
          <w:p w14:paraId="6DACC91C" w14:textId="03AFBDFC" w:rsidR="00C43431" w:rsidRPr="005B7DA8" w:rsidRDefault="001E74E9" w:rsidP="002A40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    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0303</w:t>
            </w:r>
          </w:p>
        </w:tc>
      </w:tr>
      <w:tr w:rsidR="00C43431" w:rsidRPr="00AE2E6B" w14:paraId="3BBAEC76" w14:textId="18AC2B8A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73DF65D" w14:textId="77777777" w:rsidR="00C43431" w:rsidRPr="005B7DA8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60" w:type="dxa"/>
          </w:tcPr>
          <w:p w14:paraId="5F2117E3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Extracellular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exosome</w:t>
            </w:r>
            <w:proofErr w:type="spellEnd"/>
          </w:p>
        </w:tc>
        <w:tc>
          <w:tcPr>
            <w:tcW w:w="7513" w:type="dxa"/>
          </w:tcPr>
          <w:p w14:paraId="139E51F5" w14:textId="77777777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NACA, TM7SF3, LTBP2, LGMN, CD53, ACTG1, CD9, N4BP2L2, AIF1L, TPT1, MEST, P4HB, PEPD, TBC1D10A, ARHGEF18, ACTN1, MFGE8, RFNG, ANXA2, APRT, MGAT1, TNFSF10, ALDH7A1, RPS18, GNB2, ADAM15</w:t>
            </w:r>
          </w:p>
        </w:tc>
        <w:tc>
          <w:tcPr>
            <w:tcW w:w="1529" w:type="dxa"/>
          </w:tcPr>
          <w:p w14:paraId="200F040F" w14:textId="085A9191" w:rsidR="00C43431" w:rsidRPr="00AE2E6B" w:rsidRDefault="002A4051" w:rsidP="00052E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0,</w:t>
            </w:r>
            <w:r w:rsidR="001E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</w:t>
            </w:r>
          </w:p>
        </w:tc>
      </w:tr>
      <w:tr w:rsidR="00C43431" w:rsidRPr="001E74E9" w14:paraId="055C4670" w14:textId="7B1B6C64" w:rsidTr="00DC519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D0E3726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260" w:type="dxa"/>
          </w:tcPr>
          <w:p w14:paraId="75665CD5" w14:textId="77777777" w:rsidR="00C43431" w:rsidRPr="00AE2E6B" w:rsidRDefault="00C43431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Apoptotic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process</w:t>
            </w:r>
            <w:proofErr w:type="spellEnd"/>
          </w:p>
        </w:tc>
        <w:tc>
          <w:tcPr>
            <w:tcW w:w="7513" w:type="dxa"/>
          </w:tcPr>
          <w:p w14:paraId="730441C6" w14:textId="77777777" w:rsidR="00C43431" w:rsidRPr="005B7DA8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D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PDCL3, TNFSF10, KIF1B, TMEM214, SRA1, PPP1R13L, MRPS30, ADAM15</w:t>
            </w:r>
          </w:p>
        </w:tc>
        <w:tc>
          <w:tcPr>
            <w:tcW w:w="1529" w:type="dxa"/>
          </w:tcPr>
          <w:p w14:paraId="661A3A54" w14:textId="2E31176B" w:rsidR="00C43431" w:rsidRPr="005B7DA8" w:rsidRDefault="001E74E9" w:rsidP="002A4051">
            <w:pPr>
              <w:tabs>
                <w:tab w:val="left" w:pos="510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 </w:t>
            </w:r>
            <w:r w:rsidR="00114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</w:t>
            </w:r>
            <w:r w:rsidRPr="001E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0191</w:t>
            </w:r>
          </w:p>
        </w:tc>
      </w:tr>
      <w:tr w:rsidR="00C43431" w:rsidRPr="00AE2E6B" w14:paraId="1C06B861" w14:textId="173C880D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6F3C1" w14:textId="77777777" w:rsidR="00C43431" w:rsidRPr="00F97DEE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97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“UNIQUE”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20E60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E5BDB" w14:textId="77777777" w:rsidR="00C43431" w:rsidRPr="00AE2E6B" w:rsidRDefault="00C43431" w:rsidP="00C4343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C24E8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43431" w:rsidRPr="00AE2E6B" w14:paraId="139ACF03" w14:textId="06608504" w:rsidTr="00DC5199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14:paraId="48DC1038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NwCRC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D6709EA" w14:textId="77777777" w:rsidR="00C43431" w:rsidRPr="00AE2E6B" w:rsidRDefault="00C43431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Metabolic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pathways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4F41A1E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SAT1, PGS1, TUSC3, TALDO1, CYP2S1, ADH1B, CTPS2, OCRL, PFAS, AFMID, ALDH1A2, UPRT, LIAS, HSD17B4, TSTA3, PCYT2, GCNT1, PIGA, PLD3, POLR1D, PI4KA, AK2, AMPD2, POLR2J3, APRT, PCK1, MGAT1, MAN2A2, ACADVL, CTH, MPI, NNT, NDUFV1, POLD1, PGM1, ATP5A1, PHYKPL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FDBAECA" w14:textId="689BAD97" w:rsidR="00C43431" w:rsidRPr="00AE2E6B" w:rsidRDefault="00114E3E" w:rsidP="002A40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0412</w:t>
            </w:r>
          </w:p>
        </w:tc>
      </w:tr>
      <w:tr w:rsidR="00C43431" w:rsidRPr="001E74E9" w14:paraId="5135D208" w14:textId="69CD4808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5045EF6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03BBD80A" w14:textId="77777777" w:rsidR="00C43431" w:rsidRPr="005B7DA8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>Transforming growth factor beta signaling pathway</w:t>
            </w:r>
          </w:p>
        </w:tc>
        <w:tc>
          <w:tcPr>
            <w:tcW w:w="7513" w:type="dxa"/>
          </w:tcPr>
          <w:p w14:paraId="585BB4D9" w14:textId="77777777" w:rsidR="00C43431" w:rsidRPr="005B7DA8" w:rsidRDefault="00C43431" w:rsidP="00C4343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5B7D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>ARHGEF18, SMAD6, CREB1, TGFBR2, TGFB3, ACVR1, CITED2,</w:t>
            </w:r>
          </w:p>
        </w:tc>
        <w:tc>
          <w:tcPr>
            <w:tcW w:w="1529" w:type="dxa"/>
          </w:tcPr>
          <w:p w14:paraId="03515425" w14:textId="62AF9C14" w:rsidR="00C43431" w:rsidRPr="005B7DA8" w:rsidRDefault="00114E3E" w:rsidP="002A405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 xml:space="preserve">        </w:t>
            </w:r>
            <w:r w:rsidRPr="00114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>,</w:t>
            </w:r>
            <w:r w:rsidRPr="00114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>0277</w:t>
            </w:r>
          </w:p>
        </w:tc>
      </w:tr>
      <w:tr w:rsidR="00C43431" w:rsidRPr="00AE2E6B" w14:paraId="28D7E7C4" w14:textId="6215BEDF" w:rsidTr="00DC519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8C757A6" w14:textId="77777777" w:rsidR="00C43431" w:rsidRPr="005B7DA8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</w:p>
        </w:tc>
        <w:tc>
          <w:tcPr>
            <w:tcW w:w="3260" w:type="dxa"/>
          </w:tcPr>
          <w:p w14:paraId="327A2D82" w14:textId="77777777" w:rsidR="00C43431" w:rsidRPr="00AE2E6B" w:rsidRDefault="00C43431" w:rsidP="00052E44">
            <w:pPr>
              <w:spacing w:after="0" w:line="240" w:lineRule="auto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Extracellular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/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interstitial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matrix</w:t>
            </w:r>
            <w:proofErr w:type="spellEnd"/>
          </w:p>
        </w:tc>
        <w:tc>
          <w:tcPr>
            <w:tcW w:w="7513" w:type="dxa"/>
          </w:tcPr>
          <w:p w14:paraId="1430A288" w14:textId="77777777" w:rsidR="00C43431" w:rsidRPr="00AE2E6B" w:rsidRDefault="00C43431" w:rsidP="00C43431">
            <w:pPr>
              <w:spacing w:after="0" w:line="240" w:lineRule="auto"/>
              <w:jc w:val="both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P4HB, ADAMTSL4, LMNA, TGFB3, MFGE8, DCN, DDX5, ANXA2, ACTG1, OGN, RPS18, LAMB2, RPS16, DSP, ATP5A1, TGFB1I1, TPSAB1, ECM2, SMOC2, </w:t>
            </w:r>
          </w:p>
        </w:tc>
        <w:tc>
          <w:tcPr>
            <w:tcW w:w="1529" w:type="dxa"/>
          </w:tcPr>
          <w:p w14:paraId="77484A07" w14:textId="543ADEC2" w:rsidR="00C43431" w:rsidRPr="00AE2E6B" w:rsidRDefault="00114E3E" w:rsidP="002A4051">
            <w:pPr>
              <w:spacing w:after="0" w:line="240" w:lineRule="auto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</w:t>
            </w:r>
            <w:r w:rsidRPr="00114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 w:rsidRPr="00114E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0035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43431" w:rsidRPr="00AE2E6B" w14:paraId="615116E4" w14:textId="2B4CD74B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DE3120E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0B38AAB6" w14:textId="77777777" w:rsidR="00C43431" w:rsidRPr="00AE2E6B" w:rsidRDefault="00C43431" w:rsidP="00052E44">
            <w:pPr>
              <w:spacing w:after="0" w:line="240" w:lineRule="auto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Extracellular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exosome</w:t>
            </w:r>
            <w:proofErr w:type="spellEnd"/>
          </w:p>
        </w:tc>
        <w:tc>
          <w:tcPr>
            <w:tcW w:w="7513" w:type="dxa"/>
          </w:tcPr>
          <w:p w14:paraId="17F9B2E7" w14:textId="77777777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bookmarkStart w:id="0" w:name="OLE_LINK1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CHMP3, LGMN, IQGAP2, CD53, TTN, ACTG1, OGN, HSPH1, N4BP2L2, VPS13D, TMEM59, TPT1, AIF1L, SERPINA3, ANGPT1, CFI, FCGR3A, IAH1, PLD3, ARHGEF18, PI4KA, MFGE8, HLA-B, RFTN1, CTSV, TYK2, MGAT1, RPS18, CTH, IGSF8, RPS16, GNB2, VAMP8, PGM1, CYBRD1, DSP, CTSB, ADAM15, PAM, YWHAZ, TALDO1, NACA, NAPG, ABHD6, OCRL, ACP1, PFAS, ISLR, ANXA6, P3H1, LAMB2, NHLRC3, HSPA2, SH3GLB1, CNN2, HSPA4, C2, TSTA3, PHLDA3, ETFA, LY75, P4HB, RNASE1, PLA2G15, LRRN4, PSAP, ATRN, AK2, DDX5, LGALS9, APRT, PCK1, ANXA2, DUSP3, PSMC6, NRF1, TNFSF10, MPI, CPNE1, HGS, ATP5A1, MUC16</w:t>
            </w:r>
            <w:bookmarkEnd w:id="0"/>
          </w:p>
        </w:tc>
        <w:tc>
          <w:tcPr>
            <w:tcW w:w="1529" w:type="dxa"/>
          </w:tcPr>
          <w:p w14:paraId="3DEC2FB0" w14:textId="6E7C87F2" w:rsidR="00C43431" w:rsidRPr="00AE2E6B" w:rsidRDefault="00114E3E" w:rsidP="002A40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0077</w:t>
            </w:r>
          </w:p>
        </w:tc>
      </w:tr>
      <w:tr w:rsidR="00C43431" w:rsidRPr="00AE2E6B" w14:paraId="404BEF94" w14:textId="28EE4BCE" w:rsidTr="00DC5199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7EE813E6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504E0D" w14:textId="77777777" w:rsidR="00C43431" w:rsidRPr="00AE2E6B" w:rsidRDefault="00C43431" w:rsidP="00052E44">
            <w:pPr>
              <w:spacing w:after="0" w:line="240" w:lineRule="auto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Cell-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cell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adhesion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BCF06FD" w14:textId="77777777" w:rsidR="00C43431" w:rsidRPr="00AE2E6B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CAST, YWHAZ, EPB41L1, SH3GLB1, PI4KA, KTN1, EXOC3, CNN2, NOP56, STAT1, ANXA2, GOLGA2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8DEE1A5" w14:textId="3321536D" w:rsidR="00C43431" w:rsidRPr="00AE2E6B" w:rsidRDefault="00114E3E" w:rsidP="002A40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</w:tr>
      <w:tr w:rsidR="00C43431" w:rsidRPr="00DC5199" w14:paraId="061E467A" w14:textId="79835F8A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14:paraId="3C32C82C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Ob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3361DCC" w14:textId="77777777" w:rsidR="00C43431" w:rsidRPr="00AE2E6B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AMPK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signaling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pathway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46086C1" w14:textId="5DA60DBC" w:rsidR="00C43431" w:rsidRPr="00DC5199" w:rsidRDefault="00C43431" w:rsidP="00DC519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1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LEP, CD36, STK11, IGF1, TBC1D1, RAB10</w:t>
            </w:r>
            <w:r w:rsidR="00DC5199" w:rsidRPr="00DC51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, </w:t>
            </w:r>
            <w:r w:rsidRPr="00DC5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SREBF1, PFKFB3, HMGCR, PPP2R5D, PPP2R5C, ACACA, IGF1, STRADB, PCK2, ADIPOQ, LIPE, PIK3R1, AKT2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FF520DA" w14:textId="71F86856" w:rsidR="00C43431" w:rsidRPr="00DC5199" w:rsidRDefault="001C2A43" w:rsidP="002A405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</w:t>
            </w:r>
            <w:r w:rsidRPr="001C2A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 w:rsidRPr="001C2A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0482</w:t>
            </w:r>
          </w:p>
        </w:tc>
      </w:tr>
      <w:tr w:rsidR="00C43431" w:rsidRPr="00AE2E6B" w14:paraId="00F97C00" w14:textId="39FA1E71" w:rsidTr="00DC519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28257D0" w14:textId="77777777" w:rsidR="00C43431" w:rsidRPr="00DC5199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6D6FA7D1" w14:textId="77777777" w:rsidR="00C43431" w:rsidRPr="00AE2E6B" w:rsidRDefault="00C43431" w:rsidP="00052E4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PPAR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signaling</w:t>
            </w:r>
            <w:proofErr w:type="spellEnd"/>
          </w:p>
        </w:tc>
        <w:tc>
          <w:tcPr>
            <w:tcW w:w="7513" w:type="dxa"/>
          </w:tcPr>
          <w:p w14:paraId="6F85F449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CD36, SLC27A6, SCP2, ACOX3</w:t>
            </w:r>
          </w:p>
        </w:tc>
        <w:tc>
          <w:tcPr>
            <w:tcW w:w="1529" w:type="dxa"/>
          </w:tcPr>
          <w:p w14:paraId="4B6EA752" w14:textId="432030B6" w:rsidR="00C43431" w:rsidRPr="00AE2E6B" w:rsidRDefault="00114E3E" w:rsidP="002A40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0482</w:t>
            </w:r>
          </w:p>
        </w:tc>
      </w:tr>
      <w:tr w:rsidR="00C43431" w:rsidRPr="00AE2E6B" w14:paraId="1C3E8541" w14:textId="6F15DF8F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E16B9A1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48DC4715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Adipose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tissue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development</w:t>
            </w:r>
            <w:proofErr w:type="spellEnd"/>
          </w:p>
        </w:tc>
        <w:tc>
          <w:tcPr>
            <w:tcW w:w="7513" w:type="dxa"/>
          </w:tcPr>
          <w:p w14:paraId="459FBDBB" w14:textId="77777777" w:rsidR="00C43431" w:rsidRPr="00AE2E6B" w:rsidRDefault="00C43431" w:rsidP="00C4343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LEP, PAXIP1, SPG20</w:t>
            </w:r>
          </w:p>
        </w:tc>
        <w:tc>
          <w:tcPr>
            <w:tcW w:w="1529" w:type="dxa"/>
          </w:tcPr>
          <w:p w14:paraId="352E6AEF" w14:textId="3562182F" w:rsidR="00C43431" w:rsidRPr="00AE2E6B" w:rsidRDefault="00114E3E" w:rsidP="002A405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0482</w:t>
            </w:r>
          </w:p>
        </w:tc>
      </w:tr>
      <w:tr w:rsidR="00C43431" w:rsidRPr="00AE2E6B" w14:paraId="2CA21801" w14:textId="50C92193" w:rsidTr="00DC519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58ACBAF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58B4AD79" w14:textId="77777777" w:rsidR="00C43431" w:rsidRPr="005B7DA8" w:rsidRDefault="00C43431" w:rsidP="00052E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D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>Positive regulation of glucose import</w:t>
            </w:r>
          </w:p>
        </w:tc>
        <w:tc>
          <w:tcPr>
            <w:tcW w:w="7513" w:type="dxa"/>
          </w:tcPr>
          <w:p w14:paraId="266FDDF0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CAPN10, IGF1, RHOQ</w:t>
            </w:r>
          </w:p>
        </w:tc>
        <w:tc>
          <w:tcPr>
            <w:tcW w:w="1529" w:type="dxa"/>
          </w:tcPr>
          <w:p w14:paraId="4F19DA92" w14:textId="237FE8DD" w:rsidR="00C43431" w:rsidRPr="00AE2E6B" w:rsidRDefault="00114E3E" w:rsidP="002A40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0482</w:t>
            </w:r>
          </w:p>
        </w:tc>
      </w:tr>
      <w:tr w:rsidR="00C43431" w:rsidRPr="00AE2E6B" w14:paraId="028DA887" w14:textId="2DE2E889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17FB3B4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7B1DFC52" w14:textId="77777777" w:rsidR="00C43431" w:rsidRPr="005B7DA8" w:rsidRDefault="00C43431" w:rsidP="00052E4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D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it-IT"/>
              </w:rPr>
              <w:t>Cellular response to insulin stimulus</w:t>
            </w:r>
          </w:p>
        </w:tc>
        <w:tc>
          <w:tcPr>
            <w:tcW w:w="7513" w:type="dxa"/>
          </w:tcPr>
          <w:p w14:paraId="4865C043" w14:textId="77777777" w:rsidR="00C43431" w:rsidRPr="00AE2E6B" w:rsidRDefault="00C43431" w:rsidP="00C4343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CAPN10, SLC25A33, DENND4C, RHOQ, RAB10</w:t>
            </w:r>
          </w:p>
        </w:tc>
        <w:tc>
          <w:tcPr>
            <w:tcW w:w="1529" w:type="dxa"/>
          </w:tcPr>
          <w:p w14:paraId="74FF8CE8" w14:textId="2E6D354C" w:rsidR="00C43431" w:rsidRPr="00AE2E6B" w:rsidRDefault="00114E3E" w:rsidP="002A405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0482</w:t>
            </w:r>
          </w:p>
        </w:tc>
      </w:tr>
      <w:tr w:rsidR="00C43431" w:rsidRPr="00AE2E6B" w14:paraId="23A91DF4" w14:textId="0ACDA8E1" w:rsidTr="00DC519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F8702E3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498668A7" w14:textId="77777777" w:rsidR="00C43431" w:rsidRPr="00AE2E6B" w:rsidRDefault="00C43431" w:rsidP="00052E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Regulation</w:t>
            </w:r>
            <w:proofErr w:type="spellEnd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angiogenesis</w:t>
            </w:r>
            <w:proofErr w:type="spellEnd"/>
          </w:p>
        </w:tc>
        <w:tc>
          <w:tcPr>
            <w:tcW w:w="7513" w:type="dxa"/>
          </w:tcPr>
          <w:p w14:paraId="4469A343" w14:textId="77777777" w:rsidR="00C43431" w:rsidRPr="00AE2E6B" w:rsidRDefault="00C43431" w:rsidP="00C4343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LEP, ENPP2, RNH1</w:t>
            </w:r>
          </w:p>
        </w:tc>
        <w:tc>
          <w:tcPr>
            <w:tcW w:w="1529" w:type="dxa"/>
          </w:tcPr>
          <w:p w14:paraId="0ED47850" w14:textId="27FFB44D" w:rsidR="00C43431" w:rsidRPr="00AE2E6B" w:rsidRDefault="00114E3E" w:rsidP="002A405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0482</w:t>
            </w:r>
          </w:p>
        </w:tc>
      </w:tr>
      <w:tr w:rsidR="00C43431" w:rsidRPr="00AE2E6B" w14:paraId="2EEB9221" w14:textId="08184DDD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29EEE099" w14:textId="77777777" w:rsidR="00C43431" w:rsidRPr="00AE2E6B" w:rsidRDefault="00C43431" w:rsidP="00F97D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A84B01" w14:textId="3EC622D4" w:rsidR="00C43431" w:rsidRPr="00AE2E6B" w:rsidRDefault="00C43431" w:rsidP="00DC51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Adipocytokine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signaling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pathway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95221E9" w14:textId="77777777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LEP, CD36, STK11, ADIPOR2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76FBEA0" w14:textId="0934F859" w:rsidR="00C43431" w:rsidRPr="00AE2E6B" w:rsidRDefault="00114E3E" w:rsidP="002A405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       0</w:t>
            </w:r>
            <w:r w:rsidR="002A405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0482</w:t>
            </w:r>
          </w:p>
        </w:tc>
      </w:tr>
      <w:tr w:rsidR="00C43431" w:rsidRPr="00AE2E6B" w14:paraId="483F4BE3" w14:textId="04F0C177" w:rsidTr="00DC519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51D574" w14:textId="77777777" w:rsidR="00C43431" w:rsidRPr="00AE2E6B" w:rsidRDefault="00C43431" w:rsidP="006F5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_GoBack"/>
            <w:proofErr w:type="spellStart"/>
            <w:r w:rsidRPr="00AE2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  <w:t>ObCRC</w:t>
            </w:r>
            <w:bookmarkEnd w:id="1"/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769856" w14:textId="77777777" w:rsidR="00C43431" w:rsidRPr="00AE2E6B" w:rsidRDefault="00C43431" w:rsidP="00052E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lipolysis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adipocytes</w:t>
            </w:r>
            <w:proofErr w:type="spellEnd"/>
          </w:p>
          <w:p w14:paraId="14BEE2E0" w14:textId="77777777" w:rsidR="00C43431" w:rsidRPr="00AE2E6B" w:rsidRDefault="00C43431" w:rsidP="00052E44">
            <w:pPr>
              <w:spacing w:after="0" w:line="240" w:lineRule="auto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A1277B9" w14:textId="77777777" w:rsidR="00C43431" w:rsidRPr="00AE2E6B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ADCY3, GNAS, PNPLA2, PIK3R1, LIPE, AKT2</w:t>
            </w:r>
          </w:p>
          <w:p w14:paraId="3187F7EF" w14:textId="77777777" w:rsidR="00C43431" w:rsidRPr="00AE2E6B" w:rsidRDefault="00C43431" w:rsidP="00C43431">
            <w:pPr>
              <w:spacing w:after="0" w:line="240" w:lineRule="auto"/>
              <w:jc w:val="both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233AB4B2" w14:textId="2E5B173C" w:rsidR="00C43431" w:rsidRPr="00AE2E6B" w:rsidRDefault="00114E3E" w:rsidP="002A40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  <w:tr w:rsidR="00C43431" w:rsidRPr="00AE2E6B" w14:paraId="48D80392" w14:textId="1E32C890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3F4F28EB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5AE196F6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PI3K-Akt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signaling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pathway</w:t>
            </w:r>
            <w:proofErr w:type="spellEnd"/>
          </w:p>
          <w:p w14:paraId="1B69422C" w14:textId="77777777" w:rsidR="00C43431" w:rsidRPr="00AE2E6B" w:rsidRDefault="00C43431" w:rsidP="00052E44">
            <w:pPr>
              <w:spacing w:after="0" w:line="240" w:lineRule="auto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7513" w:type="dxa"/>
          </w:tcPr>
          <w:p w14:paraId="301C4D8E" w14:textId="77777777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CSF3, FGFR1, COL4A2, PDGFB, CREB1, PPP2R5D, PPP2R5C, PCK2, YWHAE, HSP90B1, GNB2, PRLR, ITGAV, ITGA8, MDM2, NOS3, MLST8, PIK3R1, AKT2</w:t>
            </w:r>
          </w:p>
        </w:tc>
        <w:tc>
          <w:tcPr>
            <w:tcW w:w="1529" w:type="dxa"/>
          </w:tcPr>
          <w:p w14:paraId="1D45031F" w14:textId="7D3C775E" w:rsidR="00C43431" w:rsidRPr="00AE2E6B" w:rsidRDefault="00114E3E" w:rsidP="002A40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0496</w:t>
            </w:r>
          </w:p>
        </w:tc>
      </w:tr>
      <w:tr w:rsidR="00C43431" w:rsidRPr="00AE2E6B" w14:paraId="514E3DC8" w14:textId="7B9588AF" w:rsidTr="00DC519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220DE0B7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0CF659E4" w14:textId="32A8D379" w:rsidR="00C43431" w:rsidRPr="00AE2E6B" w:rsidRDefault="00C43431" w:rsidP="00C434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AMPK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signaling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pathway</w:t>
            </w:r>
            <w:proofErr w:type="spellEnd"/>
          </w:p>
        </w:tc>
        <w:tc>
          <w:tcPr>
            <w:tcW w:w="7513" w:type="dxa"/>
          </w:tcPr>
          <w:p w14:paraId="6214C173" w14:textId="724DEDCD" w:rsidR="00C43431" w:rsidRPr="00AE2E6B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SREBF1, PFKFB3, HMGCR, CREB1, PPP2R5D, PPP2R5C, ACACA, STRADB, PCK2, ADIPOQ, LIPE, PIK3R1, AKT2</w:t>
            </w:r>
          </w:p>
        </w:tc>
        <w:tc>
          <w:tcPr>
            <w:tcW w:w="1529" w:type="dxa"/>
          </w:tcPr>
          <w:p w14:paraId="32A9AC45" w14:textId="3AAC39E4" w:rsidR="00C43431" w:rsidRPr="00AE2E6B" w:rsidRDefault="00114E3E" w:rsidP="002A40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  <w:tr w:rsidR="00C43431" w:rsidRPr="00AE2E6B" w14:paraId="6B069A94" w14:textId="32428EEF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41A4F5CD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707692A2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ngiogenesis</w:t>
            </w:r>
            <w:proofErr w:type="spellEnd"/>
          </w:p>
          <w:p w14:paraId="0FE456E7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D8AA36" w14:textId="1565828C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FGFR1, COL4A2, ACVRL1, ACKR3, MFGE8, ANXA2, PDCL3, TYMP, HOXA3, ITGAV, NOS3, TNFSF12-TNFSF13, TMEM100, ADAM15</w:t>
            </w:r>
          </w:p>
        </w:tc>
        <w:tc>
          <w:tcPr>
            <w:tcW w:w="1529" w:type="dxa"/>
          </w:tcPr>
          <w:p w14:paraId="3E7245AF" w14:textId="33714EAF" w:rsidR="00C43431" w:rsidRPr="00AE2E6B" w:rsidRDefault="00114E3E" w:rsidP="002A40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  <w:tr w:rsidR="00C43431" w:rsidRPr="001E74E9" w14:paraId="68FDD439" w14:textId="40E822C4" w:rsidTr="00DC5199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77650C1C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47FEE162" w14:textId="65E558C0" w:rsidR="00C43431" w:rsidRPr="00E961D2" w:rsidRDefault="00C43431" w:rsidP="00C434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61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Negative regulation of apoptotic process</w:t>
            </w:r>
          </w:p>
        </w:tc>
        <w:tc>
          <w:tcPr>
            <w:tcW w:w="7513" w:type="dxa"/>
          </w:tcPr>
          <w:p w14:paraId="1D23298D" w14:textId="7E6E3B49" w:rsidR="00C43431" w:rsidRPr="005B7DA8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7D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IER3, GCLC, IL6ST, UNG, NCKAP1L, ASNS, SOD2, MIF, IFIT3, SON, RPS6KA3, HSP90B1, BAG1, PRLR, PSEN2, TPT1, MDM2, NAIP, OGG1, PIK3R1, CYR61</w:t>
            </w:r>
          </w:p>
        </w:tc>
        <w:tc>
          <w:tcPr>
            <w:tcW w:w="1529" w:type="dxa"/>
          </w:tcPr>
          <w:p w14:paraId="248A8B07" w14:textId="7F0C3770" w:rsidR="00C43431" w:rsidRPr="005B7DA8" w:rsidRDefault="00114E3E" w:rsidP="002A40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  <w:tr w:rsidR="00C43431" w:rsidRPr="00AE2E6B" w14:paraId="1AF9427E" w14:textId="72044C81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6CC36BEA" w14:textId="77777777" w:rsidR="00C43431" w:rsidRPr="005B7DA8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60" w:type="dxa"/>
          </w:tcPr>
          <w:p w14:paraId="200FEEB7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signaling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pathway</w:t>
            </w:r>
            <w:proofErr w:type="spellEnd"/>
          </w:p>
          <w:p w14:paraId="1E459BF4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7C9F54" w14:textId="77777777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CSNK1D, PIAS4, CSNK2B, LEO1, CTNND1, RNF138, APCDD1, FBXW11, CCAR2, MARK1, BCL7B</w:t>
            </w:r>
          </w:p>
        </w:tc>
        <w:tc>
          <w:tcPr>
            <w:tcW w:w="1529" w:type="dxa"/>
          </w:tcPr>
          <w:p w14:paraId="29F7DD36" w14:textId="2F9ACB4D" w:rsidR="00C43431" w:rsidRPr="00AE2E6B" w:rsidRDefault="00114E3E" w:rsidP="002A40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  <w:tr w:rsidR="00C43431" w:rsidRPr="00AE2E6B" w14:paraId="488719BB" w14:textId="24EE2D45" w:rsidTr="00DC519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6778A1AE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19DF7C1C" w14:textId="77777777" w:rsidR="00C43431" w:rsidRPr="00AE2E6B" w:rsidRDefault="00C43431" w:rsidP="00052E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ellular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response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glucose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starvation</w:t>
            </w:r>
            <w:proofErr w:type="spellEnd"/>
          </w:p>
        </w:tc>
        <w:tc>
          <w:tcPr>
            <w:tcW w:w="7513" w:type="dxa"/>
          </w:tcPr>
          <w:p w14:paraId="2DA9073A" w14:textId="77777777" w:rsidR="00C43431" w:rsidRPr="00AE2E6B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TG14, PIK3C3, ASNS, MYBBP1A</w:t>
            </w:r>
          </w:p>
        </w:tc>
        <w:tc>
          <w:tcPr>
            <w:tcW w:w="1529" w:type="dxa"/>
          </w:tcPr>
          <w:p w14:paraId="604B82EF" w14:textId="2B14A5EC" w:rsidR="00C43431" w:rsidRDefault="00114E3E" w:rsidP="002A40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  <w:tr w:rsidR="00C43431" w:rsidRPr="00AE2E6B" w14:paraId="33B22650" w14:textId="4BEB06FB" w:rsidTr="00DC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01F2F6BA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14:paraId="60EFDE3D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xtracellular</w:t>
            </w:r>
            <w:proofErr w:type="spellEnd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</w:t>
            </w:r>
            <w:proofErr w:type="spellEnd"/>
          </w:p>
          <w:p w14:paraId="6D2DAB7E" w14:textId="77777777" w:rsidR="00C43431" w:rsidRPr="00AE2E6B" w:rsidRDefault="00C43431" w:rsidP="00052E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18EFBF" w14:textId="77777777" w:rsidR="00C43431" w:rsidRPr="00AE2E6B" w:rsidRDefault="00C43431" w:rsidP="00C434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P4HB, COL4A2, PDGFB, LMNA, MFGE8, HNRNPU, ANXA2, ACTG1, HNRNPM, LGALS3BP, RPS18, HSP90B1, SERPINF1, RPL9, EIF4A1, RPS13, ATP5O, CYR61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DDR1, COL4A2, PDGFB, ITGAV, ITGA8, NF1, NID2, LOX, SPARC, CYR61</w:t>
            </w:r>
          </w:p>
        </w:tc>
        <w:tc>
          <w:tcPr>
            <w:tcW w:w="1529" w:type="dxa"/>
          </w:tcPr>
          <w:p w14:paraId="1277A434" w14:textId="4E815077" w:rsidR="00C43431" w:rsidRPr="00AE2E6B" w:rsidRDefault="00114E3E" w:rsidP="002A40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  <w:tr w:rsidR="00C43431" w:rsidRPr="00AE2E6B" w14:paraId="0BE62F57" w14:textId="12E30A47" w:rsidTr="00DC519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14:paraId="5474A02E" w14:textId="77777777" w:rsidR="00C43431" w:rsidRPr="00AE2E6B" w:rsidRDefault="00C43431" w:rsidP="00052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31EBBD" w14:textId="77777777" w:rsidR="00C43431" w:rsidRDefault="00C43431" w:rsidP="00052E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B2D8222" w14:textId="77777777" w:rsidR="00C43431" w:rsidRPr="00AE2E6B" w:rsidRDefault="00C43431" w:rsidP="00C434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DDR1, PDGFB, C1QTNF1, NID2, SPARC, PCOLCE2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B0DFFCA" w14:textId="4D769657" w:rsidR="00C43431" w:rsidRPr="00052E44" w:rsidRDefault="00114E3E" w:rsidP="002A40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0485</w:t>
            </w:r>
          </w:p>
        </w:tc>
      </w:tr>
    </w:tbl>
    <w:p w14:paraId="18B2E00B" w14:textId="77777777" w:rsidR="00773687" w:rsidRPr="00AE2E6B" w:rsidRDefault="00773687" w:rsidP="005E6AA5">
      <w:pPr>
        <w:rPr>
          <w:rFonts w:ascii="Times New Roman" w:hAnsi="Times New Roman" w:cs="Times New Roman"/>
          <w:sz w:val="24"/>
          <w:szCs w:val="24"/>
        </w:rPr>
      </w:pPr>
    </w:p>
    <w:sectPr w:rsidR="00773687" w:rsidRPr="00AE2E6B" w:rsidSect="00BF4E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71"/>
    <w:rsid w:val="000370D3"/>
    <w:rsid w:val="00052E44"/>
    <w:rsid w:val="000542DE"/>
    <w:rsid w:val="0007396F"/>
    <w:rsid w:val="000C71DF"/>
    <w:rsid w:val="000C77BA"/>
    <w:rsid w:val="00106471"/>
    <w:rsid w:val="00114E3E"/>
    <w:rsid w:val="00146632"/>
    <w:rsid w:val="00194784"/>
    <w:rsid w:val="001C2A43"/>
    <w:rsid w:val="001E563D"/>
    <w:rsid w:val="001E623A"/>
    <w:rsid w:val="001E74E9"/>
    <w:rsid w:val="00282508"/>
    <w:rsid w:val="002A4051"/>
    <w:rsid w:val="002C13F4"/>
    <w:rsid w:val="003307C3"/>
    <w:rsid w:val="00356E1B"/>
    <w:rsid w:val="00363D97"/>
    <w:rsid w:val="00376502"/>
    <w:rsid w:val="00383891"/>
    <w:rsid w:val="003D62BC"/>
    <w:rsid w:val="004017CF"/>
    <w:rsid w:val="0049271A"/>
    <w:rsid w:val="004F2A7C"/>
    <w:rsid w:val="005143FE"/>
    <w:rsid w:val="005605D1"/>
    <w:rsid w:val="00595FF9"/>
    <w:rsid w:val="005B7DA8"/>
    <w:rsid w:val="005E6AA5"/>
    <w:rsid w:val="00646AA9"/>
    <w:rsid w:val="006A4D77"/>
    <w:rsid w:val="006F5F95"/>
    <w:rsid w:val="00723588"/>
    <w:rsid w:val="00773687"/>
    <w:rsid w:val="007739F1"/>
    <w:rsid w:val="007A4FD2"/>
    <w:rsid w:val="008A2722"/>
    <w:rsid w:val="008B361E"/>
    <w:rsid w:val="0096292F"/>
    <w:rsid w:val="009F34E0"/>
    <w:rsid w:val="00AB6543"/>
    <w:rsid w:val="00AE2E6B"/>
    <w:rsid w:val="00AF528F"/>
    <w:rsid w:val="00B0156B"/>
    <w:rsid w:val="00B3064E"/>
    <w:rsid w:val="00B436F2"/>
    <w:rsid w:val="00BD6BBD"/>
    <w:rsid w:val="00BF4E05"/>
    <w:rsid w:val="00C10283"/>
    <w:rsid w:val="00C43431"/>
    <w:rsid w:val="00CA7395"/>
    <w:rsid w:val="00CD59AB"/>
    <w:rsid w:val="00D81481"/>
    <w:rsid w:val="00DA5339"/>
    <w:rsid w:val="00DC5199"/>
    <w:rsid w:val="00DD7D7B"/>
    <w:rsid w:val="00DE0997"/>
    <w:rsid w:val="00E2508B"/>
    <w:rsid w:val="00E549C4"/>
    <w:rsid w:val="00E961D2"/>
    <w:rsid w:val="00F01184"/>
    <w:rsid w:val="00F36620"/>
    <w:rsid w:val="00F97DEE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FE49"/>
  <w15:chartTrackingRefBased/>
  <w15:docId w15:val="{4AC2CF0E-F215-44ED-8E51-05B37A7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4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E6B"/>
    <w:rPr>
      <w:rFonts w:ascii="Segoe UI" w:hAnsi="Segoe UI" w:cs="Segoe UI"/>
      <w:sz w:val="18"/>
      <w:szCs w:val="18"/>
    </w:rPr>
  </w:style>
  <w:style w:type="table" w:styleId="Tabellasemplice5">
    <w:name w:val="Plain Table 5"/>
    <w:basedOn w:val="Tabellanormale"/>
    <w:uiPriority w:val="45"/>
    <w:rsid w:val="00F97D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Corno' Manuela</dc:creator>
  <cp:keywords/>
  <dc:description/>
  <cp:lastModifiedBy>Del Corno' Manuela</cp:lastModifiedBy>
  <cp:revision>4</cp:revision>
  <cp:lastPrinted>2018-07-10T11:42:00Z</cp:lastPrinted>
  <dcterms:created xsi:type="dcterms:W3CDTF">2019-01-17T08:21:00Z</dcterms:created>
  <dcterms:modified xsi:type="dcterms:W3CDTF">2019-01-17T08:22:00Z</dcterms:modified>
</cp:coreProperties>
</file>