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3D00" w14:textId="77777777" w:rsidR="00C44B78" w:rsidRDefault="00C44B78" w:rsidP="00C44B78">
      <w:pPr>
        <w:pStyle w:val="AuthorList"/>
        <w:jc w:val="center"/>
        <w:rPr>
          <w:iCs/>
          <w:sz w:val="32"/>
          <w:szCs w:val="32"/>
          <w:lang w:val="en-GB"/>
        </w:rPr>
      </w:pPr>
      <w:r w:rsidRPr="002739D4">
        <w:rPr>
          <w:iCs/>
          <w:sz w:val="32"/>
          <w:szCs w:val="32"/>
          <w:lang w:val="en-GB"/>
        </w:rPr>
        <w:t xml:space="preserve">An </w:t>
      </w:r>
      <w:r w:rsidRPr="002739D4">
        <w:rPr>
          <w:i/>
          <w:iCs/>
          <w:sz w:val="32"/>
          <w:szCs w:val="32"/>
          <w:lang w:val="en-GB"/>
        </w:rPr>
        <w:t xml:space="preserve">in vitro </w:t>
      </w:r>
      <w:r w:rsidRPr="002739D4">
        <w:rPr>
          <w:iCs/>
          <w:sz w:val="32"/>
          <w:szCs w:val="32"/>
          <w:lang w:val="en-GB"/>
        </w:rPr>
        <w:t xml:space="preserve">ADME and </w:t>
      </w:r>
      <w:r w:rsidRPr="002739D4">
        <w:rPr>
          <w:i/>
          <w:iCs/>
          <w:sz w:val="32"/>
          <w:szCs w:val="32"/>
          <w:lang w:val="en-GB"/>
        </w:rPr>
        <w:t xml:space="preserve">in vivo </w:t>
      </w:r>
      <w:r w:rsidRPr="002739D4">
        <w:rPr>
          <w:iCs/>
          <w:sz w:val="32"/>
          <w:szCs w:val="32"/>
          <w:lang w:val="en-GB"/>
        </w:rPr>
        <w:t>pharmacokinetic study of novel TB-active decoquinate derivatives</w:t>
      </w:r>
    </w:p>
    <w:p w14:paraId="47CCF43B" w14:textId="77777777" w:rsidR="00C44B78" w:rsidRDefault="00C44B78" w:rsidP="00C44B78">
      <w:pPr>
        <w:pStyle w:val="Header"/>
        <w:jc w:val="center"/>
      </w:pPr>
      <w:r>
        <w:rPr>
          <w:lang w:val="en-GB"/>
        </w:rPr>
        <w:t xml:space="preserve">Running title: </w:t>
      </w:r>
      <w:r>
        <w:t>DMPK study of decoquinate derivatives</w:t>
      </w:r>
    </w:p>
    <w:p w14:paraId="1CC24B62" w14:textId="77777777" w:rsidR="00C44B78" w:rsidRPr="00C44B78" w:rsidRDefault="00C44B78" w:rsidP="00C44B78">
      <w:pPr>
        <w:rPr>
          <w:rFonts w:ascii="Times New Roman" w:hAnsi="Times New Roman" w:cs="Times New Roman"/>
          <w:b/>
          <w:vertAlign w:val="superscript"/>
        </w:rPr>
      </w:pPr>
      <w:r w:rsidRPr="00C44B78">
        <w:rPr>
          <w:rFonts w:ascii="Times New Roman" w:hAnsi="Times New Roman" w:cs="Times New Roman"/>
          <w:b/>
        </w:rPr>
        <w:t>Lloyd Tanner</w:t>
      </w:r>
      <w:r w:rsidRPr="00C44B78">
        <w:rPr>
          <w:rFonts w:ascii="Times New Roman" w:hAnsi="Times New Roman" w:cs="Times New Roman"/>
          <w:b/>
          <w:vertAlign w:val="superscript"/>
        </w:rPr>
        <w:t>1</w:t>
      </w:r>
      <w:r w:rsidRPr="00C44B78">
        <w:rPr>
          <w:rFonts w:ascii="Times New Roman" w:hAnsi="Times New Roman" w:cs="Times New Roman"/>
          <w:b/>
        </w:rPr>
        <w:t>, Richard K. Haynes</w:t>
      </w:r>
      <w:r w:rsidRPr="00C44B78">
        <w:rPr>
          <w:rFonts w:ascii="Times New Roman" w:hAnsi="Times New Roman" w:cs="Times New Roman"/>
          <w:b/>
          <w:vertAlign w:val="superscript"/>
        </w:rPr>
        <w:t>2</w:t>
      </w:r>
      <w:r w:rsidRPr="00C44B78">
        <w:rPr>
          <w:rFonts w:ascii="Times New Roman" w:hAnsi="Times New Roman" w:cs="Times New Roman"/>
          <w:b/>
        </w:rPr>
        <w:t>, Lubbe Wiesner</w:t>
      </w:r>
      <w:r w:rsidRPr="00C44B78">
        <w:rPr>
          <w:rFonts w:ascii="Times New Roman" w:hAnsi="Times New Roman" w:cs="Times New Roman"/>
          <w:b/>
          <w:vertAlign w:val="superscript"/>
        </w:rPr>
        <w:t xml:space="preserve"> *1</w:t>
      </w:r>
    </w:p>
    <w:p w14:paraId="64D2C12C" w14:textId="77777777" w:rsidR="00C44B78" w:rsidRPr="00C44B78" w:rsidRDefault="00C44B78" w:rsidP="00C44B78">
      <w:pPr>
        <w:pStyle w:val="ListParagraph"/>
        <w:numPr>
          <w:ilvl w:val="0"/>
          <w:numId w:val="2"/>
        </w:numPr>
        <w:spacing w:before="15" w:after="165" w:line="480" w:lineRule="auto"/>
        <w:rPr>
          <w:shd w:val="clear" w:color="auto" w:fill="FFFFFF"/>
        </w:rPr>
      </w:pPr>
      <w:r w:rsidRPr="00C44B78">
        <w:rPr>
          <w:shd w:val="clear" w:color="auto" w:fill="FFFFFF"/>
        </w:rPr>
        <w:t>Division of Clinical Pharmacology, Department of Medicine, University of Cape Town, Observatory, 7925, South Africa.</w:t>
      </w:r>
    </w:p>
    <w:p w14:paraId="04499545" w14:textId="77777777" w:rsidR="00C44B78" w:rsidRPr="00C44B78" w:rsidRDefault="00C44B78" w:rsidP="00C44B78">
      <w:pPr>
        <w:pStyle w:val="ListParagraph"/>
        <w:numPr>
          <w:ilvl w:val="0"/>
          <w:numId w:val="2"/>
        </w:numPr>
        <w:spacing w:before="15" w:after="165" w:line="480" w:lineRule="auto"/>
        <w:rPr>
          <w:shd w:val="clear" w:color="auto" w:fill="FFFFFF"/>
        </w:rPr>
      </w:pPr>
      <w:r w:rsidRPr="00C44B78">
        <w:rPr>
          <w:shd w:val="clear" w:color="auto" w:fill="FFFFFF"/>
        </w:rPr>
        <w:t>Centre of Excellence for Pharmaceutical Sciences, Faculty of Health Sciences, North-West University, Potchefstroom, 2520, South Africa</w:t>
      </w:r>
      <w:r w:rsidR="000B52FF">
        <w:rPr>
          <w:shd w:val="clear" w:color="auto" w:fill="FFFFFF"/>
        </w:rPr>
        <w:t>.</w:t>
      </w:r>
    </w:p>
    <w:p w14:paraId="15F03B34" w14:textId="77777777" w:rsidR="00C44B78" w:rsidRPr="00C44B78" w:rsidRDefault="00C44B78" w:rsidP="00C44B78">
      <w:pPr>
        <w:pStyle w:val="ListParagraph"/>
        <w:numPr>
          <w:ilvl w:val="0"/>
          <w:numId w:val="0"/>
        </w:numPr>
        <w:spacing w:before="15" w:after="165" w:line="480" w:lineRule="auto"/>
        <w:ind w:left="720"/>
        <w:rPr>
          <w:b/>
          <w:shd w:val="clear" w:color="auto" w:fill="FFFFFF"/>
        </w:rPr>
      </w:pPr>
      <w:r w:rsidRPr="00C44B78">
        <w:rPr>
          <w:b/>
          <w:shd w:val="clear" w:color="auto" w:fill="FFFFFF"/>
        </w:rPr>
        <w:t>Correspondence:</w:t>
      </w:r>
    </w:p>
    <w:p w14:paraId="3C1C0A24" w14:textId="77777777" w:rsidR="00C44B78" w:rsidRPr="00C44B78" w:rsidRDefault="00C44B78" w:rsidP="00C44B78">
      <w:pPr>
        <w:pStyle w:val="ListParagraph"/>
        <w:numPr>
          <w:ilvl w:val="0"/>
          <w:numId w:val="0"/>
        </w:numPr>
        <w:spacing w:before="15" w:after="165" w:line="480" w:lineRule="auto"/>
        <w:ind w:left="720"/>
        <w:rPr>
          <w:shd w:val="clear" w:color="auto" w:fill="FFFFFF"/>
        </w:rPr>
      </w:pPr>
      <w:r w:rsidRPr="00C44B78">
        <w:rPr>
          <w:shd w:val="clear" w:color="auto" w:fill="FFFFFF"/>
        </w:rPr>
        <w:t>*Corresponding author: Associate Professor Lubbe Wiesner</w:t>
      </w:r>
    </w:p>
    <w:p w14:paraId="1ABDCF29" w14:textId="77777777" w:rsidR="00C44B78" w:rsidRPr="00C44B78" w:rsidRDefault="00C44B78" w:rsidP="00C44B78">
      <w:pPr>
        <w:pStyle w:val="ListParagraph"/>
        <w:numPr>
          <w:ilvl w:val="0"/>
          <w:numId w:val="0"/>
        </w:numPr>
        <w:spacing w:before="15" w:after="165" w:line="480" w:lineRule="auto"/>
        <w:ind w:left="720"/>
        <w:rPr>
          <w:shd w:val="clear" w:color="auto" w:fill="FFFFFF"/>
        </w:rPr>
      </w:pPr>
      <w:r w:rsidRPr="00C44B78">
        <w:rPr>
          <w:shd w:val="clear" w:color="auto" w:fill="FFFFFF"/>
        </w:rPr>
        <w:t>Email: lubbe.wiesner@uct.ac.za</w:t>
      </w:r>
    </w:p>
    <w:p w14:paraId="7EC127B1" w14:textId="77777777" w:rsidR="00C44B78" w:rsidRDefault="00C44B78" w:rsidP="00346BF9">
      <w:pPr>
        <w:keepNext/>
        <w:keepLines/>
        <w:spacing w:before="45" w:after="90" w:line="480" w:lineRule="auto"/>
        <w:ind w:left="90"/>
        <w:jc w:val="both"/>
        <w:outlineLvl w:val="1"/>
        <w:rPr>
          <w:rFonts w:ascii="Times New Roman" w:eastAsiaTheme="majorEastAsia" w:hAnsi="Times New Roman" w:cs="Times New Roman"/>
          <w:b/>
          <w:color w:val="auto"/>
        </w:rPr>
      </w:pPr>
    </w:p>
    <w:p w14:paraId="531C9C4C" w14:textId="77777777" w:rsidR="00346BF9" w:rsidRDefault="00C44B78" w:rsidP="00346BF9">
      <w:pPr>
        <w:keepNext/>
        <w:keepLines/>
        <w:spacing w:before="45" w:after="90" w:line="480" w:lineRule="auto"/>
        <w:ind w:left="90"/>
        <w:jc w:val="both"/>
        <w:outlineLvl w:val="1"/>
        <w:rPr>
          <w:rFonts w:ascii="Times New Roman" w:eastAsiaTheme="majorEastAsia" w:hAnsi="Times New Roman" w:cs="Times New Roman"/>
          <w:b/>
          <w:color w:val="auto"/>
        </w:rPr>
      </w:pPr>
      <w:r>
        <w:rPr>
          <w:rFonts w:ascii="Times New Roman" w:eastAsiaTheme="majorEastAsia" w:hAnsi="Times New Roman" w:cs="Times New Roman"/>
          <w:b/>
          <w:color w:val="auto"/>
        </w:rPr>
        <w:t>1. Supplementary</w:t>
      </w:r>
      <w:r w:rsidR="00346BF9" w:rsidRPr="00C44B78">
        <w:rPr>
          <w:rFonts w:ascii="Times New Roman" w:eastAsiaTheme="majorEastAsia" w:hAnsi="Times New Roman" w:cs="Times New Roman"/>
          <w:b/>
          <w:color w:val="auto"/>
        </w:rPr>
        <w:t xml:space="preserve"> material</w:t>
      </w:r>
    </w:p>
    <w:p w14:paraId="0BA4F823" w14:textId="77777777" w:rsidR="00C44B78" w:rsidRPr="00C44B78" w:rsidRDefault="00C44B78" w:rsidP="00346BF9">
      <w:pPr>
        <w:keepNext/>
        <w:keepLines/>
        <w:spacing w:before="45" w:after="90" w:line="480" w:lineRule="auto"/>
        <w:ind w:left="90"/>
        <w:jc w:val="both"/>
        <w:outlineLvl w:val="1"/>
        <w:rPr>
          <w:rFonts w:ascii="Times New Roman" w:eastAsiaTheme="majorEastAsia" w:hAnsi="Times New Roman" w:cs="Times New Roman"/>
          <w:b/>
          <w:color w:val="auto"/>
        </w:rPr>
      </w:pPr>
      <w:r>
        <w:rPr>
          <w:rFonts w:ascii="Times New Roman" w:eastAsiaTheme="majorEastAsia" w:hAnsi="Times New Roman" w:cs="Times New Roman"/>
          <w:b/>
          <w:color w:val="auto"/>
        </w:rPr>
        <w:t xml:space="preserve">1.1 LC-MS/MS method validation </w:t>
      </w:r>
    </w:p>
    <w:p w14:paraId="52D0191A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  <w:r w:rsidRPr="00C44B78">
        <w:rPr>
          <w:rFonts w:ascii="Times New Roman" w:hAnsi="Times New Roman" w:cs="Times New Roman"/>
          <w:color w:val="auto"/>
        </w:rPr>
        <w:t>Partial method validation, comprising several tests to determine whether the compounds were stable in each possible experimental situation involved with sample collection, storage, and processing, was performed. These tests included: (i) compound stability in mouse whole-blood (on ice and at -80°C), (ii) compound stability in the autosampler, (iii) compound stability in oral and intravenous formulations, (iv) matrix effects (ME), and (v) compound recovery. In this study, stability is reported as a percentage, reflecting the stability of the compound in relation to a fresh sample prepared just before analysis.</w:t>
      </w:r>
    </w:p>
    <w:p w14:paraId="145FD1BD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  <w:bookmarkStart w:id="0" w:name="_Ref520818184"/>
      <w:bookmarkStart w:id="1" w:name="_Toc523470504"/>
      <w:r w:rsidRPr="00C44B78">
        <w:rPr>
          <w:rFonts w:ascii="Times New Roman" w:hAnsi="Times New Roman" w:cs="Times New Roman"/>
          <w:color w:val="auto"/>
        </w:rPr>
        <w:lastRenderedPageBreak/>
        <w:t>The compound concentrations measured in these samples were within 20% range of those of freshly prepared samples of the same concentration extracted using ACN containing IS (Table S1).</w:t>
      </w:r>
    </w:p>
    <w:p w14:paraId="3AFE0A97" w14:textId="77777777" w:rsidR="00346BF9" w:rsidRPr="00C44B78" w:rsidRDefault="00346BF9" w:rsidP="00346BF9">
      <w:pPr>
        <w:spacing w:before="15" w:after="200" w:line="240" w:lineRule="auto"/>
        <w:ind w:left="90"/>
        <w:jc w:val="both"/>
        <w:rPr>
          <w:rFonts w:ascii="Times New Roman" w:eastAsiaTheme="minorEastAsia" w:hAnsi="Times New Roman" w:cs="Times New Roman"/>
          <w:b/>
          <w:iCs/>
          <w:color w:val="auto"/>
        </w:rPr>
      </w:pPr>
      <w:r w:rsidRPr="00C44B78">
        <w:rPr>
          <w:rFonts w:ascii="Times New Roman" w:eastAsiaTheme="minorEastAsia" w:hAnsi="Times New Roman" w:cs="Times New Roman"/>
          <w:b/>
          <w:iCs/>
          <w:color w:val="auto"/>
        </w:rPr>
        <w:t>Table</w:t>
      </w:r>
      <w:bookmarkEnd w:id="0"/>
      <w:r w:rsidRPr="00C44B78">
        <w:rPr>
          <w:rFonts w:ascii="Times New Roman" w:eastAsiaTheme="minorEastAsia" w:hAnsi="Times New Roman" w:cs="Times New Roman"/>
          <w:b/>
          <w:iCs/>
          <w:color w:val="auto"/>
        </w:rPr>
        <w:t xml:space="preserve"> S1. Stability </w:t>
      </w:r>
      <w:proofErr w:type="spellStart"/>
      <w:r w:rsidRPr="00C44B78">
        <w:rPr>
          <w:rFonts w:ascii="Times New Roman" w:eastAsiaTheme="minorEastAsia" w:hAnsi="Times New Roman" w:cs="Times New Roman"/>
          <w:b/>
          <w:iCs/>
          <w:color w:val="auto"/>
        </w:rPr>
        <w:t>testing</w:t>
      </w:r>
      <w:r w:rsidRPr="00C44B78">
        <w:rPr>
          <w:rFonts w:ascii="Times New Roman" w:eastAsiaTheme="minorEastAsia" w:hAnsi="Times New Roman" w:cs="Times New Roman"/>
          <w:b/>
          <w:iCs/>
          <w:color w:val="auto"/>
          <w:vertAlign w:val="superscript"/>
        </w:rPr>
        <w:t>a</w:t>
      </w:r>
      <w:bookmarkEnd w:id="1"/>
      <w:proofErr w:type="spellEnd"/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84"/>
        <w:gridCol w:w="885"/>
        <w:gridCol w:w="884"/>
        <w:gridCol w:w="749"/>
        <w:gridCol w:w="992"/>
        <w:gridCol w:w="992"/>
        <w:gridCol w:w="1418"/>
        <w:gridCol w:w="1417"/>
      </w:tblGrid>
      <w:tr w:rsidR="00346BF9" w:rsidRPr="00C44B78" w14:paraId="01775936" w14:textId="77777777" w:rsidTr="008F47B1">
        <w:trPr>
          <w:trHeight w:val="31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E90EE8" w14:textId="77777777" w:rsidR="00346BF9" w:rsidRPr="00C44B78" w:rsidRDefault="00346BF9" w:rsidP="00346BF9">
            <w:pPr>
              <w:spacing w:before="15" w:after="165" w:line="24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Compound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EDC223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Murine whole-blood (ice, 2 h)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D62BF" w14:textId="77777777" w:rsidR="00346BF9" w:rsidRPr="00C44B78" w:rsidDel="00891A8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Murine whole-blood (-80 °C freeze- thaw)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0235C4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Autosampler stability (48 h)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8E20" w14:textId="77777777" w:rsidR="00346BF9" w:rsidRPr="00C44B78" w:rsidDel="00891A8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Oral formulation stability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BA2701" w14:textId="77777777" w:rsidR="00346BF9" w:rsidRPr="00C44B78" w:rsidDel="00891A8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IV formulation stability</w:t>
            </w:r>
          </w:p>
        </w:tc>
      </w:tr>
      <w:tr w:rsidR="00346BF9" w:rsidRPr="00C44B78" w14:paraId="6CC7FEA5" w14:textId="77777777" w:rsidTr="008F47B1">
        <w:trPr>
          <w:trHeight w:val="311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A62C3B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2263">
              <w:rPr>
                <w:rFonts w:ascii="Times New Roman" w:hAnsi="Times New Roman" w:cs="Times New Roman"/>
                <w:color w:val="auto"/>
                <w:sz w:val="22"/>
              </w:rPr>
              <w:t>Concentration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FBB571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6C8578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492922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BBBD5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5B9116" w14:textId="77777777" w:rsidR="00346BF9" w:rsidRPr="00C44B78" w:rsidRDefault="00346BF9" w:rsidP="00346BF9">
            <w:pPr>
              <w:tabs>
                <w:tab w:val="left" w:pos="840"/>
              </w:tabs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D9FB1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81A19B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21766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</w:tr>
      <w:tr w:rsidR="00346BF9" w:rsidRPr="00C44B78" w14:paraId="76789993" w14:textId="77777777" w:rsidTr="008F47B1">
        <w:trPr>
          <w:trHeight w:val="296"/>
          <w:jc w:val="center"/>
        </w:trPr>
        <w:tc>
          <w:tcPr>
            <w:tcW w:w="1560" w:type="dxa"/>
            <w:tcBorders>
              <w:top w:val="single" w:sz="4" w:space="0" w:color="auto"/>
            </w:tcBorders>
            <w:noWrap/>
          </w:tcPr>
          <w:p w14:paraId="4F80E6BE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041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</w:tcPr>
          <w:p w14:paraId="1F20E8F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91.2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noWrap/>
          </w:tcPr>
          <w:p w14:paraId="4C95C1FD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89.2</w:t>
            </w:r>
          </w:p>
        </w:tc>
        <w:tc>
          <w:tcPr>
            <w:tcW w:w="884" w:type="dxa"/>
            <w:tcBorders>
              <w:top w:val="single" w:sz="4" w:space="0" w:color="auto"/>
            </w:tcBorders>
            <w:noWrap/>
          </w:tcPr>
          <w:p w14:paraId="283FEF9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98.7</w:t>
            </w:r>
          </w:p>
        </w:tc>
        <w:tc>
          <w:tcPr>
            <w:tcW w:w="749" w:type="dxa"/>
            <w:tcBorders>
              <w:top w:val="single" w:sz="4" w:space="0" w:color="auto"/>
            </w:tcBorders>
            <w:noWrap/>
          </w:tcPr>
          <w:p w14:paraId="37D71DD1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99.2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529FA9F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94.1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48A77F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92.1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484E9E8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98.0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0B23C63C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90.3</w:t>
            </w:r>
          </w:p>
        </w:tc>
      </w:tr>
      <w:tr w:rsidR="00346BF9" w:rsidRPr="00C44B78" w14:paraId="64BDB295" w14:textId="77777777" w:rsidTr="008F47B1">
        <w:trPr>
          <w:trHeight w:val="296"/>
          <w:jc w:val="center"/>
        </w:trPr>
        <w:tc>
          <w:tcPr>
            <w:tcW w:w="1560" w:type="dxa"/>
            <w:noWrap/>
          </w:tcPr>
          <w:p w14:paraId="0BA89BEF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043</w:t>
            </w:r>
          </w:p>
        </w:tc>
        <w:tc>
          <w:tcPr>
            <w:tcW w:w="884" w:type="dxa"/>
            <w:noWrap/>
          </w:tcPr>
          <w:p w14:paraId="5E72D94B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109.0</w:t>
            </w:r>
          </w:p>
        </w:tc>
        <w:tc>
          <w:tcPr>
            <w:tcW w:w="885" w:type="dxa"/>
            <w:noWrap/>
          </w:tcPr>
          <w:p w14:paraId="7706F84C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102.4</w:t>
            </w:r>
          </w:p>
        </w:tc>
        <w:tc>
          <w:tcPr>
            <w:tcW w:w="884" w:type="dxa"/>
            <w:noWrap/>
          </w:tcPr>
          <w:p w14:paraId="6170649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92.5</w:t>
            </w:r>
          </w:p>
        </w:tc>
        <w:tc>
          <w:tcPr>
            <w:tcW w:w="749" w:type="dxa"/>
            <w:noWrap/>
          </w:tcPr>
          <w:p w14:paraId="2FCF946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91.3</w:t>
            </w:r>
          </w:p>
        </w:tc>
        <w:tc>
          <w:tcPr>
            <w:tcW w:w="992" w:type="dxa"/>
            <w:noWrap/>
          </w:tcPr>
          <w:p w14:paraId="497CF8F4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99.1</w:t>
            </w:r>
          </w:p>
        </w:tc>
        <w:tc>
          <w:tcPr>
            <w:tcW w:w="992" w:type="dxa"/>
          </w:tcPr>
          <w:p w14:paraId="5A6771B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99.8</w:t>
            </w:r>
          </w:p>
        </w:tc>
        <w:tc>
          <w:tcPr>
            <w:tcW w:w="1418" w:type="dxa"/>
            <w:noWrap/>
          </w:tcPr>
          <w:p w14:paraId="4D819753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89.0</w:t>
            </w:r>
          </w:p>
        </w:tc>
        <w:tc>
          <w:tcPr>
            <w:tcW w:w="1417" w:type="dxa"/>
            <w:noWrap/>
          </w:tcPr>
          <w:p w14:paraId="7F9726F0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93.1</w:t>
            </w:r>
          </w:p>
        </w:tc>
      </w:tr>
      <w:tr w:rsidR="00346BF9" w:rsidRPr="00C44B78" w14:paraId="177FBFAF" w14:textId="77777777" w:rsidTr="008F47B1">
        <w:trPr>
          <w:trHeight w:val="29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5C78DF7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073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</w:tcPr>
          <w:p w14:paraId="242189D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92.3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noWrap/>
          </w:tcPr>
          <w:p w14:paraId="35B193A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87.6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</w:tcPr>
          <w:p w14:paraId="787A87B8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97.3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noWrap/>
          </w:tcPr>
          <w:p w14:paraId="0FB58912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42582851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102.0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0F8EC8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105.3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14:paraId="2EE562F4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3111EB61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98.8</w:t>
            </w:r>
          </w:p>
        </w:tc>
      </w:tr>
    </w:tbl>
    <w:p w14:paraId="1AE94F14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a</w:t>
      </w:r>
      <w:r w:rsidRPr="00C44B78">
        <w:rPr>
          <w:rFonts w:ascii="Times New Roman" w:hAnsi="Times New Roman" w:cs="Times New Roman"/>
          <w:color w:val="auto"/>
        </w:rPr>
        <w:t>values</w:t>
      </w:r>
      <w:proofErr w:type="spellEnd"/>
      <w:r w:rsidRPr="00C44B78">
        <w:rPr>
          <w:rFonts w:ascii="Times New Roman" w:hAnsi="Times New Roman" w:cs="Times New Roman"/>
          <w:color w:val="auto"/>
        </w:rPr>
        <w:t xml:space="preserve"> presented as percentages compared to that obtained from a freshly prepared sample; </w:t>
      </w: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b</w:t>
      </w:r>
      <w:r w:rsidRPr="00C44B78">
        <w:rPr>
          <w:rFonts w:ascii="Times New Roman" w:hAnsi="Times New Roman" w:cs="Times New Roman"/>
          <w:color w:val="auto"/>
        </w:rPr>
        <w:t>High</w:t>
      </w:r>
      <w:proofErr w:type="spellEnd"/>
      <w:r w:rsidRPr="00C44B78">
        <w:rPr>
          <w:rFonts w:ascii="Times New Roman" w:hAnsi="Times New Roman" w:cs="Times New Roman"/>
          <w:color w:val="auto"/>
        </w:rPr>
        <w:t>, 4000 ng/mL; low, 10 ng/mL</w:t>
      </w:r>
    </w:p>
    <w:p w14:paraId="038B7614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</w:p>
    <w:p w14:paraId="183D9F81" w14:textId="77777777" w:rsidR="00346BF9" w:rsidRPr="00C44B78" w:rsidRDefault="00346BF9" w:rsidP="00346BF9">
      <w:pPr>
        <w:spacing w:before="15" w:after="165" w:line="480" w:lineRule="auto"/>
        <w:jc w:val="both"/>
        <w:rPr>
          <w:rFonts w:ascii="Times New Roman" w:hAnsi="Times New Roman" w:cs="Times New Roman"/>
          <w:color w:val="auto"/>
        </w:rPr>
      </w:pPr>
      <w:bookmarkStart w:id="2" w:name="_Toc523470505"/>
      <w:r w:rsidRPr="00C44B78">
        <w:rPr>
          <w:rFonts w:ascii="Times New Roman" w:hAnsi="Times New Roman" w:cs="Times New Roman"/>
          <w:color w:val="auto"/>
        </w:rPr>
        <w:t xml:space="preserve">ME assessment involved the preparation of a sample that was spiked into a pre-extracted matrix (A). The concentration of this samples was compared to that of a sample spiked directly into injection solvent comprising </w:t>
      </w:r>
      <w:r w:rsidRPr="00C44B78">
        <w:rPr>
          <w:rFonts w:ascii="Times New Roman" w:eastAsiaTheme="minorEastAsia" w:hAnsi="Times New Roman" w:cs="Times New Roman"/>
          <w:color w:val="auto"/>
        </w:rPr>
        <w:t xml:space="preserve">ACN and water (1:1, </w:t>
      </w:r>
      <w:proofErr w:type="gramStart"/>
      <w:r w:rsidRPr="00C44B78">
        <w:rPr>
          <w:rFonts w:ascii="Times New Roman" w:eastAsiaTheme="minorEastAsia" w:hAnsi="Times New Roman" w:cs="Times New Roman"/>
          <w:color w:val="auto"/>
        </w:rPr>
        <w:t>v:v</w:t>
      </w:r>
      <w:proofErr w:type="gramEnd"/>
      <w:r w:rsidRPr="00C44B78">
        <w:rPr>
          <w:rFonts w:ascii="Times New Roman" w:eastAsiaTheme="minorEastAsia" w:hAnsi="Times New Roman" w:cs="Times New Roman"/>
          <w:color w:val="auto"/>
        </w:rPr>
        <w:t>)</w:t>
      </w:r>
      <w:r w:rsidRPr="00C44B78">
        <w:rPr>
          <w:rFonts w:ascii="Times New Roman" w:hAnsi="Times New Roman" w:cs="Times New Roman"/>
          <w:color w:val="auto"/>
        </w:rPr>
        <w:t xml:space="preserve"> (B). ME were calculated using Equation S1 below. A value &lt; 100% indicates ion suppression while a value &gt; 100% is indicative of ion enhancement.  The majority of compounds exhibited ME that deviated by &lt; 15% from the mean peak area of the solvent samples (Table S2), indicating insignificant ME for these compounds. </w:t>
      </w:r>
    </w:p>
    <w:p w14:paraId="0F1CE139" w14:textId="77777777" w:rsidR="00346BF9" w:rsidRPr="00C44B78" w:rsidRDefault="00346BF9" w:rsidP="00346BF9">
      <w:pPr>
        <w:spacing w:before="15" w:after="200" w:line="240" w:lineRule="auto"/>
        <w:ind w:left="90"/>
        <w:jc w:val="both"/>
        <w:rPr>
          <w:rFonts w:ascii="Times New Roman" w:eastAsiaTheme="minorEastAsia" w:hAnsi="Times New Roman" w:cs="Times New Roman"/>
          <w:b/>
          <w:iCs/>
          <w:color w:val="auto"/>
        </w:rPr>
      </w:pPr>
      <w:bookmarkStart w:id="3" w:name="_Toc523470531"/>
      <w:r w:rsidRPr="00C44B78">
        <w:rPr>
          <w:rFonts w:ascii="Times New Roman" w:eastAsiaTheme="minorEastAsia" w:hAnsi="Times New Roman" w:cs="Times New Roman"/>
          <w:b/>
          <w:iCs/>
          <w:color w:val="auto"/>
        </w:rPr>
        <w:t>Equation S1. ME determination equation</w:t>
      </w:r>
      <w:bookmarkEnd w:id="3"/>
    </w:p>
    <w:p w14:paraId="61F8F483" w14:textId="77777777" w:rsidR="00346BF9" w:rsidRPr="00C44B78" w:rsidRDefault="00346BF9" w:rsidP="00346BF9">
      <w:pPr>
        <w:spacing w:before="15" w:after="200" w:line="240" w:lineRule="auto"/>
        <w:ind w:left="90"/>
        <w:jc w:val="both"/>
        <w:rPr>
          <w:rFonts w:ascii="Times New Roman" w:eastAsiaTheme="minorEastAsia" w:hAnsi="Times New Roman" w:cs="Times New Roman"/>
          <w:b/>
          <w:iCs/>
          <w:color w:val="auto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auto"/>
          </w:rPr>
          <m:t>ME</m:t>
        </m:r>
        <m:r>
          <m:rPr>
            <m:sty m:val="b"/>
          </m:rPr>
          <w:rPr>
            <w:rFonts w:ascii="Cambria Math" w:eastAsiaTheme="minorEastAsia" w:hAnsi="Cambria Math" w:cs="Times New Roman"/>
            <w:color w:val="auto"/>
          </w:rPr>
          <m:t xml:space="preserve"> (%)=</m:t>
        </m:r>
        <m:f>
          <m:fPr>
            <m:ctrlPr>
              <w:rPr>
                <w:rFonts w:ascii="Cambria Math" w:eastAsiaTheme="minorEastAsia" w:hAnsi="Cambria Math" w:cs="Times New Roman"/>
                <w:b/>
                <w:iCs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auto"/>
          </w:rPr>
          <m:t>X</m:t>
        </m:r>
        <m:r>
          <m:rPr>
            <m:sty m:val="b"/>
          </m:rPr>
          <w:rPr>
            <w:rFonts w:ascii="Cambria Math" w:eastAsiaTheme="minorEastAsia" w:hAnsi="Cambria Math" w:cs="Times New Roman"/>
            <w:color w:val="auto"/>
          </w:rPr>
          <m:t xml:space="preserve"> 100</m:t>
        </m:r>
      </m:oMath>
      <w:r w:rsidRPr="00C44B78">
        <w:rPr>
          <w:rFonts w:ascii="Times New Roman" w:eastAsiaTheme="minorEastAsia" w:hAnsi="Times New Roman" w:cs="Times New Roman"/>
          <w:b/>
          <w:iCs/>
          <w:color w:val="auto"/>
        </w:rPr>
        <w:t xml:space="preserve"> </w:t>
      </w:r>
    </w:p>
    <w:p w14:paraId="26C93742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  <w:bookmarkStart w:id="4" w:name="_Ref518916680"/>
      <w:r w:rsidRPr="00C44B78">
        <w:rPr>
          <w:rFonts w:ascii="Times New Roman" w:hAnsi="Times New Roman" w:cs="Times New Roman"/>
          <w:color w:val="auto"/>
        </w:rPr>
        <w:t>Where A is the pre-extracted matrix peak area response, B is the peak area response of a sample spiked directly into injection solvent, and ME is expressed as a percentage.</w:t>
      </w:r>
      <w:bookmarkEnd w:id="4"/>
    </w:p>
    <w:p w14:paraId="1059A783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</w:p>
    <w:p w14:paraId="5A7BF978" w14:textId="77777777" w:rsidR="00346BF9" w:rsidRPr="00C44B78" w:rsidRDefault="00346BF9" w:rsidP="00346BF9">
      <w:pPr>
        <w:spacing w:before="15" w:after="200" w:line="240" w:lineRule="auto"/>
        <w:ind w:left="90"/>
        <w:jc w:val="both"/>
        <w:rPr>
          <w:rFonts w:ascii="Times New Roman" w:eastAsiaTheme="minorEastAsia" w:hAnsi="Times New Roman" w:cs="Times New Roman"/>
          <w:b/>
          <w:iCs/>
          <w:color w:val="auto"/>
        </w:rPr>
      </w:pPr>
      <w:r w:rsidRPr="00C44B78">
        <w:rPr>
          <w:rFonts w:ascii="Times New Roman" w:eastAsiaTheme="minorEastAsia" w:hAnsi="Times New Roman" w:cs="Times New Roman"/>
          <w:b/>
          <w:iCs/>
          <w:color w:val="auto"/>
        </w:rPr>
        <w:t>Table S2. Matrix effect (ME) assessment in murine whole-blood</w:t>
      </w:r>
      <w:bookmarkEnd w:id="2"/>
    </w:p>
    <w:tbl>
      <w:tblPr>
        <w:tblW w:w="1108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5"/>
        <w:gridCol w:w="885"/>
        <w:gridCol w:w="994"/>
        <w:gridCol w:w="995"/>
        <w:gridCol w:w="871"/>
        <w:gridCol w:w="873"/>
        <w:gridCol w:w="1048"/>
        <w:gridCol w:w="1048"/>
        <w:gridCol w:w="993"/>
        <w:gridCol w:w="993"/>
      </w:tblGrid>
      <w:tr w:rsidR="00346BF9" w:rsidRPr="00C44B78" w14:paraId="7E3DFC90" w14:textId="77777777" w:rsidTr="008F47B1">
        <w:trPr>
          <w:trHeight w:val="883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1E693A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Analyte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66B7C0D7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Mean ratio of peak areas in murine blood (A)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326DF217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Mean ratio of peak areas in solvent (B)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14:paraId="3EED2B1B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 xml:space="preserve">%ME </w:t>
            </w:r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a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center"/>
          </w:tcPr>
          <w:p w14:paraId="2B9B80FA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Standard deviation of murine blood values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07AFCC51" w14:textId="77777777" w:rsidR="00346BF9" w:rsidRPr="00C44B78" w:rsidRDefault="00346BF9" w:rsidP="00346BF9">
            <w:pPr>
              <w:spacing w:before="15" w:after="165" w:line="24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%</w:t>
            </w:r>
            <w:proofErr w:type="spellStart"/>
            <w:r w:rsidRPr="00C44B78">
              <w:rPr>
                <w:rFonts w:ascii="Times New Roman" w:hAnsi="Times New Roman" w:cs="Times New Roman"/>
                <w:color w:val="auto"/>
              </w:rPr>
              <w:t>CV</w:t>
            </w:r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b</w:t>
            </w:r>
            <w:proofErr w:type="spellEnd"/>
          </w:p>
        </w:tc>
      </w:tr>
      <w:tr w:rsidR="00346BF9" w:rsidRPr="00C44B78" w14:paraId="5B172479" w14:textId="77777777" w:rsidTr="008F47B1">
        <w:trPr>
          <w:trHeight w:val="322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B0F28E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2263">
              <w:rPr>
                <w:rFonts w:ascii="Times New Roman" w:hAnsi="Times New Roman" w:cs="Times New Roman"/>
                <w:color w:val="auto"/>
                <w:sz w:val="22"/>
              </w:rPr>
              <w:t>Concentration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FA12B3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  <w:bookmarkStart w:id="5" w:name="_GoBack"/>
            <w:bookmarkEnd w:id="5"/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c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503BC23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  <w:r w:rsidRPr="00C44B78">
              <w:rPr>
                <w:rFonts w:ascii="Times New Roman" w:hAnsi="Times New Roman" w:cs="Times New Roman"/>
                <w:color w:val="auto"/>
                <w:vertAlign w:val="superscript"/>
              </w:rPr>
              <w:t>c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B557EED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9F33FBB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14:paraId="03E0EFE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14:paraId="675F69D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526B8A6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02A8BD6D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77C0B0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27DB5B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Low</w:t>
            </w:r>
          </w:p>
        </w:tc>
      </w:tr>
      <w:tr w:rsidR="00346BF9" w:rsidRPr="00C44B78" w14:paraId="7876378E" w14:textId="77777777" w:rsidTr="008F47B1">
        <w:trPr>
          <w:trHeight w:val="400"/>
          <w:jc w:val="center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1DF1DE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041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14:paraId="078A3E7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5.62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14:paraId="5D8B537D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0.26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450ED0B4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5.83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14:paraId="6469719D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0.29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</w:tcPr>
          <w:p w14:paraId="3C388747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96.39</w:t>
            </w:r>
          </w:p>
        </w:tc>
        <w:tc>
          <w:tcPr>
            <w:tcW w:w="873" w:type="dxa"/>
            <w:tcBorders>
              <w:top w:val="single" w:sz="4" w:space="0" w:color="auto"/>
              <w:bottom w:val="nil"/>
            </w:tcBorders>
          </w:tcPr>
          <w:p w14:paraId="5FAA7034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89.66</w:t>
            </w:r>
          </w:p>
        </w:tc>
        <w:tc>
          <w:tcPr>
            <w:tcW w:w="1048" w:type="dxa"/>
            <w:tcBorders>
              <w:top w:val="single" w:sz="4" w:space="0" w:color="auto"/>
              <w:bottom w:val="nil"/>
            </w:tcBorders>
          </w:tcPr>
          <w:p w14:paraId="289F6AAF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0.291</w:t>
            </w:r>
          </w:p>
        </w:tc>
        <w:tc>
          <w:tcPr>
            <w:tcW w:w="1048" w:type="dxa"/>
            <w:tcBorders>
              <w:top w:val="single" w:sz="4" w:space="0" w:color="auto"/>
              <w:bottom w:val="nil"/>
            </w:tcBorders>
          </w:tcPr>
          <w:p w14:paraId="06CC95B7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0.0045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19854A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5.18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7BF4C6A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1.73</w:t>
            </w:r>
          </w:p>
        </w:tc>
      </w:tr>
      <w:tr w:rsidR="00346BF9" w:rsidRPr="00C44B78" w14:paraId="44ED675B" w14:textId="77777777" w:rsidTr="008F47B1">
        <w:trPr>
          <w:trHeight w:val="386"/>
          <w:jc w:val="center"/>
        </w:trPr>
        <w:tc>
          <w:tcPr>
            <w:tcW w:w="1560" w:type="dxa"/>
            <w:tcBorders>
              <w:top w:val="nil"/>
            </w:tcBorders>
          </w:tcPr>
          <w:p w14:paraId="6A3E2DA8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043</w:t>
            </w:r>
          </w:p>
        </w:tc>
        <w:tc>
          <w:tcPr>
            <w:tcW w:w="825" w:type="dxa"/>
            <w:tcBorders>
              <w:top w:val="nil"/>
            </w:tcBorders>
          </w:tcPr>
          <w:p w14:paraId="6E6A7599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4.21</w:t>
            </w:r>
          </w:p>
        </w:tc>
        <w:tc>
          <w:tcPr>
            <w:tcW w:w="885" w:type="dxa"/>
            <w:tcBorders>
              <w:top w:val="nil"/>
            </w:tcBorders>
          </w:tcPr>
          <w:p w14:paraId="052E5A2F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0.17</w:t>
            </w:r>
          </w:p>
        </w:tc>
        <w:tc>
          <w:tcPr>
            <w:tcW w:w="994" w:type="dxa"/>
            <w:tcBorders>
              <w:top w:val="nil"/>
            </w:tcBorders>
          </w:tcPr>
          <w:p w14:paraId="5E466A41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4.32</w:t>
            </w:r>
          </w:p>
        </w:tc>
        <w:tc>
          <w:tcPr>
            <w:tcW w:w="995" w:type="dxa"/>
            <w:tcBorders>
              <w:top w:val="nil"/>
            </w:tcBorders>
          </w:tcPr>
          <w:p w14:paraId="4E672DC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0.19</w:t>
            </w:r>
          </w:p>
        </w:tc>
        <w:tc>
          <w:tcPr>
            <w:tcW w:w="871" w:type="dxa"/>
            <w:tcBorders>
              <w:top w:val="nil"/>
            </w:tcBorders>
          </w:tcPr>
          <w:p w14:paraId="675345C3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97.45</w:t>
            </w:r>
          </w:p>
        </w:tc>
        <w:tc>
          <w:tcPr>
            <w:tcW w:w="873" w:type="dxa"/>
            <w:tcBorders>
              <w:top w:val="nil"/>
            </w:tcBorders>
          </w:tcPr>
          <w:p w14:paraId="00A84553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89.47</w:t>
            </w:r>
          </w:p>
        </w:tc>
        <w:tc>
          <w:tcPr>
            <w:tcW w:w="1048" w:type="dxa"/>
            <w:tcBorders>
              <w:top w:val="nil"/>
            </w:tcBorders>
          </w:tcPr>
          <w:p w14:paraId="527841D1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0.402</w:t>
            </w:r>
          </w:p>
        </w:tc>
        <w:tc>
          <w:tcPr>
            <w:tcW w:w="1048" w:type="dxa"/>
            <w:tcBorders>
              <w:top w:val="nil"/>
            </w:tcBorders>
          </w:tcPr>
          <w:p w14:paraId="6A81BF6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0.0073</w:t>
            </w:r>
          </w:p>
        </w:tc>
        <w:tc>
          <w:tcPr>
            <w:tcW w:w="993" w:type="dxa"/>
            <w:tcBorders>
              <w:top w:val="nil"/>
            </w:tcBorders>
          </w:tcPr>
          <w:p w14:paraId="0E98948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9.56</w:t>
            </w:r>
          </w:p>
        </w:tc>
        <w:tc>
          <w:tcPr>
            <w:tcW w:w="993" w:type="dxa"/>
            <w:tcBorders>
              <w:top w:val="nil"/>
            </w:tcBorders>
          </w:tcPr>
          <w:p w14:paraId="0E85FAA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4.29</w:t>
            </w:r>
          </w:p>
        </w:tc>
      </w:tr>
      <w:tr w:rsidR="00346BF9" w:rsidRPr="00C44B78" w14:paraId="0B1FFC9D" w14:textId="77777777" w:rsidTr="008F47B1">
        <w:trPr>
          <w:trHeight w:val="400"/>
          <w:jc w:val="center"/>
        </w:trPr>
        <w:tc>
          <w:tcPr>
            <w:tcW w:w="1560" w:type="dxa"/>
          </w:tcPr>
          <w:p w14:paraId="62A2D89C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RMB 073</w:t>
            </w:r>
          </w:p>
        </w:tc>
        <w:tc>
          <w:tcPr>
            <w:tcW w:w="825" w:type="dxa"/>
          </w:tcPr>
          <w:p w14:paraId="1C5CCE9D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4.01</w:t>
            </w:r>
          </w:p>
        </w:tc>
        <w:tc>
          <w:tcPr>
            <w:tcW w:w="885" w:type="dxa"/>
          </w:tcPr>
          <w:p w14:paraId="2F6F0CC4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0.11</w:t>
            </w:r>
          </w:p>
        </w:tc>
        <w:tc>
          <w:tcPr>
            <w:tcW w:w="994" w:type="dxa"/>
          </w:tcPr>
          <w:p w14:paraId="524989BA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4.44</w:t>
            </w:r>
          </w:p>
        </w:tc>
        <w:tc>
          <w:tcPr>
            <w:tcW w:w="995" w:type="dxa"/>
          </w:tcPr>
          <w:p w14:paraId="6A358C3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0.13</w:t>
            </w:r>
          </w:p>
        </w:tc>
        <w:tc>
          <w:tcPr>
            <w:tcW w:w="871" w:type="dxa"/>
          </w:tcPr>
          <w:p w14:paraId="23503C0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90.31</w:t>
            </w:r>
          </w:p>
        </w:tc>
        <w:tc>
          <w:tcPr>
            <w:tcW w:w="873" w:type="dxa"/>
          </w:tcPr>
          <w:p w14:paraId="581B6E3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86.61</w:t>
            </w:r>
          </w:p>
        </w:tc>
        <w:tc>
          <w:tcPr>
            <w:tcW w:w="1048" w:type="dxa"/>
          </w:tcPr>
          <w:p w14:paraId="2F5F60F6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0.390</w:t>
            </w:r>
          </w:p>
        </w:tc>
        <w:tc>
          <w:tcPr>
            <w:tcW w:w="1048" w:type="dxa"/>
          </w:tcPr>
          <w:p w14:paraId="79178D50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0.0024</w:t>
            </w:r>
          </w:p>
        </w:tc>
        <w:tc>
          <w:tcPr>
            <w:tcW w:w="993" w:type="dxa"/>
          </w:tcPr>
          <w:p w14:paraId="17952F00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9.72</w:t>
            </w:r>
          </w:p>
        </w:tc>
        <w:tc>
          <w:tcPr>
            <w:tcW w:w="993" w:type="dxa"/>
          </w:tcPr>
          <w:p w14:paraId="5138CD12" w14:textId="77777777" w:rsidR="00346BF9" w:rsidRPr="00C44B78" w:rsidRDefault="00346BF9" w:rsidP="00346BF9">
            <w:pPr>
              <w:spacing w:before="15" w:after="165" w:line="360" w:lineRule="auto"/>
              <w:ind w:lef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4B78">
              <w:rPr>
                <w:rFonts w:ascii="Times New Roman" w:hAnsi="Times New Roman" w:cs="Times New Roman"/>
                <w:color w:val="auto"/>
              </w:rPr>
              <w:t>2.20</w:t>
            </w:r>
          </w:p>
        </w:tc>
      </w:tr>
    </w:tbl>
    <w:p w14:paraId="652ADB0A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a</w:t>
      </w:r>
      <w:r w:rsidRPr="00C44B78">
        <w:rPr>
          <w:rFonts w:ascii="Times New Roman" w:hAnsi="Times New Roman" w:cs="Times New Roman"/>
          <w:color w:val="auto"/>
        </w:rPr>
        <w:t>Matrix</w:t>
      </w:r>
      <w:proofErr w:type="spellEnd"/>
      <w:r w:rsidRPr="00C44B78">
        <w:rPr>
          <w:rFonts w:ascii="Times New Roman" w:hAnsi="Times New Roman" w:cs="Times New Roman"/>
          <w:color w:val="auto"/>
        </w:rPr>
        <w:t xml:space="preserve"> effect%; </w:t>
      </w: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b</w:t>
      </w:r>
      <w:r w:rsidRPr="00C44B78">
        <w:rPr>
          <w:rFonts w:ascii="Times New Roman" w:hAnsi="Times New Roman" w:cs="Times New Roman"/>
          <w:color w:val="auto"/>
        </w:rPr>
        <w:t>Percent</w:t>
      </w:r>
      <w:proofErr w:type="spellEnd"/>
      <w:r w:rsidRPr="00C44B78">
        <w:rPr>
          <w:rFonts w:ascii="Times New Roman" w:hAnsi="Times New Roman" w:cs="Times New Roman"/>
          <w:color w:val="auto"/>
        </w:rPr>
        <w:t xml:space="preserve"> coefficient of variation;</w:t>
      </w:r>
      <w:r w:rsidRPr="00C44B78">
        <w:rPr>
          <w:rFonts w:ascii="Times New Roman" w:hAnsi="Times New Roman" w:cs="Times New Roman"/>
          <w:color w:val="auto"/>
          <w:vertAlign w:val="superscript"/>
        </w:rPr>
        <w:t xml:space="preserve"> </w:t>
      </w: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c</w:t>
      </w:r>
      <w:r w:rsidRPr="00C44B78">
        <w:rPr>
          <w:rFonts w:ascii="Times New Roman" w:hAnsi="Times New Roman" w:cs="Times New Roman"/>
          <w:color w:val="auto"/>
        </w:rPr>
        <w:t>high</w:t>
      </w:r>
      <w:proofErr w:type="spellEnd"/>
      <w:r w:rsidRPr="00C44B78">
        <w:rPr>
          <w:rFonts w:ascii="Times New Roman" w:hAnsi="Times New Roman" w:cs="Times New Roman"/>
          <w:color w:val="auto"/>
        </w:rPr>
        <w:t>, 4000 ng/mL; low, 10 ng/mL</w:t>
      </w:r>
    </w:p>
    <w:p w14:paraId="3821FDD4" w14:textId="77777777" w:rsidR="00346BF9" w:rsidRPr="00C44B78" w:rsidRDefault="00346BF9" w:rsidP="00346BF9">
      <w:pPr>
        <w:spacing w:before="15" w:after="165" w:line="480" w:lineRule="auto"/>
        <w:jc w:val="both"/>
        <w:rPr>
          <w:rFonts w:ascii="Times New Roman" w:hAnsi="Times New Roman" w:cs="Times New Roman"/>
          <w:color w:val="auto"/>
        </w:rPr>
      </w:pPr>
    </w:p>
    <w:p w14:paraId="0B1376C6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  <w:bookmarkStart w:id="6" w:name="OLE_LINK1"/>
      <w:r w:rsidRPr="00C44B78">
        <w:rPr>
          <w:rFonts w:ascii="Times New Roman" w:hAnsi="Times New Roman" w:cs="Times New Roman"/>
          <w:color w:val="auto"/>
        </w:rPr>
        <w:t>The percentage recovery from murine whole-blood via precipitation with ACN was calculated according to Equation S2. This assessment involved comparing the concentration of a sample that was spiked into a pre-extracted matrix (A) to that of a sample that was spiked into a specific matrix and subsequently extracted (C). The recovery percentage for the compounds (Table S3) was between 83.33% and 96.75%.</w:t>
      </w:r>
    </w:p>
    <w:p w14:paraId="04C04BB8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</w:p>
    <w:p w14:paraId="602597C0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b/>
          <w:color w:val="auto"/>
        </w:rPr>
      </w:pPr>
      <w:bookmarkStart w:id="7" w:name="_Ref518919672"/>
      <w:bookmarkStart w:id="8" w:name="_Toc523470532"/>
      <w:r w:rsidRPr="00C44B78">
        <w:rPr>
          <w:rFonts w:ascii="Times New Roman" w:hAnsi="Times New Roman" w:cs="Times New Roman"/>
          <w:b/>
          <w:color w:val="auto"/>
        </w:rPr>
        <w:t>Equation</w:t>
      </w:r>
      <w:bookmarkEnd w:id="7"/>
      <w:r w:rsidRPr="00C44B78">
        <w:rPr>
          <w:rFonts w:ascii="Times New Roman" w:hAnsi="Times New Roman" w:cs="Times New Roman"/>
          <w:b/>
          <w:color w:val="auto"/>
        </w:rPr>
        <w:t xml:space="preserve"> S2. Recovery percentage </w:t>
      </w:r>
      <w:bookmarkEnd w:id="8"/>
    </w:p>
    <w:p w14:paraId="1D3B8CA6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eastAsiaTheme="minorEastAsia" w:hAnsi="Times New Roman" w:cs="Times New Roman"/>
          <w:color w:va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Recovery</m:t>
          </m:r>
          <m:r>
            <w:rPr>
              <w:rFonts w:ascii="Cambria Math" w:hAnsi="Cambria Math" w:cs="Times New Roman"/>
              <w:color w:val="auto"/>
            </w:rPr>
            <m:t xml:space="preserve"> %=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A</m:t>
              </m:r>
            </m:den>
          </m:f>
          <m:r>
            <w:rPr>
              <w:rFonts w:ascii="Cambria Math" w:hAnsi="Cambria Math" w:cs="Times New Roman"/>
              <w:color w:val="auto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X</m:t>
          </m:r>
          <m:r>
            <w:rPr>
              <w:rFonts w:ascii="Cambria Math" w:hAnsi="Cambria Math" w:cs="Times New Roman"/>
              <w:color w:val="auto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100</m:t>
          </m:r>
        </m:oMath>
      </m:oMathPara>
    </w:p>
    <w:p w14:paraId="108F855D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  <w:r w:rsidRPr="00C44B78">
        <w:rPr>
          <w:rFonts w:ascii="Times New Roman" w:hAnsi="Times New Roman" w:cs="Times New Roman"/>
          <w:color w:val="auto"/>
        </w:rPr>
        <w:t>Where A is the pre-extracted matrix peak area response and C is the peak area response of a sample spiked into a matrix sample and then extracted.</w:t>
      </w:r>
    </w:p>
    <w:p w14:paraId="6CFBF814" w14:textId="77777777" w:rsidR="00346BF9" w:rsidRPr="00C44B78" w:rsidRDefault="00346BF9" w:rsidP="00346BF9">
      <w:pPr>
        <w:spacing w:before="15" w:after="165" w:line="480" w:lineRule="auto"/>
        <w:ind w:left="90"/>
        <w:jc w:val="both"/>
        <w:rPr>
          <w:rFonts w:ascii="Times New Roman" w:hAnsi="Times New Roman" w:cs="Times New Roman"/>
          <w:color w:val="auto"/>
        </w:rPr>
      </w:pPr>
    </w:p>
    <w:p w14:paraId="1969196B" w14:textId="77777777" w:rsidR="00346BF9" w:rsidRPr="00C44B78" w:rsidRDefault="00346BF9" w:rsidP="00346BF9">
      <w:pPr>
        <w:spacing w:before="15" w:after="200" w:line="240" w:lineRule="auto"/>
        <w:ind w:left="90"/>
        <w:jc w:val="both"/>
        <w:rPr>
          <w:rFonts w:ascii="Times New Roman" w:eastAsiaTheme="minorEastAsia" w:hAnsi="Times New Roman" w:cs="Times New Roman"/>
          <w:b/>
          <w:iCs/>
          <w:color w:val="auto"/>
        </w:rPr>
      </w:pPr>
      <w:bookmarkStart w:id="9" w:name="_Toc523470506"/>
      <w:r w:rsidRPr="00C44B78">
        <w:rPr>
          <w:rFonts w:ascii="Times New Roman" w:eastAsiaTheme="minorEastAsia" w:hAnsi="Times New Roman" w:cs="Times New Roman"/>
          <w:b/>
          <w:iCs/>
          <w:color w:val="auto"/>
        </w:rPr>
        <w:t>Table S3. Compound recovery from murine whole-blood via precipitation with ACN</w:t>
      </w:r>
      <w:bookmarkEnd w:id="9"/>
    </w:p>
    <w:tbl>
      <w:tblPr>
        <w:tblStyle w:val="TableGrid"/>
        <w:tblW w:w="97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866"/>
        <w:gridCol w:w="826"/>
        <w:gridCol w:w="786"/>
        <w:gridCol w:w="746"/>
        <w:gridCol w:w="846"/>
        <w:gridCol w:w="846"/>
        <w:gridCol w:w="846"/>
        <w:gridCol w:w="846"/>
        <w:gridCol w:w="786"/>
        <w:gridCol w:w="746"/>
      </w:tblGrid>
      <w:tr w:rsidR="00346BF9" w:rsidRPr="00C44B78" w14:paraId="6FC5C29B" w14:textId="77777777" w:rsidTr="008F47B1">
        <w:trPr>
          <w:trHeight w:val="1256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7000E4FA" w14:textId="77777777" w:rsidR="00346BF9" w:rsidRPr="00C44B78" w:rsidRDefault="00346BF9" w:rsidP="00346BF9">
            <w:pPr>
              <w:spacing w:before="15" w:after="165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Analyte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14:paraId="6D5D331E" w14:textId="77777777" w:rsidR="00346BF9" w:rsidRPr="00C44B78" w:rsidRDefault="00346BF9" w:rsidP="00346BF9">
            <w:pPr>
              <w:spacing w:before="15" w:after="165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Mean ratio of peak areas in murine blood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14:paraId="2B7F001C" w14:textId="77777777" w:rsidR="00346BF9" w:rsidRPr="00C44B78" w:rsidRDefault="00346BF9" w:rsidP="00346BF9">
            <w:pPr>
              <w:spacing w:before="15" w:after="165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Mean ratio of peak areas in solvent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14:paraId="4233EF8A" w14:textId="77777777" w:rsidR="00346BF9" w:rsidRPr="00C44B78" w:rsidRDefault="00346BF9" w:rsidP="00346BF9">
            <w:pPr>
              <w:spacing w:before="15" w:after="165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Recovery (%)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14:paraId="5D7951E7" w14:textId="77777777" w:rsidR="00346BF9" w:rsidRPr="00C44B78" w:rsidRDefault="00346BF9" w:rsidP="00346BF9">
            <w:pPr>
              <w:spacing w:before="15" w:after="165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Standard deviation of murine blood values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vAlign w:val="center"/>
          </w:tcPr>
          <w:p w14:paraId="124803C8" w14:textId="77777777" w:rsidR="00346BF9" w:rsidRPr="00C44B78" w:rsidRDefault="00346BF9" w:rsidP="00346BF9">
            <w:pPr>
              <w:spacing w:before="15" w:after="165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C44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346BF9" w:rsidRPr="00C44B78" w14:paraId="291A059C" w14:textId="77777777" w:rsidTr="008F47B1">
        <w:trPr>
          <w:trHeight w:val="318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10C7A1EF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Concentrations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559BF76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 w:rsidRPr="00C44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B6F49B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Pr="00C44B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76BD1C3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E5B0F5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66684CDA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4A5935A4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5B6BA460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4B8DE1DF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1D1F108A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BCA408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346BF9" w:rsidRPr="00C44B78" w14:paraId="4EE71026" w14:textId="77777777" w:rsidTr="008F47B1">
        <w:trPr>
          <w:trHeight w:val="336"/>
        </w:trPr>
        <w:tc>
          <w:tcPr>
            <w:tcW w:w="1784" w:type="dxa"/>
            <w:tcBorders>
              <w:top w:val="single" w:sz="4" w:space="0" w:color="auto"/>
            </w:tcBorders>
          </w:tcPr>
          <w:p w14:paraId="6655FC9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RMB 041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BC86C00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22E3FD7D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14:paraId="1F8074CF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1E0DFF38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1A04CEE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92.97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582394D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93.10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2FDD207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0.112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132E80B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28FCC90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04B92C5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346BF9" w:rsidRPr="00C44B78" w14:paraId="6EBA6E67" w14:textId="77777777" w:rsidTr="008F47B1">
        <w:trPr>
          <w:trHeight w:val="353"/>
        </w:trPr>
        <w:tc>
          <w:tcPr>
            <w:tcW w:w="1784" w:type="dxa"/>
          </w:tcPr>
          <w:p w14:paraId="1163560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RMB 043</w:t>
            </w:r>
          </w:p>
        </w:tc>
        <w:tc>
          <w:tcPr>
            <w:tcW w:w="827" w:type="dxa"/>
          </w:tcPr>
          <w:p w14:paraId="2AE80450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796" w:type="dxa"/>
          </w:tcPr>
          <w:p w14:paraId="21FA4CA1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46" w:type="dxa"/>
          </w:tcPr>
          <w:p w14:paraId="1A5A6E9E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733" w:type="dxa"/>
          </w:tcPr>
          <w:p w14:paraId="1A526ABC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24" w:type="dxa"/>
          </w:tcPr>
          <w:p w14:paraId="66D55EC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96.75</w:t>
            </w:r>
          </w:p>
        </w:tc>
        <w:tc>
          <w:tcPr>
            <w:tcW w:w="825" w:type="dxa"/>
          </w:tcPr>
          <w:p w14:paraId="22A1BFC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94.74</w:t>
            </w:r>
          </w:p>
        </w:tc>
        <w:tc>
          <w:tcPr>
            <w:tcW w:w="824" w:type="dxa"/>
          </w:tcPr>
          <w:p w14:paraId="3246F3B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825" w:type="dxa"/>
          </w:tcPr>
          <w:p w14:paraId="67004C5B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24" w:type="dxa"/>
          </w:tcPr>
          <w:p w14:paraId="117E2497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733" w:type="dxa"/>
          </w:tcPr>
          <w:p w14:paraId="2F4E6D0E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</w:tr>
      <w:tr w:rsidR="00346BF9" w:rsidRPr="00C44B78" w14:paraId="7E8A39CE" w14:textId="77777777" w:rsidTr="008F47B1">
        <w:trPr>
          <w:trHeight w:val="336"/>
        </w:trPr>
        <w:tc>
          <w:tcPr>
            <w:tcW w:w="1784" w:type="dxa"/>
          </w:tcPr>
          <w:p w14:paraId="012A47BA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RMB 073</w:t>
            </w:r>
          </w:p>
        </w:tc>
        <w:tc>
          <w:tcPr>
            <w:tcW w:w="827" w:type="dxa"/>
          </w:tcPr>
          <w:p w14:paraId="4E0E6A09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796" w:type="dxa"/>
          </w:tcPr>
          <w:p w14:paraId="1A06AF58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46" w:type="dxa"/>
          </w:tcPr>
          <w:p w14:paraId="0D817A4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733" w:type="dxa"/>
          </w:tcPr>
          <w:p w14:paraId="3B3C5E7E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24" w:type="dxa"/>
          </w:tcPr>
          <w:p w14:paraId="1601CECF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96.62</w:t>
            </w:r>
          </w:p>
        </w:tc>
        <w:tc>
          <w:tcPr>
            <w:tcW w:w="825" w:type="dxa"/>
          </w:tcPr>
          <w:p w14:paraId="5E67962B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824" w:type="dxa"/>
          </w:tcPr>
          <w:p w14:paraId="46F8C79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825" w:type="dxa"/>
          </w:tcPr>
          <w:p w14:paraId="510DA8C5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824" w:type="dxa"/>
          </w:tcPr>
          <w:p w14:paraId="14108142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733" w:type="dxa"/>
          </w:tcPr>
          <w:p w14:paraId="583B85D6" w14:textId="77777777" w:rsidR="00346BF9" w:rsidRPr="00C44B78" w:rsidRDefault="00346BF9" w:rsidP="00346BF9">
            <w:pPr>
              <w:spacing w:before="15" w:after="165" w:line="360" w:lineRule="auto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B78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14:paraId="17D89697" w14:textId="77777777" w:rsidR="00346BF9" w:rsidRPr="00C44B78" w:rsidRDefault="00346BF9" w:rsidP="00346BF9">
      <w:pPr>
        <w:spacing w:before="15" w:after="165" w:line="360" w:lineRule="auto"/>
        <w:ind w:left="90"/>
        <w:jc w:val="both"/>
        <w:rPr>
          <w:rFonts w:ascii="Times New Roman" w:hAnsi="Times New Roman" w:cs="Times New Roman"/>
          <w:color w:val="auto"/>
        </w:rPr>
      </w:pP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a</w:t>
      </w:r>
      <w:r w:rsidRPr="00C44B78">
        <w:rPr>
          <w:rFonts w:ascii="Times New Roman" w:hAnsi="Times New Roman" w:cs="Times New Roman"/>
          <w:color w:val="auto"/>
        </w:rPr>
        <w:t>Percentage</w:t>
      </w:r>
      <w:proofErr w:type="spellEnd"/>
      <w:r w:rsidRPr="00C44B78">
        <w:rPr>
          <w:rFonts w:ascii="Times New Roman" w:hAnsi="Times New Roman" w:cs="Times New Roman"/>
          <w:color w:val="auto"/>
        </w:rPr>
        <w:t xml:space="preserve"> coefficient of variation;</w:t>
      </w:r>
      <w:r w:rsidRPr="00C44B78">
        <w:rPr>
          <w:rFonts w:ascii="Times New Roman" w:hAnsi="Times New Roman" w:cs="Times New Roman"/>
          <w:color w:val="auto"/>
          <w:vertAlign w:val="superscript"/>
        </w:rPr>
        <w:t xml:space="preserve"> </w:t>
      </w:r>
      <w:proofErr w:type="spellStart"/>
      <w:r w:rsidRPr="00C44B78">
        <w:rPr>
          <w:rFonts w:ascii="Times New Roman" w:hAnsi="Times New Roman" w:cs="Times New Roman"/>
          <w:color w:val="auto"/>
          <w:vertAlign w:val="superscript"/>
        </w:rPr>
        <w:t>b</w:t>
      </w:r>
      <w:r w:rsidRPr="00C44B78">
        <w:rPr>
          <w:rFonts w:ascii="Times New Roman" w:hAnsi="Times New Roman" w:cs="Times New Roman"/>
          <w:color w:val="auto"/>
        </w:rPr>
        <w:t>high</w:t>
      </w:r>
      <w:proofErr w:type="spellEnd"/>
      <w:r w:rsidRPr="00C44B78">
        <w:rPr>
          <w:rFonts w:ascii="Times New Roman" w:hAnsi="Times New Roman" w:cs="Times New Roman"/>
          <w:color w:val="auto"/>
        </w:rPr>
        <w:t>, 4000 ng/mL; low, 10 ng/mL</w:t>
      </w:r>
    </w:p>
    <w:bookmarkEnd w:id="6"/>
    <w:p w14:paraId="6B15D0FB" w14:textId="77777777" w:rsidR="00346BF9" w:rsidRPr="00C44B78" w:rsidRDefault="00346BF9" w:rsidP="00346BF9">
      <w:pPr>
        <w:spacing w:before="15" w:after="165" w:line="480" w:lineRule="auto"/>
        <w:jc w:val="both"/>
        <w:rPr>
          <w:rFonts w:ascii="Times New Roman" w:hAnsi="Times New Roman" w:cs="Times New Roman"/>
          <w:color w:val="auto"/>
        </w:rPr>
      </w:pPr>
    </w:p>
    <w:p w14:paraId="3EFF1AE1" w14:textId="77777777" w:rsidR="00152F2A" w:rsidRPr="00C44B78" w:rsidRDefault="00152F2A">
      <w:pPr>
        <w:rPr>
          <w:rFonts w:ascii="Times New Roman" w:hAnsi="Times New Roman" w:cs="Times New Roman"/>
        </w:rPr>
      </w:pPr>
    </w:p>
    <w:sectPr w:rsidR="00152F2A" w:rsidRPr="00C44B78" w:rsidSect="00AE4665">
      <w:footerReference w:type="default" r:id="rId7"/>
      <w:pgSz w:w="12240" w:h="15840" w:code="2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E5D7" w14:textId="77777777" w:rsidR="003D05BA" w:rsidRDefault="003D05BA">
      <w:pPr>
        <w:spacing w:after="0" w:line="240" w:lineRule="auto"/>
      </w:pPr>
      <w:r>
        <w:separator/>
      </w:r>
    </w:p>
  </w:endnote>
  <w:endnote w:type="continuationSeparator" w:id="0">
    <w:p w14:paraId="7ACB7728" w14:textId="77777777" w:rsidR="003D05BA" w:rsidRDefault="003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4CCA" w14:textId="77777777" w:rsidR="007075EC" w:rsidRDefault="006E662C" w:rsidP="00A41C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2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3FD84B" w14:textId="77777777" w:rsidR="007075EC" w:rsidRDefault="003D05BA" w:rsidP="00A4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EE47" w14:textId="77777777" w:rsidR="003D05BA" w:rsidRDefault="003D05BA">
      <w:pPr>
        <w:spacing w:after="0" w:line="240" w:lineRule="auto"/>
      </w:pPr>
      <w:r>
        <w:separator/>
      </w:r>
    </w:p>
  </w:footnote>
  <w:footnote w:type="continuationSeparator" w:id="0">
    <w:p w14:paraId="58B75001" w14:textId="77777777" w:rsidR="003D05BA" w:rsidRDefault="003D0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652178"/>
    <w:multiLevelType w:val="hybridMultilevel"/>
    <w:tmpl w:val="A89E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F9"/>
    <w:rsid w:val="00045992"/>
    <w:rsid w:val="000B52FF"/>
    <w:rsid w:val="00152F2A"/>
    <w:rsid w:val="0019643E"/>
    <w:rsid w:val="001D6D6D"/>
    <w:rsid w:val="001F0C52"/>
    <w:rsid w:val="002475AD"/>
    <w:rsid w:val="00295456"/>
    <w:rsid w:val="003371A9"/>
    <w:rsid w:val="00346BF9"/>
    <w:rsid w:val="003B3A4A"/>
    <w:rsid w:val="003D05BA"/>
    <w:rsid w:val="004C50DE"/>
    <w:rsid w:val="005F0BB4"/>
    <w:rsid w:val="00664E6B"/>
    <w:rsid w:val="006E662C"/>
    <w:rsid w:val="007130B0"/>
    <w:rsid w:val="00720414"/>
    <w:rsid w:val="00796AEB"/>
    <w:rsid w:val="00864CE6"/>
    <w:rsid w:val="00935F71"/>
    <w:rsid w:val="009664D4"/>
    <w:rsid w:val="00A401E4"/>
    <w:rsid w:val="00AD69C2"/>
    <w:rsid w:val="00AE027C"/>
    <w:rsid w:val="00AE4665"/>
    <w:rsid w:val="00BA47F8"/>
    <w:rsid w:val="00C44B78"/>
    <w:rsid w:val="00C711E6"/>
    <w:rsid w:val="00D22263"/>
    <w:rsid w:val="00D45193"/>
    <w:rsid w:val="00D800C0"/>
    <w:rsid w:val="00E17569"/>
    <w:rsid w:val="00E57F13"/>
    <w:rsid w:val="00E92339"/>
    <w:rsid w:val="00F51466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68267"/>
  <w15:chartTrackingRefBased/>
  <w15:docId w15:val="{A3DBE109-7F3D-4C72-B6C7-6EC700E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1F0C52"/>
    <w:pPr>
      <w:spacing w:after="200" w:line="240" w:lineRule="auto"/>
    </w:pPr>
    <w:rPr>
      <w:rFonts w:asciiTheme="minorHAnsi" w:hAnsiTheme="minorHAnsi"/>
      <w:iCs/>
      <w:color w:val="auto"/>
      <w:sz w:val="22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4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BF9"/>
    <w:rPr>
      <w:lang w:val="en-US"/>
    </w:rPr>
  </w:style>
  <w:style w:type="table" w:styleId="TableGrid">
    <w:name w:val="Table Grid"/>
    <w:basedOn w:val="TableNormal"/>
    <w:uiPriority w:val="39"/>
    <w:rsid w:val="00346BF9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6BF9"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C44B78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B78"/>
    <w:pPr>
      <w:tabs>
        <w:tab w:val="center" w:pos="4844"/>
        <w:tab w:val="right" w:pos="9689"/>
      </w:tabs>
      <w:spacing w:before="120" w:after="240" w:line="240" w:lineRule="auto"/>
    </w:pPr>
    <w:rPr>
      <w:rFonts w:ascii="Times New Roman" w:hAnsi="Times New Roman"/>
      <w:b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B78"/>
    <w:rPr>
      <w:rFonts w:ascii="Times New Roman" w:hAnsi="Times New Roman"/>
      <w:b/>
      <w:color w:val="auto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44B78"/>
    <w:pPr>
      <w:numPr>
        <w:numId w:val="1"/>
      </w:numPr>
      <w:spacing w:before="120" w:after="240" w:line="240" w:lineRule="auto"/>
      <w:contextualSpacing/>
    </w:pPr>
    <w:rPr>
      <w:rFonts w:ascii="Times New Roman" w:eastAsia="Cambria" w:hAnsi="Times New Roman" w:cs="Times New Roman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B7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4B78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Gillian Attard</cp:lastModifiedBy>
  <cp:revision>6</cp:revision>
  <cp:lastPrinted>2018-10-22T14:50:00Z</cp:lastPrinted>
  <dcterms:created xsi:type="dcterms:W3CDTF">2018-11-15T08:28:00Z</dcterms:created>
  <dcterms:modified xsi:type="dcterms:W3CDTF">2019-02-07T13:58:00Z</dcterms:modified>
</cp:coreProperties>
</file>