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F86" w:rsidRDefault="007E2F86" w:rsidP="001B4FDC">
      <w:pPr>
        <w:pStyle w:val="Heading1"/>
        <w:jc w:val="center"/>
        <w:rPr>
          <w:sz w:val="32"/>
        </w:rPr>
      </w:pPr>
      <w:r>
        <w:rPr>
          <w:sz w:val="32"/>
        </w:rPr>
        <w:t xml:space="preserve">Supplementary information </w:t>
      </w:r>
    </w:p>
    <w:p w:rsidR="001B4FDC" w:rsidRPr="00877C1D" w:rsidRDefault="001B4FDC" w:rsidP="001B4FDC">
      <w:pPr>
        <w:pStyle w:val="Heading1"/>
        <w:jc w:val="center"/>
        <w:rPr>
          <w:sz w:val="32"/>
        </w:rPr>
      </w:pPr>
      <w:r>
        <w:rPr>
          <w:sz w:val="32"/>
        </w:rPr>
        <w:t xml:space="preserve">Effect of Lactate on the microbial community and process performance of an EBPR system </w:t>
      </w:r>
    </w:p>
    <w:p w:rsidR="001B4FDC" w:rsidRPr="001E415A" w:rsidRDefault="001B4FDC" w:rsidP="001B4FDC">
      <w:pPr>
        <w:jc w:val="center"/>
        <w:rPr>
          <w:b/>
          <w:sz w:val="24"/>
        </w:rPr>
      </w:pPr>
      <w:r w:rsidRPr="002550B7">
        <w:rPr>
          <w:b/>
          <w:sz w:val="24"/>
        </w:rPr>
        <w:t>Rubio-Rincón</w:t>
      </w:r>
      <w:r>
        <w:rPr>
          <w:b/>
          <w:sz w:val="24"/>
        </w:rPr>
        <w:t xml:space="preserve"> </w:t>
      </w:r>
      <w:proofErr w:type="spellStart"/>
      <w:r>
        <w:rPr>
          <w:b/>
          <w:sz w:val="24"/>
        </w:rPr>
        <w:t>F.J.</w:t>
      </w:r>
      <w:r w:rsidRPr="002550B7">
        <w:rPr>
          <w:b/>
          <w:sz w:val="24"/>
          <w:vertAlign w:val="superscript"/>
        </w:rPr>
        <w:t>a</w:t>
      </w:r>
      <w:proofErr w:type="gramStart"/>
      <w:r w:rsidRPr="002550B7">
        <w:rPr>
          <w:b/>
          <w:sz w:val="24"/>
          <w:vertAlign w:val="superscript"/>
        </w:rPr>
        <w:t>,</w:t>
      </w:r>
      <w:r>
        <w:rPr>
          <w:b/>
          <w:sz w:val="24"/>
          <w:vertAlign w:val="superscript"/>
        </w:rPr>
        <w:t>b</w:t>
      </w:r>
      <w:proofErr w:type="spellEnd"/>
      <w:proofErr w:type="gramEnd"/>
      <w:r>
        <w:rPr>
          <w:b/>
          <w:sz w:val="24"/>
          <w:vertAlign w:val="superscript"/>
        </w:rPr>
        <w:t>,</w:t>
      </w:r>
      <w:r w:rsidRPr="002550B7">
        <w:rPr>
          <w:b/>
          <w:sz w:val="24"/>
          <w:vertAlign w:val="superscript"/>
        </w:rPr>
        <w:t>*</w:t>
      </w:r>
      <w:r w:rsidRPr="001E415A">
        <w:rPr>
          <w:b/>
          <w:sz w:val="24"/>
        </w:rPr>
        <w:t>(</w:t>
      </w:r>
      <w:r w:rsidRPr="001E415A">
        <w:t xml:space="preserve"> </w:t>
      </w:r>
      <w:r>
        <w:rPr>
          <w:rFonts w:ascii="Arial" w:hAnsi="Arial" w:cs="Arial"/>
          <w:color w:val="494A4C"/>
          <w:sz w:val="18"/>
          <w:szCs w:val="18"/>
          <w:shd w:val="clear" w:color="auto" w:fill="FFFFFF"/>
        </w:rPr>
        <w:t>0000-0002-3622-3121</w:t>
      </w:r>
      <w:r>
        <w:t>)</w:t>
      </w:r>
      <w:r w:rsidRPr="002550B7">
        <w:rPr>
          <w:b/>
          <w:sz w:val="24"/>
        </w:rPr>
        <w:t xml:space="preserve">, </w:t>
      </w:r>
      <w:r>
        <w:rPr>
          <w:b/>
          <w:sz w:val="24"/>
        </w:rPr>
        <w:t>Welles L</w:t>
      </w:r>
      <w:r w:rsidRPr="00AB4191">
        <w:rPr>
          <w:b/>
          <w:sz w:val="24"/>
          <w:vertAlign w:val="superscript"/>
        </w:rPr>
        <w:t>a</w:t>
      </w:r>
      <w:r>
        <w:rPr>
          <w:b/>
          <w:sz w:val="24"/>
        </w:rPr>
        <w:t>,</w:t>
      </w:r>
      <w:r w:rsidRPr="006B7997">
        <w:rPr>
          <w:b/>
          <w:sz w:val="24"/>
        </w:rPr>
        <w:t xml:space="preserve"> </w:t>
      </w:r>
      <w:r w:rsidRPr="002550B7">
        <w:rPr>
          <w:b/>
          <w:sz w:val="24"/>
        </w:rPr>
        <w:t xml:space="preserve">Lopez-Vazquez </w:t>
      </w:r>
      <w:proofErr w:type="spellStart"/>
      <w:r w:rsidRPr="002550B7">
        <w:rPr>
          <w:b/>
          <w:sz w:val="24"/>
        </w:rPr>
        <w:t>C.M.</w:t>
      </w:r>
      <w:r w:rsidRPr="002550B7">
        <w:rPr>
          <w:b/>
          <w:sz w:val="24"/>
          <w:vertAlign w:val="superscript"/>
        </w:rPr>
        <w:t>a</w:t>
      </w:r>
      <w:proofErr w:type="spellEnd"/>
      <w:r>
        <w:rPr>
          <w:b/>
          <w:sz w:val="24"/>
          <w:vertAlign w:val="superscript"/>
        </w:rPr>
        <w:t xml:space="preserve"> </w:t>
      </w:r>
      <w:r w:rsidRPr="001E415A">
        <w:rPr>
          <w:b/>
          <w:sz w:val="24"/>
        </w:rPr>
        <w:t>(</w:t>
      </w:r>
      <w:r>
        <w:rPr>
          <w:rFonts w:ascii="Arial" w:hAnsi="Arial" w:cs="Arial"/>
          <w:color w:val="494A4C"/>
          <w:sz w:val="18"/>
          <w:szCs w:val="18"/>
          <w:shd w:val="clear" w:color="auto" w:fill="FFFFFF"/>
        </w:rPr>
        <w:t>0000-0002-4250-347X</w:t>
      </w:r>
      <w:r>
        <w:t>)</w:t>
      </w:r>
      <w:r w:rsidRPr="002550B7">
        <w:rPr>
          <w:b/>
          <w:sz w:val="24"/>
        </w:rPr>
        <w:t>,</w:t>
      </w:r>
      <w:r w:rsidRPr="00872C75">
        <w:rPr>
          <w:b/>
          <w:sz w:val="24"/>
        </w:rPr>
        <w:t xml:space="preserve"> </w:t>
      </w:r>
      <w:r w:rsidRPr="00211A8D">
        <w:rPr>
          <w:b/>
          <w:sz w:val="24"/>
        </w:rPr>
        <w:t>Abbas</w:t>
      </w:r>
      <w:r>
        <w:rPr>
          <w:b/>
          <w:sz w:val="24"/>
        </w:rPr>
        <w:t xml:space="preserve"> </w:t>
      </w:r>
      <w:proofErr w:type="spellStart"/>
      <w:r w:rsidRPr="00D97DDC">
        <w:rPr>
          <w:b/>
          <w:sz w:val="24"/>
        </w:rPr>
        <w:t>B.</w:t>
      </w:r>
      <w:r w:rsidRPr="00211A8D">
        <w:rPr>
          <w:b/>
          <w:sz w:val="24"/>
          <w:vertAlign w:val="superscript"/>
        </w:rPr>
        <w:t>b</w:t>
      </w:r>
      <w:proofErr w:type="spellEnd"/>
      <w:r w:rsidRPr="002550B7">
        <w:rPr>
          <w:b/>
          <w:sz w:val="24"/>
        </w:rPr>
        <w:t xml:space="preserve"> </w:t>
      </w:r>
      <w:r>
        <w:rPr>
          <w:b/>
          <w:sz w:val="24"/>
        </w:rPr>
        <w:t xml:space="preserve">, van </w:t>
      </w:r>
      <w:proofErr w:type="spellStart"/>
      <w:r>
        <w:rPr>
          <w:b/>
          <w:sz w:val="24"/>
        </w:rPr>
        <w:t>Loosdrecht</w:t>
      </w:r>
      <w:proofErr w:type="spellEnd"/>
      <w:r>
        <w:rPr>
          <w:b/>
          <w:sz w:val="24"/>
        </w:rPr>
        <w:t xml:space="preserve"> </w:t>
      </w:r>
      <w:proofErr w:type="spellStart"/>
      <w:r>
        <w:rPr>
          <w:b/>
          <w:sz w:val="24"/>
        </w:rPr>
        <w:t>M.C.M.</w:t>
      </w:r>
      <w:r w:rsidRPr="00AB4191">
        <w:rPr>
          <w:b/>
          <w:sz w:val="24"/>
          <w:vertAlign w:val="superscript"/>
        </w:rPr>
        <w:t>b</w:t>
      </w:r>
      <w:proofErr w:type="spellEnd"/>
      <w:r>
        <w:rPr>
          <w:b/>
          <w:sz w:val="24"/>
        </w:rPr>
        <w:t>(</w:t>
      </w:r>
      <w:r>
        <w:rPr>
          <w:rFonts w:ascii="Arial" w:hAnsi="Arial" w:cs="Arial"/>
          <w:color w:val="494A4C"/>
          <w:sz w:val="18"/>
          <w:szCs w:val="18"/>
          <w:shd w:val="clear" w:color="auto" w:fill="FFFFFF"/>
        </w:rPr>
        <w:t>0000-0003-0658-4775)</w:t>
      </w:r>
      <w:r>
        <w:rPr>
          <w:b/>
          <w:sz w:val="24"/>
        </w:rPr>
        <w:t xml:space="preserve">, </w:t>
      </w:r>
      <w:r w:rsidRPr="002550B7">
        <w:rPr>
          <w:b/>
          <w:sz w:val="24"/>
        </w:rPr>
        <w:t xml:space="preserve">Brdjanovic </w:t>
      </w:r>
      <w:proofErr w:type="spellStart"/>
      <w:r w:rsidRPr="002550B7">
        <w:rPr>
          <w:b/>
          <w:sz w:val="24"/>
        </w:rPr>
        <w:t>D.</w:t>
      </w:r>
      <w:r w:rsidRPr="002550B7">
        <w:rPr>
          <w:b/>
          <w:sz w:val="24"/>
          <w:vertAlign w:val="superscript"/>
        </w:rPr>
        <w:t>a</w:t>
      </w:r>
      <w:proofErr w:type="spellEnd"/>
      <w:r w:rsidRPr="002550B7">
        <w:rPr>
          <w:b/>
          <w:sz w:val="24"/>
          <w:vertAlign w:val="superscript"/>
        </w:rPr>
        <w:t>, b</w:t>
      </w:r>
      <w:r>
        <w:rPr>
          <w:b/>
          <w:sz w:val="24"/>
        </w:rPr>
        <w:t>(</w:t>
      </w:r>
      <w:r>
        <w:rPr>
          <w:rFonts w:ascii="Arial" w:hAnsi="Arial" w:cs="Arial"/>
          <w:color w:val="494A4C"/>
          <w:sz w:val="18"/>
          <w:szCs w:val="18"/>
          <w:shd w:val="clear" w:color="auto" w:fill="FFFFFF"/>
        </w:rPr>
        <w:t>0000-0002-5044-3913)</w:t>
      </w:r>
    </w:p>
    <w:p w:rsidR="001B4FDC" w:rsidRPr="00F60661" w:rsidRDefault="001B4FDC" w:rsidP="001B4FDC">
      <w:pPr>
        <w:jc w:val="center"/>
        <w:rPr>
          <w:rFonts w:cs="Arial"/>
          <w:sz w:val="20"/>
        </w:rPr>
      </w:pPr>
      <w:proofErr w:type="gramStart"/>
      <w:r w:rsidRPr="00F60661">
        <w:rPr>
          <w:b/>
          <w:sz w:val="20"/>
          <w:vertAlign w:val="superscript"/>
        </w:rPr>
        <w:t>a</w:t>
      </w:r>
      <w:proofErr w:type="gramEnd"/>
      <w:r w:rsidRPr="00F60661">
        <w:rPr>
          <w:b/>
          <w:sz w:val="20"/>
          <w:vertAlign w:val="superscript"/>
        </w:rPr>
        <w:t xml:space="preserve"> </w:t>
      </w:r>
      <w:r w:rsidRPr="00F60661">
        <w:rPr>
          <w:rFonts w:cs="Arial"/>
          <w:sz w:val="20"/>
        </w:rPr>
        <w:t xml:space="preserve">Sanitary Engineering Chair Group. Department of Environmental Engineering and Water Technology, UNESCO-IHE Institute for Water Education, Westvest 7, 2611AX Delft, </w:t>
      </w:r>
      <w:proofErr w:type="gramStart"/>
      <w:r w:rsidRPr="00F60661">
        <w:rPr>
          <w:rFonts w:cs="Arial"/>
          <w:sz w:val="20"/>
        </w:rPr>
        <w:t>The</w:t>
      </w:r>
      <w:proofErr w:type="gramEnd"/>
      <w:r w:rsidRPr="00F60661">
        <w:rPr>
          <w:rFonts w:cs="Arial"/>
          <w:sz w:val="20"/>
        </w:rPr>
        <w:t xml:space="preserve"> Netherlands. </w:t>
      </w:r>
      <w:r>
        <w:rPr>
          <w:rFonts w:cs="Arial"/>
          <w:sz w:val="20"/>
        </w:rPr>
        <w:t xml:space="preserve">                                                                       (</w:t>
      </w:r>
      <w:r w:rsidRPr="00F60661">
        <w:rPr>
          <w:rFonts w:cs="Arial"/>
          <w:sz w:val="20"/>
        </w:rPr>
        <w:t>E</w:t>
      </w:r>
      <w:r>
        <w:rPr>
          <w:rFonts w:cs="Arial"/>
          <w:sz w:val="20"/>
        </w:rPr>
        <w:t>-mail</w:t>
      </w:r>
      <w:r w:rsidRPr="00F60661">
        <w:rPr>
          <w:rFonts w:cs="Arial"/>
          <w:sz w:val="20"/>
        </w:rPr>
        <w:t>:</w:t>
      </w:r>
      <w:r>
        <w:rPr>
          <w:rFonts w:cs="Arial"/>
          <w:sz w:val="20"/>
        </w:rPr>
        <w:t xml:space="preserve"> </w:t>
      </w:r>
      <w:hyperlink r:id="rId5" w:history="1">
        <w:r w:rsidRPr="00F60661">
          <w:rPr>
            <w:rStyle w:val="Hyperlink"/>
            <w:rFonts w:cs="Arial"/>
            <w:sz w:val="20"/>
          </w:rPr>
          <w:t>f.rubiorincon@un-ihe.org</w:t>
        </w:r>
      </w:hyperlink>
      <w:r w:rsidRPr="00F60661">
        <w:rPr>
          <w:rFonts w:cs="Arial"/>
          <w:sz w:val="20"/>
        </w:rPr>
        <w:t xml:space="preserve">; </w:t>
      </w:r>
      <w:hyperlink r:id="rId6" w:history="1">
        <w:r w:rsidRPr="00573B4E">
          <w:rPr>
            <w:rStyle w:val="Hyperlink"/>
            <w:rFonts w:cs="Arial"/>
            <w:sz w:val="20"/>
          </w:rPr>
          <w:t>c.lopezvazquez@un-ihe.org</w:t>
        </w:r>
      </w:hyperlink>
      <w:r w:rsidRPr="00F60661">
        <w:rPr>
          <w:rFonts w:cs="Arial"/>
          <w:sz w:val="20"/>
        </w:rPr>
        <w:t>;</w:t>
      </w:r>
      <w:r>
        <w:rPr>
          <w:rFonts w:cs="Arial"/>
          <w:sz w:val="20"/>
        </w:rPr>
        <w:t xml:space="preserve"> </w:t>
      </w:r>
      <w:r w:rsidRPr="007F2364">
        <w:rPr>
          <w:rStyle w:val="Hyperlink"/>
          <w:rFonts w:cs="Arial"/>
          <w:sz w:val="20"/>
        </w:rPr>
        <w:t>laurenswelles@gmail.com</w:t>
      </w:r>
      <w:r w:rsidRPr="00AB4191">
        <w:rPr>
          <w:rStyle w:val="Hyperlink"/>
        </w:rPr>
        <w:t xml:space="preserve">; </w:t>
      </w:r>
      <w:r w:rsidRPr="00AB4191">
        <w:rPr>
          <w:rStyle w:val="Hyperlink"/>
          <w:rFonts w:cs="Arial"/>
          <w:sz w:val="20"/>
        </w:rPr>
        <w:t>b.brdjanovic@un-ihe.org</w:t>
      </w:r>
      <w:r>
        <w:rPr>
          <w:rFonts w:cs="Arial"/>
          <w:sz w:val="20"/>
        </w:rPr>
        <w:t>).</w:t>
      </w:r>
    </w:p>
    <w:p w:rsidR="001B4FDC" w:rsidRDefault="001B4FDC" w:rsidP="001B4FDC">
      <w:pPr>
        <w:pStyle w:val="IWAAuthoraddress"/>
        <w:spacing w:line="240" w:lineRule="auto"/>
        <w:jc w:val="center"/>
        <w:rPr>
          <w:rFonts w:asciiTheme="minorHAnsi" w:hAnsiTheme="minorHAnsi"/>
          <w:sz w:val="20"/>
          <w:szCs w:val="22"/>
        </w:rPr>
      </w:pPr>
      <w:r w:rsidRPr="00F60661">
        <w:rPr>
          <w:rFonts w:asciiTheme="minorHAnsi" w:hAnsiTheme="minorHAnsi"/>
          <w:b/>
          <w:sz w:val="20"/>
          <w:szCs w:val="22"/>
          <w:vertAlign w:val="superscript"/>
        </w:rPr>
        <w:t>b</w:t>
      </w:r>
      <w:r w:rsidRPr="00F60661">
        <w:rPr>
          <w:rFonts w:asciiTheme="minorHAnsi" w:hAnsiTheme="minorHAnsi"/>
          <w:sz w:val="20"/>
          <w:szCs w:val="22"/>
        </w:rPr>
        <w:t xml:space="preserve">.  </w:t>
      </w:r>
      <w:r w:rsidRPr="005E45FD">
        <w:rPr>
          <w:rFonts w:asciiTheme="minorHAnsi" w:hAnsiTheme="minorHAnsi"/>
          <w:sz w:val="20"/>
          <w:szCs w:val="22"/>
        </w:rPr>
        <w:t>Department of Biotechnology, Delft University of Technology, Van der Maasweg 9, 2629 HZ Delf</w:t>
      </w:r>
      <w:r>
        <w:rPr>
          <w:rFonts w:asciiTheme="minorHAnsi" w:hAnsiTheme="minorHAnsi"/>
          <w:sz w:val="20"/>
          <w:szCs w:val="22"/>
        </w:rPr>
        <w:t>t</w:t>
      </w:r>
    </w:p>
    <w:p w:rsidR="001B4FDC" w:rsidRPr="00705B6D" w:rsidRDefault="001B4FDC" w:rsidP="001B4FDC">
      <w:pPr>
        <w:pStyle w:val="IWAAuthoraddress"/>
        <w:spacing w:line="240" w:lineRule="auto"/>
        <w:jc w:val="center"/>
        <w:rPr>
          <w:rFonts w:asciiTheme="minorHAnsi" w:hAnsiTheme="minorHAnsi"/>
          <w:color w:val="000000" w:themeColor="text1"/>
          <w:sz w:val="20"/>
          <w:szCs w:val="22"/>
        </w:rPr>
      </w:pPr>
      <w:r w:rsidRPr="00F60661">
        <w:rPr>
          <w:rFonts w:asciiTheme="minorHAnsi" w:hAnsiTheme="minorHAnsi"/>
          <w:sz w:val="20"/>
          <w:szCs w:val="22"/>
        </w:rPr>
        <w:t xml:space="preserve"> </w:t>
      </w:r>
      <w:r w:rsidRPr="00F60661">
        <w:rPr>
          <w:rFonts w:asciiTheme="minorHAnsi" w:hAnsiTheme="minorHAnsi"/>
          <w:color w:val="000000" w:themeColor="text1"/>
          <w:sz w:val="20"/>
          <w:szCs w:val="22"/>
        </w:rPr>
        <w:t xml:space="preserve">(E-mail: </w:t>
      </w:r>
      <w:hyperlink r:id="rId7" w:history="1">
        <w:r w:rsidRPr="00515333">
          <w:rPr>
            <w:rStyle w:val="Hyperlink"/>
            <w:rFonts w:asciiTheme="minorHAnsi" w:hAnsiTheme="minorHAnsi"/>
            <w:sz w:val="20"/>
            <w:szCs w:val="22"/>
          </w:rPr>
          <w:t>F.J.RubioRincon@tudelft.nl</w:t>
        </w:r>
      </w:hyperlink>
      <w:r w:rsidRPr="001876B2">
        <w:rPr>
          <w:rFonts w:asciiTheme="minorHAnsi" w:hAnsiTheme="minorHAnsi"/>
          <w:color w:val="000000" w:themeColor="text1"/>
          <w:sz w:val="20"/>
          <w:szCs w:val="22"/>
        </w:rPr>
        <w:t>;</w:t>
      </w:r>
      <w:r>
        <w:rPr>
          <w:rFonts w:asciiTheme="minorHAnsi" w:hAnsiTheme="minorHAnsi"/>
          <w:color w:val="000000" w:themeColor="text1"/>
          <w:sz w:val="20"/>
          <w:szCs w:val="22"/>
        </w:rPr>
        <w:t xml:space="preserve"> </w:t>
      </w:r>
      <w:hyperlink r:id="rId8" w:history="1">
        <w:r w:rsidRPr="00E17DAC">
          <w:rPr>
            <w:rStyle w:val="Hyperlink"/>
            <w:rFonts w:asciiTheme="minorHAnsi" w:hAnsiTheme="minorHAnsi"/>
            <w:sz w:val="20"/>
            <w:szCs w:val="22"/>
          </w:rPr>
          <w:t>m.c.m.vanloosdrecht@tudelft.nl</w:t>
        </w:r>
      </w:hyperlink>
      <w:r>
        <w:rPr>
          <w:rFonts w:asciiTheme="minorHAnsi" w:hAnsiTheme="minorHAnsi"/>
          <w:color w:val="000000" w:themeColor="text1"/>
          <w:sz w:val="20"/>
          <w:szCs w:val="22"/>
        </w:rPr>
        <w:t xml:space="preserve">; </w:t>
      </w:r>
      <w:hyperlink r:id="rId9" w:history="1">
        <w:r w:rsidRPr="00AB4191">
          <w:rPr>
            <w:rStyle w:val="Hyperlink"/>
            <w:rFonts w:asciiTheme="minorHAnsi" w:hAnsiTheme="minorHAnsi"/>
            <w:sz w:val="20"/>
            <w:szCs w:val="22"/>
          </w:rPr>
          <w:t>d.brdanovic@tudelft.nl</w:t>
        </w:r>
      </w:hyperlink>
      <w:r>
        <w:rPr>
          <w:rStyle w:val="Hyperlink"/>
          <w:rFonts w:asciiTheme="minorHAnsi" w:hAnsiTheme="minorHAnsi"/>
          <w:color w:val="000000" w:themeColor="text1"/>
          <w:sz w:val="20"/>
          <w:szCs w:val="22"/>
        </w:rPr>
        <w:t xml:space="preserve"> </w:t>
      </w:r>
      <w:r w:rsidRPr="00F60661">
        <w:rPr>
          <w:rFonts w:asciiTheme="minorHAnsi" w:hAnsiTheme="minorHAnsi"/>
          <w:color w:val="000000" w:themeColor="text1"/>
          <w:sz w:val="20"/>
          <w:szCs w:val="22"/>
        </w:rPr>
        <w:t>).</w:t>
      </w:r>
    </w:p>
    <w:p w:rsidR="00603ECC" w:rsidRDefault="00EA544A"/>
    <w:p w:rsidR="001B4FDC" w:rsidRPr="007E2F86" w:rsidRDefault="007E2F86" w:rsidP="007E2F86">
      <w:pPr>
        <w:pStyle w:val="ListParagraph"/>
        <w:spacing w:after="160" w:line="259" w:lineRule="auto"/>
        <w:rPr>
          <w:rFonts w:asciiTheme="majorHAnsi" w:eastAsiaTheme="majorEastAsia" w:hAnsiTheme="majorHAnsi" w:cstheme="majorBidi"/>
          <w:color w:val="2E74B5" w:themeColor="accent1" w:themeShade="BF"/>
          <w:sz w:val="26"/>
          <w:szCs w:val="26"/>
        </w:rPr>
      </w:pPr>
      <w:r>
        <w:t xml:space="preserve">* Corresponding author: </w:t>
      </w:r>
      <w:hyperlink r:id="rId10" w:history="1">
        <w:r w:rsidRPr="00F60661">
          <w:rPr>
            <w:rStyle w:val="Hyperlink"/>
            <w:rFonts w:cs="Arial"/>
            <w:sz w:val="20"/>
          </w:rPr>
          <w:t>f.rubiorincon@un-ihe.org</w:t>
        </w:r>
      </w:hyperlink>
      <w:r>
        <w:rPr>
          <w:rStyle w:val="Hyperlink"/>
          <w:rFonts w:cs="Arial"/>
          <w:sz w:val="20"/>
        </w:rPr>
        <w:t xml:space="preserve">; </w:t>
      </w:r>
      <w:hyperlink r:id="rId11" w:history="1">
        <w:r w:rsidRPr="00515333">
          <w:rPr>
            <w:rStyle w:val="Hyperlink"/>
            <w:sz w:val="20"/>
          </w:rPr>
          <w:t>F.J.RubioRincon@tudelft.nl</w:t>
        </w:r>
      </w:hyperlink>
      <w:r w:rsidR="001B4FDC">
        <w:br w:type="page"/>
      </w:r>
    </w:p>
    <w:p w:rsidR="001B4FDC" w:rsidRDefault="00C845F4" w:rsidP="001B4FDC">
      <w:pPr>
        <w:pStyle w:val="Heading2"/>
      </w:pPr>
      <w:r>
        <w:lastRenderedPageBreak/>
        <w:t>Figure S</w:t>
      </w:r>
      <w:r w:rsidR="001B4FDC">
        <w:t>1</w:t>
      </w:r>
    </w:p>
    <w:p w:rsidR="001B4FDC" w:rsidRDefault="001B4FDC">
      <w:pPr>
        <w:spacing w:after="160" w:line="259" w:lineRule="auto"/>
      </w:pPr>
    </w:p>
    <w:p w:rsidR="001B4FDC" w:rsidRDefault="001B4FDC" w:rsidP="001B4FDC">
      <w:pPr>
        <w:pStyle w:val="NoSpacing"/>
      </w:pPr>
      <w:r w:rsidRPr="001B4FDC">
        <w:rPr>
          <w:noProof/>
          <w:lang w:eastAsia="en-GB"/>
        </w:rPr>
        <w:drawing>
          <wp:inline distT="0" distB="0" distL="0" distR="0">
            <wp:extent cx="5731510" cy="5361944"/>
            <wp:effectExtent l="0" t="0" r="2540" b="0"/>
            <wp:docPr id="1" name="Picture 1" descr="D:\Article\Effect of Lactate on EBPR\Performance of react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Effect of Lactate on EBPR\Performance of reactor.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361944"/>
                    </a:xfrm>
                    <a:prstGeom prst="rect">
                      <a:avLst/>
                    </a:prstGeom>
                    <a:noFill/>
                    <a:ln>
                      <a:noFill/>
                    </a:ln>
                  </pic:spPr>
                </pic:pic>
              </a:graphicData>
            </a:graphic>
          </wp:inline>
        </w:drawing>
      </w:r>
    </w:p>
    <w:p w:rsidR="001B4FDC" w:rsidRDefault="001B4FDC" w:rsidP="001B4FDC">
      <w:r>
        <w:t>Figure A1</w:t>
      </w:r>
      <w:proofErr w:type="gramStart"/>
      <w:r>
        <w:t>.-</w:t>
      </w:r>
      <w:proofErr w:type="gramEnd"/>
      <w:r>
        <w:t xml:space="preserve"> Monitoring of the bioreactor performance during the 150 days of operation. </w:t>
      </w:r>
    </w:p>
    <w:p w:rsidR="001B4FDC" w:rsidRDefault="001B4FDC">
      <w:pPr>
        <w:spacing w:after="160" w:line="259" w:lineRule="auto"/>
        <w:sectPr w:rsidR="001B4FDC">
          <w:pgSz w:w="11906" w:h="16838"/>
          <w:pgMar w:top="1440" w:right="1440" w:bottom="1440" w:left="1440" w:header="708" w:footer="708" w:gutter="0"/>
          <w:cols w:space="708"/>
          <w:docGrid w:linePitch="360"/>
        </w:sectPr>
      </w:pPr>
    </w:p>
    <w:p w:rsidR="001B4FDC" w:rsidRDefault="001B4FDC">
      <w:pPr>
        <w:spacing w:after="160" w:line="259" w:lineRule="auto"/>
      </w:pPr>
    </w:p>
    <w:p w:rsidR="001B4FDC" w:rsidRDefault="00C845F4" w:rsidP="001B4FDC">
      <w:pPr>
        <w:pStyle w:val="Heading2"/>
      </w:pPr>
      <w:r>
        <w:t>Table S</w:t>
      </w:r>
      <w:r w:rsidR="001B4FDC">
        <w:t>1</w:t>
      </w:r>
    </w:p>
    <w:p w:rsidR="001B4FDC" w:rsidRDefault="001B4FDC" w:rsidP="001B4FDC">
      <w:pPr>
        <w:pStyle w:val="NoSpacing"/>
      </w:pPr>
      <w:r>
        <w:t>Table A1</w:t>
      </w:r>
      <w:proofErr w:type="gramStart"/>
      <w:r>
        <w:t>.-</w:t>
      </w:r>
      <w:proofErr w:type="gramEnd"/>
      <w:r>
        <w:t xml:space="preserve"> Anaerobic and aerobic kinetics rates  with ANOVA statistical analysis at 95 % confidence interval and biomass with standard deviation (three samples) in the bioreactor observed when acetate, propionate and lactate was fed as carbon sources (Exp. Phase 1), in the first cycle (Exp. Phase 2) and  after reaching pseudo steady-state conditions (Exp. Phase 3) when lactate was fed as the sole carbon source. </w:t>
      </w:r>
    </w:p>
    <w:tbl>
      <w:tblPr>
        <w:tblStyle w:val="TableGrid"/>
        <w:tblW w:w="5000" w:type="pct"/>
        <w:jc w:val="center"/>
        <w:tblLook w:val="04A0" w:firstRow="1" w:lastRow="0" w:firstColumn="1" w:lastColumn="0" w:noHBand="0" w:noVBand="1"/>
      </w:tblPr>
      <w:tblGrid>
        <w:gridCol w:w="732"/>
        <w:gridCol w:w="1435"/>
        <w:gridCol w:w="1663"/>
        <w:gridCol w:w="3259"/>
        <w:gridCol w:w="3259"/>
        <w:gridCol w:w="3605"/>
      </w:tblGrid>
      <w:tr w:rsidR="001B4FDC" w:rsidTr="004315D8">
        <w:trPr>
          <w:jc w:val="center"/>
        </w:trPr>
        <w:tc>
          <w:tcPr>
            <w:tcW w:w="262" w:type="pct"/>
            <w:vMerge w:val="restart"/>
            <w:tcBorders>
              <w:top w:val="nil"/>
              <w:left w:val="nil"/>
              <w:right w:val="single" w:sz="4" w:space="0" w:color="4472C4" w:themeColor="accent5"/>
            </w:tcBorders>
          </w:tcPr>
          <w:p w:rsidR="001B4FDC" w:rsidRPr="00F05B1E" w:rsidRDefault="001B4FDC" w:rsidP="004315D8">
            <w:pPr>
              <w:rPr>
                <w:b/>
              </w:rPr>
            </w:pPr>
          </w:p>
        </w:tc>
        <w:tc>
          <w:tcPr>
            <w:tcW w:w="51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EEAF6" w:themeFill="accent1" w:themeFillTint="33"/>
          </w:tcPr>
          <w:p w:rsidR="001B4FDC" w:rsidRPr="00F05B1E" w:rsidRDefault="001B4FDC" w:rsidP="004315D8">
            <w:pPr>
              <w:jc w:val="center"/>
              <w:rPr>
                <w:b/>
              </w:rPr>
            </w:pPr>
            <w:r w:rsidRPr="00F05B1E">
              <w:rPr>
                <w:b/>
              </w:rPr>
              <w:t>Experimental phase</w:t>
            </w:r>
          </w:p>
        </w:tc>
        <w:tc>
          <w:tcPr>
            <w:tcW w:w="596" w:type="pct"/>
            <w:vMerge w:val="restart"/>
            <w:tcBorders>
              <w:top w:val="single" w:sz="4" w:space="0" w:color="4472C4" w:themeColor="accent5"/>
              <w:left w:val="single" w:sz="4" w:space="0" w:color="4472C4" w:themeColor="accent5"/>
              <w:right w:val="single" w:sz="4" w:space="0" w:color="4472C4" w:themeColor="accent5"/>
            </w:tcBorders>
            <w:shd w:val="clear" w:color="auto" w:fill="DEEAF6" w:themeFill="accent1" w:themeFillTint="33"/>
            <w:vAlign w:val="center"/>
          </w:tcPr>
          <w:p w:rsidR="001B4FDC" w:rsidRPr="00F05B1E" w:rsidRDefault="001B4FDC" w:rsidP="004315D8">
            <w:pPr>
              <w:jc w:val="center"/>
              <w:rPr>
                <w:b/>
              </w:rPr>
            </w:pPr>
            <w:r w:rsidRPr="00F05B1E">
              <w:rPr>
                <w:b/>
              </w:rPr>
              <w:t>Units</w:t>
            </w:r>
          </w:p>
        </w:tc>
        <w:tc>
          <w:tcPr>
            <w:tcW w:w="1168" w:type="pct"/>
            <w:vMerge w:val="restart"/>
            <w:tcBorders>
              <w:top w:val="single" w:sz="4" w:space="0" w:color="4472C4" w:themeColor="accent5"/>
              <w:left w:val="single" w:sz="4" w:space="0" w:color="4472C4" w:themeColor="accent5"/>
              <w:right w:val="single" w:sz="4" w:space="0" w:color="4472C4" w:themeColor="accent5"/>
            </w:tcBorders>
            <w:shd w:val="clear" w:color="auto" w:fill="DEEAF6" w:themeFill="accent1" w:themeFillTint="33"/>
          </w:tcPr>
          <w:p w:rsidR="001B4FDC" w:rsidRPr="00F05B1E" w:rsidRDefault="001B4FDC" w:rsidP="004315D8">
            <w:pPr>
              <w:jc w:val="center"/>
              <w:rPr>
                <w:b/>
              </w:rPr>
            </w:pPr>
            <w:r w:rsidRPr="00F05B1E">
              <w:rPr>
                <w:b/>
              </w:rPr>
              <w:t>1</w:t>
            </w:r>
          </w:p>
          <w:p w:rsidR="001B4FDC" w:rsidRPr="00F05B1E" w:rsidRDefault="001B4FDC" w:rsidP="004315D8">
            <w:pPr>
              <w:jc w:val="center"/>
              <w:rPr>
                <w:b/>
              </w:rPr>
            </w:pPr>
            <w:r w:rsidRPr="00F05B1E">
              <w:rPr>
                <w:b/>
              </w:rPr>
              <w:t>Mixture of</w:t>
            </w:r>
          </w:p>
          <w:p w:rsidR="001B4FDC" w:rsidRPr="00F05B1E" w:rsidRDefault="001B4FDC" w:rsidP="004315D8">
            <w:pPr>
              <w:jc w:val="center"/>
              <w:rPr>
                <w:b/>
              </w:rPr>
            </w:pPr>
            <w:proofErr w:type="spellStart"/>
            <w:r w:rsidRPr="00F05B1E">
              <w:rPr>
                <w:b/>
              </w:rPr>
              <w:t>Ac:Pr:Lac</w:t>
            </w:r>
            <w:proofErr w:type="spellEnd"/>
          </w:p>
        </w:tc>
        <w:tc>
          <w:tcPr>
            <w:tcW w:w="1168" w:type="pct"/>
            <w:vMerge w:val="restart"/>
            <w:tcBorders>
              <w:top w:val="single" w:sz="4" w:space="0" w:color="4472C4" w:themeColor="accent5"/>
              <w:left w:val="single" w:sz="4" w:space="0" w:color="4472C4" w:themeColor="accent5"/>
              <w:right w:val="single" w:sz="4" w:space="0" w:color="4472C4" w:themeColor="accent5"/>
            </w:tcBorders>
            <w:shd w:val="clear" w:color="auto" w:fill="DEEAF6" w:themeFill="accent1" w:themeFillTint="33"/>
          </w:tcPr>
          <w:p w:rsidR="001B4FDC" w:rsidRPr="00F05B1E" w:rsidRDefault="001B4FDC" w:rsidP="004315D8">
            <w:pPr>
              <w:jc w:val="center"/>
              <w:rPr>
                <w:b/>
              </w:rPr>
            </w:pPr>
            <w:r w:rsidRPr="00F05B1E">
              <w:rPr>
                <w:b/>
              </w:rPr>
              <w:t>2</w:t>
            </w:r>
          </w:p>
          <w:p w:rsidR="001B4FDC" w:rsidRPr="00F05B1E" w:rsidRDefault="001B4FDC" w:rsidP="004315D8">
            <w:pPr>
              <w:jc w:val="center"/>
              <w:rPr>
                <w:b/>
              </w:rPr>
            </w:pPr>
            <w:r w:rsidRPr="00F05B1E">
              <w:rPr>
                <w:b/>
              </w:rPr>
              <w:t>Lactate</w:t>
            </w:r>
          </w:p>
          <w:p w:rsidR="001B4FDC" w:rsidRPr="00F05B1E" w:rsidRDefault="001B4FDC" w:rsidP="004315D8">
            <w:pPr>
              <w:jc w:val="center"/>
              <w:rPr>
                <w:b/>
              </w:rPr>
            </w:pPr>
            <w:r w:rsidRPr="00F05B1E">
              <w:rPr>
                <w:b/>
              </w:rPr>
              <w:t>1</w:t>
            </w:r>
            <w:r w:rsidRPr="00F05B1E">
              <w:rPr>
                <w:b/>
                <w:vertAlign w:val="superscript"/>
              </w:rPr>
              <w:t>st</w:t>
            </w:r>
            <w:r w:rsidRPr="00F05B1E">
              <w:rPr>
                <w:b/>
              </w:rPr>
              <w:t xml:space="preserve"> cycle</w:t>
            </w:r>
          </w:p>
        </w:tc>
        <w:tc>
          <w:tcPr>
            <w:tcW w:w="1292" w:type="pct"/>
            <w:vMerge w:val="restart"/>
            <w:tcBorders>
              <w:top w:val="single" w:sz="4" w:space="0" w:color="4472C4" w:themeColor="accent5"/>
              <w:left w:val="single" w:sz="4" w:space="0" w:color="4472C4" w:themeColor="accent5"/>
              <w:right w:val="single" w:sz="4" w:space="0" w:color="4472C4" w:themeColor="accent5"/>
            </w:tcBorders>
            <w:shd w:val="clear" w:color="auto" w:fill="DEEAF6" w:themeFill="accent1" w:themeFillTint="33"/>
          </w:tcPr>
          <w:p w:rsidR="001B4FDC" w:rsidRPr="00F05B1E" w:rsidRDefault="001B4FDC" w:rsidP="004315D8">
            <w:pPr>
              <w:jc w:val="center"/>
              <w:rPr>
                <w:b/>
              </w:rPr>
            </w:pPr>
            <w:r w:rsidRPr="00F05B1E">
              <w:rPr>
                <w:b/>
              </w:rPr>
              <w:t>3</w:t>
            </w:r>
          </w:p>
          <w:p w:rsidR="001B4FDC" w:rsidRPr="00F05B1E" w:rsidRDefault="001B4FDC" w:rsidP="004315D8">
            <w:pPr>
              <w:jc w:val="center"/>
              <w:rPr>
                <w:b/>
              </w:rPr>
            </w:pPr>
            <w:r w:rsidRPr="00F05B1E">
              <w:rPr>
                <w:b/>
              </w:rPr>
              <w:t>Lactate</w:t>
            </w:r>
          </w:p>
        </w:tc>
      </w:tr>
      <w:tr w:rsidR="001B4FDC" w:rsidTr="004315D8">
        <w:trPr>
          <w:trHeight w:val="438"/>
          <w:jc w:val="center"/>
        </w:trPr>
        <w:tc>
          <w:tcPr>
            <w:tcW w:w="262" w:type="pct"/>
            <w:vMerge/>
            <w:tcBorders>
              <w:left w:val="nil"/>
              <w:bottom w:val="single" w:sz="4" w:space="0" w:color="4472C4" w:themeColor="accent5"/>
              <w:right w:val="single" w:sz="4" w:space="0" w:color="4472C4" w:themeColor="accent5"/>
            </w:tcBorders>
          </w:tcPr>
          <w:p w:rsidR="001B4FDC" w:rsidRPr="00F05B1E" w:rsidRDefault="001B4FDC" w:rsidP="004315D8">
            <w:pPr>
              <w:rPr>
                <w:b/>
              </w:rPr>
            </w:pPr>
          </w:p>
        </w:tc>
        <w:tc>
          <w:tcPr>
            <w:tcW w:w="514" w:type="pct"/>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DEEAF6" w:themeFill="accent1" w:themeFillTint="33"/>
          </w:tcPr>
          <w:p w:rsidR="001B4FDC" w:rsidRPr="00F05B1E" w:rsidRDefault="001B4FDC" w:rsidP="004315D8">
            <w:pPr>
              <w:rPr>
                <w:b/>
              </w:rPr>
            </w:pPr>
            <w:r w:rsidRPr="00F05B1E">
              <w:rPr>
                <w:b/>
              </w:rPr>
              <w:t xml:space="preserve">Parameter </w:t>
            </w:r>
          </w:p>
        </w:tc>
        <w:tc>
          <w:tcPr>
            <w:tcW w:w="596" w:type="pct"/>
            <w:vMerge/>
            <w:tcBorders>
              <w:left w:val="single" w:sz="4" w:space="0" w:color="4472C4" w:themeColor="accent5"/>
              <w:bottom w:val="single" w:sz="4" w:space="0" w:color="4472C4"/>
              <w:right w:val="single" w:sz="4" w:space="0" w:color="4472C4" w:themeColor="accent5"/>
            </w:tcBorders>
          </w:tcPr>
          <w:p w:rsidR="001B4FDC" w:rsidRDefault="001B4FDC" w:rsidP="004315D8"/>
        </w:tc>
        <w:tc>
          <w:tcPr>
            <w:tcW w:w="1168" w:type="pct"/>
            <w:vMerge/>
            <w:tcBorders>
              <w:left w:val="single" w:sz="4" w:space="0" w:color="4472C4" w:themeColor="accent5"/>
              <w:bottom w:val="single" w:sz="4" w:space="0" w:color="4472C4" w:themeColor="accent5"/>
              <w:right w:val="single" w:sz="4" w:space="0" w:color="4472C4" w:themeColor="accent5"/>
            </w:tcBorders>
          </w:tcPr>
          <w:p w:rsidR="001B4FDC" w:rsidRDefault="001B4FDC" w:rsidP="004315D8"/>
        </w:tc>
        <w:tc>
          <w:tcPr>
            <w:tcW w:w="1168" w:type="pct"/>
            <w:vMerge/>
            <w:tcBorders>
              <w:left w:val="single" w:sz="4" w:space="0" w:color="4472C4" w:themeColor="accent5"/>
              <w:bottom w:val="single" w:sz="4" w:space="0" w:color="4472C4" w:themeColor="accent5"/>
              <w:right w:val="single" w:sz="4" w:space="0" w:color="4472C4" w:themeColor="accent5"/>
            </w:tcBorders>
          </w:tcPr>
          <w:p w:rsidR="001B4FDC" w:rsidRDefault="001B4FDC" w:rsidP="004315D8"/>
        </w:tc>
        <w:tc>
          <w:tcPr>
            <w:tcW w:w="1292" w:type="pct"/>
            <w:vMerge/>
            <w:tcBorders>
              <w:left w:val="single" w:sz="4" w:space="0" w:color="4472C4" w:themeColor="accent5"/>
              <w:bottom w:val="single" w:sz="4" w:space="0" w:color="4472C4" w:themeColor="accent5"/>
              <w:right w:val="single" w:sz="4" w:space="0" w:color="4472C4" w:themeColor="accent5"/>
            </w:tcBorders>
          </w:tcPr>
          <w:p w:rsidR="001B4FDC" w:rsidRDefault="001B4FDC" w:rsidP="004315D8"/>
        </w:tc>
      </w:tr>
      <w:tr w:rsidR="001B4FDC" w:rsidTr="004315D8">
        <w:trPr>
          <w:cantSplit/>
          <w:trHeight w:val="397"/>
          <w:jc w:val="center"/>
        </w:trPr>
        <w:tc>
          <w:tcPr>
            <w:tcW w:w="262" w:type="pct"/>
            <w:vMerge w:val="restart"/>
            <w:tcBorders>
              <w:top w:val="single" w:sz="4" w:space="0" w:color="4472C4" w:themeColor="accent5"/>
              <w:left w:val="single" w:sz="4" w:space="0" w:color="2E74B5" w:themeColor="accent1" w:themeShade="BF"/>
              <w:right w:val="single" w:sz="4" w:space="0" w:color="2E74B5"/>
            </w:tcBorders>
            <w:shd w:val="clear" w:color="auto" w:fill="DEEAF6" w:themeFill="accent1" w:themeFillTint="33"/>
            <w:textDirection w:val="btLr"/>
            <w:vAlign w:val="center"/>
          </w:tcPr>
          <w:p w:rsidR="001B4FDC" w:rsidRPr="00F05B1E" w:rsidRDefault="001B4FDC" w:rsidP="004315D8">
            <w:pPr>
              <w:ind w:left="113" w:right="113"/>
              <w:jc w:val="center"/>
              <w:rPr>
                <w:b/>
              </w:rPr>
            </w:pPr>
            <w:r w:rsidRPr="00F05B1E">
              <w:rPr>
                <w:b/>
              </w:rPr>
              <w:t>Biomass</w:t>
            </w:r>
          </w:p>
        </w:tc>
        <w:tc>
          <w:tcPr>
            <w:tcW w:w="514" w:type="pct"/>
            <w:tcBorders>
              <w:top w:val="single" w:sz="4" w:space="0" w:color="4472C4" w:themeColor="accent5"/>
              <w:left w:val="single" w:sz="4" w:space="0" w:color="2E74B5"/>
              <w:right w:val="single" w:sz="4" w:space="0" w:color="auto"/>
            </w:tcBorders>
            <w:vAlign w:val="center"/>
          </w:tcPr>
          <w:p w:rsidR="001B4FDC" w:rsidRDefault="001B4FDC" w:rsidP="004315D8">
            <w:pPr>
              <w:jc w:val="center"/>
            </w:pPr>
            <w:r>
              <w:t>MLVSS</w:t>
            </w:r>
          </w:p>
        </w:tc>
        <w:tc>
          <w:tcPr>
            <w:tcW w:w="596" w:type="pct"/>
            <w:tcBorders>
              <w:top w:val="single" w:sz="4" w:space="0" w:color="4472C4"/>
              <w:left w:val="single" w:sz="4" w:space="0" w:color="auto"/>
            </w:tcBorders>
            <w:vAlign w:val="center"/>
          </w:tcPr>
          <w:p w:rsidR="001B4FDC" w:rsidRDefault="001B4FDC" w:rsidP="004315D8">
            <w:pPr>
              <w:jc w:val="center"/>
            </w:pPr>
            <w:r>
              <w:t>mg/L</w:t>
            </w:r>
          </w:p>
        </w:tc>
        <w:tc>
          <w:tcPr>
            <w:tcW w:w="1168" w:type="pct"/>
            <w:tcBorders>
              <w:top w:val="single" w:sz="4" w:space="0" w:color="4472C4" w:themeColor="accent5"/>
            </w:tcBorders>
            <w:vAlign w:val="center"/>
          </w:tcPr>
          <w:p w:rsidR="001B4FDC" w:rsidRDefault="001B4FDC" w:rsidP="004315D8">
            <w:pPr>
              <w:jc w:val="center"/>
            </w:pPr>
            <w:r>
              <w:t>2780±30</w:t>
            </w:r>
          </w:p>
        </w:tc>
        <w:tc>
          <w:tcPr>
            <w:tcW w:w="1168" w:type="pct"/>
            <w:tcBorders>
              <w:top w:val="single" w:sz="4" w:space="0" w:color="4472C4" w:themeColor="accent5"/>
            </w:tcBorders>
            <w:vAlign w:val="center"/>
          </w:tcPr>
          <w:p w:rsidR="001B4FDC" w:rsidRDefault="001B4FDC" w:rsidP="004315D8">
            <w:pPr>
              <w:jc w:val="center"/>
            </w:pPr>
            <w:r>
              <w:t>2757±6</w:t>
            </w:r>
          </w:p>
        </w:tc>
        <w:tc>
          <w:tcPr>
            <w:tcW w:w="1292" w:type="pct"/>
            <w:tcBorders>
              <w:top w:val="single" w:sz="4" w:space="0" w:color="4472C4" w:themeColor="accent5"/>
            </w:tcBorders>
            <w:vAlign w:val="center"/>
          </w:tcPr>
          <w:p w:rsidR="001B4FDC" w:rsidRDefault="001B4FDC" w:rsidP="004315D8">
            <w:pPr>
              <w:jc w:val="center"/>
            </w:pPr>
            <w:r>
              <w:t>3257±85</w:t>
            </w:r>
          </w:p>
        </w:tc>
      </w:tr>
      <w:tr w:rsidR="001B4FDC" w:rsidTr="004315D8">
        <w:trPr>
          <w:cantSplit/>
          <w:trHeight w:val="397"/>
          <w:jc w:val="center"/>
        </w:trPr>
        <w:tc>
          <w:tcPr>
            <w:tcW w:w="262" w:type="pct"/>
            <w:vMerge/>
            <w:tcBorders>
              <w:left w:val="single" w:sz="4" w:space="0" w:color="2E74B5" w:themeColor="accent1" w:themeShade="BF"/>
              <w:right w:val="single" w:sz="4" w:space="0" w:color="2E74B5"/>
            </w:tcBorders>
            <w:shd w:val="clear" w:color="auto" w:fill="DEEAF6" w:themeFill="accent1" w:themeFillTint="33"/>
            <w:vAlign w:val="center"/>
          </w:tcPr>
          <w:p w:rsidR="001B4FDC" w:rsidRPr="00F05B1E" w:rsidRDefault="001B4FDC" w:rsidP="004315D8">
            <w:pPr>
              <w:jc w:val="center"/>
              <w:rPr>
                <w:b/>
              </w:rPr>
            </w:pPr>
          </w:p>
        </w:tc>
        <w:tc>
          <w:tcPr>
            <w:tcW w:w="514" w:type="pct"/>
            <w:tcBorders>
              <w:left w:val="single" w:sz="4" w:space="0" w:color="2E74B5"/>
              <w:right w:val="single" w:sz="4" w:space="0" w:color="auto"/>
            </w:tcBorders>
            <w:vAlign w:val="center"/>
          </w:tcPr>
          <w:p w:rsidR="001B4FDC" w:rsidRDefault="001B4FDC" w:rsidP="004315D8">
            <w:pPr>
              <w:jc w:val="center"/>
            </w:pPr>
            <w:r>
              <w:t>MLSS</w:t>
            </w:r>
          </w:p>
        </w:tc>
        <w:tc>
          <w:tcPr>
            <w:tcW w:w="596" w:type="pct"/>
            <w:tcBorders>
              <w:left w:val="single" w:sz="4" w:space="0" w:color="auto"/>
            </w:tcBorders>
            <w:vAlign w:val="center"/>
          </w:tcPr>
          <w:p w:rsidR="001B4FDC" w:rsidRDefault="001B4FDC" w:rsidP="004315D8">
            <w:pPr>
              <w:jc w:val="center"/>
            </w:pPr>
            <w:r>
              <w:t>mg/L</w:t>
            </w:r>
          </w:p>
        </w:tc>
        <w:tc>
          <w:tcPr>
            <w:tcW w:w="1168" w:type="pct"/>
            <w:vAlign w:val="center"/>
          </w:tcPr>
          <w:p w:rsidR="001B4FDC" w:rsidRDefault="001B4FDC" w:rsidP="004315D8">
            <w:pPr>
              <w:jc w:val="center"/>
            </w:pPr>
            <w:r>
              <w:t>4633±85</w:t>
            </w:r>
          </w:p>
        </w:tc>
        <w:tc>
          <w:tcPr>
            <w:tcW w:w="1168" w:type="pct"/>
            <w:vAlign w:val="center"/>
          </w:tcPr>
          <w:p w:rsidR="001B4FDC" w:rsidRDefault="001B4FDC" w:rsidP="004315D8">
            <w:pPr>
              <w:jc w:val="center"/>
            </w:pPr>
            <w:r>
              <w:t>4503±28</w:t>
            </w:r>
          </w:p>
        </w:tc>
        <w:tc>
          <w:tcPr>
            <w:tcW w:w="1292" w:type="pct"/>
            <w:vAlign w:val="center"/>
          </w:tcPr>
          <w:p w:rsidR="001B4FDC" w:rsidRDefault="001B4FDC" w:rsidP="004315D8">
            <w:pPr>
              <w:jc w:val="center"/>
            </w:pPr>
            <w:r>
              <w:t>3983±75</w:t>
            </w:r>
          </w:p>
        </w:tc>
      </w:tr>
      <w:tr w:rsidR="001B4FDC" w:rsidTr="004315D8">
        <w:trPr>
          <w:cantSplit/>
          <w:trHeight w:val="397"/>
          <w:jc w:val="center"/>
        </w:trPr>
        <w:tc>
          <w:tcPr>
            <w:tcW w:w="262" w:type="pct"/>
            <w:vMerge w:val="restart"/>
            <w:tcBorders>
              <w:top w:val="single" w:sz="4" w:space="0" w:color="4472C4" w:themeColor="accent5"/>
              <w:left w:val="single" w:sz="4" w:space="0" w:color="4472C4" w:themeColor="accent5"/>
              <w:right w:val="single" w:sz="4" w:space="0" w:color="4472C4"/>
            </w:tcBorders>
            <w:shd w:val="clear" w:color="auto" w:fill="DEEAF6" w:themeFill="accent1" w:themeFillTint="33"/>
            <w:textDirection w:val="btLr"/>
            <w:vAlign w:val="center"/>
          </w:tcPr>
          <w:p w:rsidR="001B4FDC" w:rsidRPr="00F05B1E" w:rsidRDefault="001B4FDC" w:rsidP="004315D8">
            <w:pPr>
              <w:ind w:left="113" w:right="113"/>
              <w:jc w:val="center"/>
              <w:rPr>
                <w:b/>
              </w:rPr>
            </w:pPr>
            <w:r w:rsidRPr="00F05B1E">
              <w:rPr>
                <w:b/>
              </w:rPr>
              <w:t>Rates</w:t>
            </w:r>
          </w:p>
        </w:tc>
        <w:tc>
          <w:tcPr>
            <w:tcW w:w="514" w:type="pct"/>
            <w:tcBorders>
              <w:left w:val="single" w:sz="4" w:space="0" w:color="4472C4"/>
            </w:tcBorders>
            <w:vAlign w:val="center"/>
          </w:tcPr>
          <w:p w:rsidR="001B4FDC" w:rsidRPr="00DF0DA2" w:rsidRDefault="00EA544A" w:rsidP="004315D8">
            <w:pPr>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COD</m:t>
                    </m:r>
                  </m:sub>
                </m:sSub>
              </m:oMath>
            </m:oMathPara>
          </w:p>
        </w:tc>
        <w:tc>
          <w:tcPr>
            <w:tcW w:w="596" w:type="pct"/>
            <w:vAlign w:val="center"/>
          </w:tcPr>
          <w:p w:rsidR="001B4FDC" w:rsidRDefault="001B4FDC" w:rsidP="004315D8">
            <w:r>
              <w:t>C-mmol/gVSS.h</w:t>
            </w:r>
          </w:p>
        </w:tc>
        <w:tc>
          <w:tcPr>
            <w:tcW w:w="1168" w:type="pct"/>
            <w:vAlign w:val="center"/>
          </w:tcPr>
          <w:p w:rsidR="001B4FDC" w:rsidRDefault="001B4FDC" w:rsidP="004315D8">
            <w:pPr>
              <w:jc w:val="center"/>
            </w:pPr>
            <w:r>
              <w:t>3.06  (R</w:t>
            </w:r>
            <w:r w:rsidRPr="005B1D62">
              <w:rPr>
                <w:vertAlign w:val="superscript"/>
              </w:rPr>
              <w:t>2</w:t>
            </w:r>
            <w:r>
              <w:t>=0.77; F1,2=20;P&lt;0.100) (R</w:t>
            </w:r>
            <w:r w:rsidRPr="005B1D62">
              <w:rPr>
                <w:vertAlign w:val="superscript"/>
              </w:rPr>
              <w:t>2</w:t>
            </w:r>
            <w:r>
              <w:t>=0.99; F1,4=227;P&lt;0.001)</w:t>
            </w:r>
          </w:p>
        </w:tc>
        <w:tc>
          <w:tcPr>
            <w:tcW w:w="1168" w:type="pct"/>
            <w:vAlign w:val="center"/>
          </w:tcPr>
          <w:p w:rsidR="001B4FDC" w:rsidRDefault="001B4FDC" w:rsidP="004315D8">
            <w:pPr>
              <w:jc w:val="center"/>
            </w:pPr>
            <w:r>
              <w:t>0.96  (R</w:t>
            </w:r>
            <w:r w:rsidRPr="005B1D62">
              <w:rPr>
                <w:vertAlign w:val="superscript"/>
              </w:rPr>
              <w:t>2</w:t>
            </w:r>
            <w:r>
              <w:t>=0.98; F1,7=236;P&lt;0.001)</w:t>
            </w:r>
          </w:p>
        </w:tc>
        <w:tc>
          <w:tcPr>
            <w:tcW w:w="1292" w:type="pct"/>
            <w:vAlign w:val="center"/>
          </w:tcPr>
          <w:p w:rsidR="001B4FDC" w:rsidRPr="005B1D62" w:rsidRDefault="001B4FDC" w:rsidP="004315D8">
            <w:pPr>
              <w:jc w:val="center"/>
            </w:pPr>
            <w:r>
              <w:t>2.71 (R</w:t>
            </w:r>
            <w:r w:rsidRPr="005B1D62">
              <w:rPr>
                <w:vertAlign w:val="superscript"/>
              </w:rPr>
              <w:t>2</w:t>
            </w:r>
            <w:r>
              <w:t>=0.99; F1,4=227;P&lt;0.001)</w:t>
            </w:r>
          </w:p>
        </w:tc>
      </w:tr>
      <w:tr w:rsidR="001B4FDC" w:rsidTr="004315D8">
        <w:trPr>
          <w:cantSplit/>
          <w:trHeight w:val="397"/>
          <w:jc w:val="center"/>
        </w:trPr>
        <w:tc>
          <w:tcPr>
            <w:tcW w:w="262" w:type="pct"/>
            <w:vMerge/>
            <w:tcBorders>
              <w:left w:val="single" w:sz="4" w:space="0" w:color="4472C4" w:themeColor="accent5"/>
              <w:right w:val="single" w:sz="4" w:space="0" w:color="4472C4"/>
            </w:tcBorders>
            <w:shd w:val="clear" w:color="auto" w:fill="DEEAF6" w:themeFill="accent1" w:themeFillTint="33"/>
            <w:vAlign w:val="center"/>
          </w:tcPr>
          <w:p w:rsidR="001B4FDC" w:rsidRDefault="001B4FDC" w:rsidP="004315D8">
            <w:pPr>
              <w:jc w:val="center"/>
            </w:pPr>
          </w:p>
        </w:tc>
        <w:tc>
          <w:tcPr>
            <w:tcW w:w="514" w:type="pct"/>
            <w:tcBorders>
              <w:left w:val="single" w:sz="4" w:space="0" w:color="4472C4"/>
            </w:tcBorders>
            <w:vAlign w:val="center"/>
          </w:tcPr>
          <w:p w:rsidR="001B4FDC" w:rsidRPr="00DF0DA2" w:rsidRDefault="00EA544A" w:rsidP="004315D8">
            <w:pPr>
              <w:jc w:val="center"/>
              <w:rPr>
                <w:rFonts w:ascii="Times New Roman" w:eastAsia="Calibri" w:hAnsi="Times New Roman" w:cs="Times New Roman"/>
              </w:rPr>
            </w:pPr>
            <m:oMathPara>
              <m:oMath>
                <m:sSubSup>
                  <m:sSubSupPr>
                    <m:ctrlPr>
                      <w:rPr>
                        <w:rFonts w:ascii="Cambria Math" w:eastAsia="Calibri" w:hAnsi="Cambria Math" w:cs="Times New Roman"/>
                        <w:i/>
                      </w:rPr>
                    </m:ctrlPr>
                  </m:sSubSupPr>
                  <m:e>
                    <m:r>
                      <w:rPr>
                        <w:rFonts w:ascii="Cambria Math" w:eastAsia="Calibri" w:hAnsi="Cambria Math" w:cs="Times New Roman"/>
                      </w:rPr>
                      <m:t>q</m:t>
                    </m:r>
                  </m:e>
                  <m:sub>
                    <m:r>
                      <w:rPr>
                        <w:rFonts w:ascii="Cambria Math" w:eastAsia="Calibri" w:hAnsi="Cambria Math" w:cs="Times New Roman"/>
                      </w:rPr>
                      <m:t>PO4,AN</m:t>
                    </m:r>
                  </m:sub>
                  <m:sup>
                    <m:r>
                      <w:rPr>
                        <w:rFonts w:ascii="Cambria Math" w:eastAsia="Calibri" w:hAnsi="Cambria Math" w:cs="Times New Roman"/>
                      </w:rPr>
                      <m:t>MAX</m:t>
                    </m:r>
                  </m:sup>
                </m:sSubSup>
              </m:oMath>
            </m:oMathPara>
          </w:p>
        </w:tc>
        <w:tc>
          <w:tcPr>
            <w:tcW w:w="596" w:type="pct"/>
            <w:vAlign w:val="center"/>
          </w:tcPr>
          <w:p w:rsidR="001B4FDC" w:rsidRDefault="001B4FDC" w:rsidP="004315D8">
            <w:pPr>
              <w:jc w:val="center"/>
            </w:pPr>
            <w:r>
              <w:t>P-mmol/gVSS.h</w:t>
            </w:r>
          </w:p>
        </w:tc>
        <w:tc>
          <w:tcPr>
            <w:tcW w:w="1168" w:type="pct"/>
            <w:vAlign w:val="center"/>
          </w:tcPr>
          <w:p w:rsidR="001B4FDC" w:rsidRDefault="001B4FDC" w:rsidP="004315D8">
            <w:pPr>
              <w:jc w:val="center"/>
            </w:pPr>
            <w:r>
              <w:t>2.87  (R</w:t>
            </w:r>
            <w:r w:rsidRPr="005B1D62">
              <w:rPr>
                <w:vertAlign w:val="superscript"/>
              </w:rPr>
              <w:t>2</w:t>
            </w:r>
            <w:r>
              <w:t>=0.71; F1,4=29;P&lt;0.010)</w:t>
            </w:r>
          </w:p>
        </w:tc>
        <w:tc>
          <w:tcPr>
            <w:tcW w:w="1168" w:type="pct"/>
            <w:vAlign w:val="center"/>
          </w:tcPr>
          <w:p w:rsidR="001B4FDC" w:rsidRDefault="001B4FDC" w:rsidP="004315D8">
            <w:pPr>
              <w:jc w:val="center"/>
            </w:pPr>
            <w:r>
              <w:t>1.34  (R</w:t>
            </w:r>
            <w:r w:rsidRPr="005B1D62">
              <w:rPr>
                <w:vertAlign w:val="superscript"/>
              </w:rPr>
              <w:t>2</w:t>
            </w:r>
            <w:r>
              <w:t>=0.92; F1,7=16;P&lt;0.010)</w:t>
            </w:r>
          </w:p>
        </w:tc>
        <w:tc>
          <w:tcPr>
            <w:tcW w:w="1292" w:type="pct"/>
            <w:vAlign w:val="center"/>
          </w:tcPr>
          <w:p w:rsidR="001B4FDC" w:rsidRDefault="001B4FDC" w:rsidP="004315D8">
            <w:pPr>
              <w:jc w:val="center"/>
            </w:pPr>
            <w:r>
              <w:t>0.33 (R</w:t>
            </w:r>
            <w:r w:rsidRPr="005B1D62">
              <w:rPr>
                <w:vertAlign w:val="superscript"/>
              </w:rPr>
              <w:t>2</w:t>
            </w:r>
            <w:r>
              <w:t>=0.99; F1,4=27;P&lt;0.001)</w:t>
            </w:r>
          </w:p>
        </w:tc>
      </w:tr>
      <w:tr w:rsidR="001B4FDC" w:rsidTr="004315D8">
        <w:trPr>
          <w:cantSplit/>
          <w:trHeight w:val="397"/>
          <w:jc w:val="center"/>
        </w:trPr>
        <w:tc>
          <w:tcPr>
            <w:tcW w:w="262" w:type="pct"/>
            <w:vMerge/>
            <w:tcBorders>
              <w:left w:val="single" w:sz="4" w:space="0" w:color="4472C4" w:themeColor="accent5"/>
              <w:right w:val="single" w:sz="4" w:space="0" w:color="4472C4"/>
            </w:tcBorders>
            <w:shd w:val="clear" w:color="auto" w:fill="DEEAF6" w:themeFill="accent1" w:themeFillTint="33"/>
            <w:vAlign w:val="center"/>
          </w:tcPr>
          <w:p w:rsidR="001B4FDC" w:rsidRDefault="001B4FDC" w:rsidP="004315D8">
            <w:pPr>
              <w:jc w:val="center"/>
            </w:pPr>
          </w:p>
        </w:tc>
        <w:tc>
          <w:tcPr>
            <w:tcW w:w="514" w:type="pct"/>
            <w:tcBorders>
              <w:left w:val="single" w:sz="4" w:space="0" w:color="4472C4"/>
            </w:tcBorders>
            <w:vAlign w:val="center"/>
          </w:tcPr>
          <w:p w:rsidR="001B4FDC" w:rsidRPr="00DF0DA2" w:rsidRDefault="00EA544A" w:rsidP="004315D8">
            <w:pPr>
              <w:jc w:val="center"/>
              <w:rPr>
                <w:rFonts w:ascii="Times New Roman" w:eastAsia="Calibri"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PO4,AN</m:t>
                    </m:r>
                  </m:sub>
                </m:sSub>
              </m:oMath>
            </m:oMathPara>
          </w:p>
        </w:tc>
        <w:tc>
          <w:tcPr>
            <w:tcW w:w="596" w:type="pct"/>
            <w:vAlign w:val="center"/>
          </w:tcPr>
          <w:p w:rsidR="001B4FDC" w:rsidRDefault="001B4FDC" w:rsidP="004315D8">
            <w:pPr>
              <w:jc w:val="center"/>
            </w:pPr>
            <w:r>
              <w:t>P-mmol/gVSS.h</w:t>
            </w:r>
          </w:p>
        </w:tc>
        <w:tc>
          <w:tcPr>
            <w:tcW w:w="1168" w:type="pct"/>
            <w:vAlign w:val="center"/>
          </w:tcPr>
          <w:p w:rsidR="001B4FDC" w:rsidRDefault="001B4FDC" w:rsidP="004315D8">
            <w:pPr>
              <w:jc w:val="center"/>
            </w:pPr>
            <w:r>
              <w:t>0.05  (R</w:t>
            </w:r>
            <w:r w:rsidRPr="005B1D62">
              <w:rPr>
                <w:vertAlign w:val="superscript"/>
              </w:rPr>
              <w:t>2</w:t>
            </w:r>
            <w:r>
              <w:t>=0.97; F1,2=144;P&lt;0.001)</w:t>
            </w:r>
          </w:p>
        </w:tc>
        <w:tc>
          <w:tcPr>
            <w:tcW w:w="1168" w:type="pct"/>
            <w:vAlign w:val="center"/>
          </w:tcPr>
          <w:p w:rsidR="001B4FDC" w:rsidRDefault="001B4FDC" w:rsidP="004315D8">
            <w:pPr>
              <w:jc w:val="center"/>
            </w:pPr>
            <w:r>
              <w:t>NA</w:t>
            </w:r>
          </w:p>
        </w:tc>
        <w:tc>
          <w:tcPr>
            <w:tcW w:w="1292" w:type="pct"/>
            <w:vAlign w:val="center"/>
          </w:tcPr>
          <w:p w:rsidR="001B4FDC" w:rsidRDefault="001B4FDC" w:rsidP="004315D8">
            <w:pPr>
              <w:jc w:val="center"/>
            </w:pPr>
            <w:r>
              <w:t>0.05 (R</w:t>
            </w:r>
            <w:r w:rsidRPr="005B1D62">
              <w:rPr>
                <w:vertAlign w:val="superscript"/>
              </w:rPr>
              <w:t>2</w:t>
            </w:r>
            <w:r>
              <w:t>=0.92; F1,2=42;P&lt;0.010)</w:t>
            </w:r>
          </w:p>
        </w:tc>
      </w:tr>
      <w:tr w:rsidR="001B4FDC" w:rsidTr="004315D8">
        <w:trPr>
          <w:cantSplit/>
          <w:trHeight w:val="397"/>
          <w:jc w:val="center"/>
        </w:trPr>
        <w:tc>
          <w:tcPr>
            <w:tcW w:w="262" w:type="pct"/>
            <w:vMerge/>
            <w:tcBorders>
              <w:left w:val="single" w:sz="4" w:space="0" w:color="4472C4" w:themeColor="accent5"/>
              <w:bottom w:val="single" w:sz="4" w:space="0" w:color="4472C4"/>
              <w:right w:val="single" w:sz="4" w:space="0" w:color="4472C4"/>
            </w:tcBorders>
            <w:shd w:val="clear" w:color="auto" w:fill="DEEAF6" w:themeFill="accent1" w:themeFillTint="33"/>
            <w:vAlign w:val="center"/>
          </w:tcPr>
          <w:p w:rsidR="001B4FDC" w:rsidRDefault="001B4FDC" w:rsidP="004315D8">
            <w:pPr>
              <w:jc w:val="center"/>
            </w:pPr>
          </w:p>
        </w:tc>
        <w:tc>
          <w:tcPr>
            <w:tcW w:w="514" w:type="pct"/>
            <w:tcBorders>
              <w:left w:val="single" w:sz="4" w:space="0" w:color="4472C4"/>
            </w:tcBorders>
            <w:vAlign w:val="center"/>
          </w:tcPr>
          <w:p w:rsidR="001B4FDC" w:rsidRPr="00DF0DA2" w:rsidRDefault="00EA544A" w:rsidP="004315D8">
            <w:pPr>
              <w:jc w:val="center"/>
              <w:rPr>
                <w:rFonts w:ascii="Calibri" w:eastAsia="Calibri" w:hAnsi="Calibri" w:cs="Times New Roman"/>
              </w:rPr>
            </w:pPr>
            <m:oMathPara>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PO4,Ox</m:t>
                    </m:r>
                  </m:sub>
                </m:sSub>
              </m:oMath>
            </m:oMathPara>
          </w:p>
        </w:tc>
        <w:tc>
          <w:tcPr>
            <w:tcW w:w="596" w:type="pct"/>
            <w:vAlign w:val="center"/>
          </w:tcPr>
          <w:p w:rsidR="001B4FDC" w:rsidRDefault="001B4FDC" w:rsidP="004315D8">
            <w:pPr>
              <w:jc w:val="center"/>
            </w:pPr>
            <w:r>
              <w:t>P-mmol/gVSS.h</w:t>
            </w:r>
          </w:p>
        </w:tc>
        <w:tc>
          <w:tcPr>
            <w:tcW w:w="1168" w:type="pct"/>
            <w:vAlign w:val="center"/>
          </w:tcPr>
          <w:p w:rsidR="001B4FDC" w:rsidRDefault="001B4FDC" w:rsidP="004315D8">
            <w:pPr>
              <w:jc w:val="center"/>
            </w:pPr>
            <w:r>
              <w:t>1.06  (R</w:t>
            </w:r>
            <w:r w:rsidRPr="005B1D62">
              <w:rPr>
                <w:vertAlign w:val="superscript"/>
              </w:rPr>
              <w:t>2</w:t>
            </w:r>
            <w:r>
              <w:t>=0.96; F1,5=273;P&lt;0.001)</w:t>
            </w:r>
          </w:p>
        </w:tc>
        <w:tc>
          <w:tcPr>
            <w:tcW w:w="1168" w:type="pct"/>
            <w:vAlign w:val="center"/>
          </w:tcPr>
          <w:p w:rsidR="001B4FDC" w:rsidRDefault="001B4FDC" w:rsidP="004315D8">
            <w:pPr>
              <w:jc w:val="center"/>
            </w:pPr>
            <w:r>
              <w:t>0.25  (R</w:t>
            </w:r>
            <w:r w:rsidRPr="005B1D62">
              <w:rPr>
                <w:vertAlign w:val="superscript"/>
              </w:rPr>
              <w:t>2</w:t>
            </w:r>
            <w:r>
              <w:t>=0.98; F1,5=215;P&lt;0.001)</w:t>
            </w:r>
          </w:p>
        </w:tc>
        <w:tc>
          <w:tcPr>
            <w:tcW w:w="1292" w:type="pct"/>
            <w:vAlign w:val="center"/>
          </w:tcPr>
          <w:p w:rsidR="001B4FDC" w:rsidRDefault="001B4FDC" w:rsidP="004315D8">
            <w:pPr>
              <w:jc w:val="center"/>
            </w:pPr>
            <w:r>
              <w:t>0.21 (R</w:t>
            </w:r>
            <w:r w:rsidRPr="005B1D62">
              <w:rPr>
                <w:vertAlign w:val="superscript"/>
              </w:rPr>
              <w:t>2</w:t>
            </w:r>
            <w:r>
              <w:t>=0.97; F1,5=88;P&lt;0.001)</w:t>
            </w:r>
          </w:p>
        </w:tc>
      </w:tr>
    </w:tbl>
    <w:p w:rsidR="001B4FDC" w:rsidRDefault="001B4FDC" w:rsidP="001B4FDC">
      <w:pPr>
        <w:pStyle w:val="NoSpacing"/>
        <w:numPr>
          <w:ilvl w:val="0"/>
          <w:numId w:val="1"/>
        </w:numPr>
        <w:spacing w:line="360" w:lineRule="auto"/>
        <w:jc w:val="both"/>
      </w:pPr>
      <w:r>
        <w:t xml:space="preserve">ANOVA test run with a 95 % confidence interval </w:t>
      </w:r>
    </w:p>
    <w:p w:rsidR="00597266" w:rsidRDefault="00597266" w:rsidP="00597266">
      <w:pPr>
        <w:pStyle w:val="Heading2"/>
        <w:sectPr w:rsidR="00597266" w:rsidSect="001B4FDC">
          <w:pgSz w:w="16838" w:h="11906" w:orient="landscape"/>
          <w:pgMar w:top="1440" w:right="1440" w:bottom="1440" w:left="1440" w:header="708" w:footer="708" w:gutter="0"/>
          <w:cols w:space="708"/>
          <w:docGrid w:linePitch="360"/>
        </w:sectPr>
      </w:pPr>
    </w:p>
    <w:p w:rsidR="00597266" w:rsidRDefault="00597266" w:rsidP="00597266">
      <w:pPr>
        <w:pStyle w:val="Heading2"/>
      </w:pPr>
      <w:r>
        <w:lastRenderedPageBreak/>
        <w:t xml:space="preserve">Calculation of rates, stoichiometry and statistics </w:t>
      </w:r>
    </w:p>
    <w:p w:rsidR="00597266" w:rsidRDefault="00597266" w:rsidP="00597266"/>
    <w:p w:rsidR="00597266" w:rsidRPr="0093483B" w:rsidRDefault="00597266" w:rsidP="00597266">
      <w:pPr>
        <w:pStyle w:val="Article"/>
        <w:ind w:firstLine="720"/>
      </w:pPr>
      <w:r w:rsidRPr="0093483B">
        <w:t xml:space="preserve">The </w:t>
      </w:r>
      <w:r>
        <w:t>stoichiometric ratios</w:t>
      </w:r>
      <w:r w:rsidRPr="0093483B">
        <w:t xml:space="preserve"> were calculated based on the observed net conversions between their initial and final concentrations during the anaerobic phase. </w:t>
      </w:r>
      <w:r>
        <w:t xml:space="preserve">The kinetics rates were calculated via linear regression (Figure S2) as described in </w:t>
      </w:r>
      <w:proofErr w:type="spellStart"/>
      <w:r w:rsidRPr="00597266">
        <w:t>Smolders</w:t>
      </w:r>
      <w:proofErr w:type="spellEnd"/>
      <w:r w:rsidRPr="00597266">
        <w:t xml:space="preserve"> et al. (1995)</w:t>
      </w:r>
      <w:r>
        <w:t xml:space="preserve">. In order to assess the confidence interval the ANOVA test was used as shown below. </w:t>
      </w:r>
      <w:r w:rsidRPr="0093483B">
        <w:t>The observed growth rate</w:t>
      </w:r>
      <w:r>
        <w:t xml:space="preserve"> and mass balances were</w:t>
      </w:r>
      <w:r w:rsidRPr="0093483B">
        <w:t xml:space="preserve"> calculated as described in </w:t>
      </w:r>
      <w:r w:rsidRPr="00CB175B">
        <w:fldChar w:fldCharType="begin" w:fldLock="1"/>
      </w:r>
      <w:r>
        <w:instrText>ADDIN CSL_CITATION {"citationItems":[{"id":"ITEM-1","itemData":{"author":[{"dropping-particle":"","family":"Henze","given":"Morgen","non-dropping-particle":"","parse-names":false,"suffix":""},{"dropping-particle":"","family":"Loosdrecht","given":"M. C. M.","non-dropping-particle":"van","parse-names":false,"suffix":""},{"dropping-particle":"","family":"Ekama","given":"G. A","non-dropping-particle":"","parse-names":false,"suffix":""},{"dropping-particle":"","family":"Brdjanovic","given":"Damir","non-dropping-particle":"","parse-names":false,"suffix":""}],"edition":"1st","id":"ITEM-1","issued":{"date-parts":[["2008"]]},"publisher":"IWA publishing","title":"Biological Wastewater Treatment-Principles, Modelling and Design","type":"book"},"uris":["http://www.mendeley.com/documents/?uuid=d347502e-f1fe-40dc-98bc-a8d2a555fa16"]}],"mendeley":{"formattedCitation":"(Henze et al., 2008)","manualFormatting":"Henze et al. (2008)","plainTextFormattedCitation":"(Henze et al., 2008)","previouslyFormattedCitation":"(Henze et al., 2008)"},"properties":{"noteIndex":0},"schema":"https://github.com/citation-style-language/schema/raw/master/csl-citation.json"}</w:instrText>
      </w:r>
      <w:r w:rsidRPr="00CB175B">
        <w:fldChar w:fldCharType="separate"/>
      </w:r>
      <w:r w:rsidRPr="0093483B">
        <w:rPr>
          <w:noProof/>
        </w:rPr>
        <w:t>Henze et al. (2008)</w:t>
      </w:r>
      <w:r w:rsidRPr="00CB175B">
        <w:fldChar w:fldCharType="end"/>
      </w:r>
      <w:r w:rsidRPr="0093483B">
        <w:t xml:space="preserve"> </w:t>
      </w:r>
      <w:r>
        <w:t xml:space="preserve"> based in all corresponding inflows and outflows during the cycle analysis</w:t>
      </w:r>
      <w:r w:rsidRPr="0093483B">
        <w:t>.</w:t>
      </w:r>
    </w:p>
    <w:p w:rsidR="00597266" w:rsidRDefault="00597266" w:rsidP="00597266">
      <w:pPr>
        <w:pStyle w:val="Heading2"/>
      </w:pPr>
      <w:r>
        <w:rPr>
          <w:rFonts w:ascii="Trebuchet MS" w:hAnsi="Trebuchet MS"/>
          <w:color w:val="5B9BD5" w:themeColor="accent1"/>
          <w:sz w:val="18"/>
          <w:szCs w:val="18"/>
        </w:rPr>
        <w:br/>
      </w:r>
      <w:r w:rsidRPr="00597266">
        <w:t>Figure S2</w:t>
      </w:r>
    </w:p>
    <w:p w:rsidR="00EA544A" w:rsidRPr="00EA544A" w:rsidRDefault="00EA544A" w:rsidP="00EA544A">
      <w:r>
        <w:t>Figure S2</w:t>
      </w:r>
      <w:proofErr w:type="gramStart"/>
      <w:r>
        <w:t>.</w:t>
      </w:r>
      <w:proofErr w:type="gramEnd"/>
      <w:r>
        <w:t>- Example of statistical</w:t>
      </w:r>
      <w:bookmarkStart w:id="0" w:name="_GoBack"/>
      <w:bookmarkEnd w:id="0"/>
      <w:r>
        <w:t xml:space="preserve"> analysis calculation of the transformation rates </w:t>
      </w:r>
    </w:p>
    <w:tbl>
      <w:tblPr>
        <w:tblW w:w="9026" w:type="dxa"/>
        <w:tblLook w:val="04A0" w:firstRow="1" w:lastRow="0" w:firstColumn="1" w:lastColumn="0" w:noHBand="0" w:noVBand="1"/>
      </w:tblPr>
      <w:tblGrid>
        <w:gridCol w:w="1224"/>
        <w:gridCol w:w="1102"/>
        <w:gridCol w:w="930"/>
        <w:gridCol w:w="930"/>
        <w:gridCol w:w="930"/>
        <w:gridCol w:w="1120"/>
        <w:gridCol w:w="930"/>
        <w:gridCol w:w="930"/>
        <w:gridCol w:w="930"/>
      </w:tblGrid>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noProof/>
                <w:color w:val="000000"/>
                <w:lang w:eastAsia="en-GB"/>
              </w:rPr>
              <w:drawing>
                <wp:anchor distT="0" distB="0" distL="114300" distR="114300" simplePos="0" relativeHeight="251659264" behindDoc="0" locked="0" layoutInCell="1" allowOverlap="1" wp14:anchorId="38EFDCD9" wp14:editId="64F85336">
                  <wp:simplePos x="0" y="0"/>
                  <wp:positionH relativeFrom="column">
                    <wp:posOffset>-28575</wp:posOffset>
                  </wp:positionH>
                  <wp:positionV relativeFrom="paragraph">
                    <wp:posOffset>142875</wp:posOffset>
                  </wp:positionV>
                  <wp:extent cx="4581525" cy="2752725"/>
                  <wp:effectExtent l="0" t="0" r="9525" b="9525"/>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597266" w:rsidRPr="00154F7D" w:rsidTr="00CD19D5">
              <w:trPr>
                <w:trHeight w:val="300"/>
                <w:tblCellSpacing w:w="0" w:type="dxa"/>
              </w:trPr>
              <w:tc>
                <w:tcPr>
                  <w:tcW w:w="960"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p>
              </w:tc>
            </w:tr>
          </w:tbl>
          <w:p w:rsidR="00597266" w:rsidRPr="00154F7D" w:rsidRDefault="00597266" w:rsidP="00CD19D5">
            <w:pPr>
              <w:spacing w:after="0" w:line="240" w:lineRule="auto"/>
              <w:rPr>
                <w:rFonts w:ascii="Calibri" w:eastAsia="Times New Roman" w:hAnsi="Calibri" w:cs="Times New Roman"/>
                <w:color w:val="00000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Default="00597266" w:rsidP="00CD19D5">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br/>
            </w: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Default="00597266" w:rsidP="00CD19D5">
            <w:pPr>
              <w:spacing w:after="0" w:line="240" w:lineRule="auto"/>
              <w:rPr>
                <w:rFonts w:ascii="Times New Roman" w:eastAsia="Times New Roman" w:hAnsi="Times New Roman" w:cs="Times New Roman"/>
                <w:sz w:val="20"/>
                <w:szCs w:val="20"/>
                <w:lang w:eastAsia="en-GB"/>
              </w:rPr>
            </w:pPr>
          </w:p>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2322" w:type="dxa"/>
            <w:gridSpan w:val="2"/>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SUMMARY OUTPUT</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15"/>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15"/>
        </w:trPr>
        <w:tc>
          <w:tcPr>
            <w:tcW w:w="123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2322" w:type="dxa"/>
            <w:gridSpan w:val="2"/>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Regression Statistics</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Multiple R</w:t>
            </w: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0.998426</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R Square</w:t>
            </w: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0.996854</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Adjusted R Square</w:t>
            </w: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0.996068</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Standard Error</w:t>
            </w: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0.040235</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15"/>
        </w:trPr>
        <w:tc>
          <w:tcPr>
            <w:tcW w:w="123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Observations</w:t>
            </w:r>
          </w:p>
        </w:tc>
        <w:tc>
          <w:tcPr>
            <w:tcW w:w="109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6</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15"/>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ANOVA</w:t>
            </w: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 </w:t>
            </w:r>
          </w:p>
        </w:tc>
        <w:tc>
          <w:tcPr>
            <w:tcW w:w="109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proofErr w:type="spellStart"/>
            <w:r w:rsidRPr="00154F7D">
              <w:rPr>
                <w:rFonts w:ascii="Calibri" w:eastAsia="Times New Roman" w:hAnsi="Calibri" w:cs="Times New Roman"/>
                <w:i/>
                <w:iCs/>
                <w:color w:val="000000"/>
                <w:lang w:eastAsia="en-GB"/>
              </w:rPr>
              <w:t>df</w:t>
            </w:r>
            <w:proofErr w:type="spellEnd"/>
          </w:p>
        </w:tc>
        <w:tc>
          <w:tcPr>
            <w:tcW w:w="99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SS</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MS</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F</w:t>
            </w:r>
          </w:p>
        </w:tc>
        <w:tc>
          <w:tcPr>
            <w:tcW w:w="1108"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Significance F</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Regression</w:t>
            </w:r>
          </w:p>
        </w:tc>
        <w:tc>
          <w:tcPr>
            <w:tcW w:w="1091" w:type="dxa"/>
            <w:tcBorders>
              <w:top w:val="nil"/>
              <w:left w:val="nil"/>
              <w:bottom w:val="nil"/>
              <w:right w:val="nil"/>
            </w:tcBorders>
            <w:shd w:val="clear" w:color="000000" w:fill="FFC000"/>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1</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2.051907</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2.051907</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1267.485</w:t>
            </w: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3.72E-06</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Residual</w:t>
            </w:r>
          </w:p>
        </w:tc>
        <w:tc>
          <w:tcPr>
            <w:tcW w:w="1091" w:type="dxa"/>
            <w:tcBorders>
              <w:top w:val="nil"/>
              <w:left w:val="nil"/>
              <w:bottom w:val="nil"/>
              <w:right w:val="nil"/>
            </w:tcBorders>
            <w:shd w:val="clear" w:color="000000" w:fill="FFC000"/>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4</w:t>
            </w: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0.006476</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0.001619</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15"/>
        </w:trPr>
        <w:tc>
          <w:tcPr>
            <w:tcW w:w="123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Total</w:t>
            </w:r>
          </w:p>
        </w:tc>
        <w:tc>
          <w:tcPr>
            <w:tcW w:w="109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5</w:t>
            </w:r>
          </w:p>
        </w:tc>
        <w:tc>
          <w:tcPr>
            <w:tcW w:w="99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2.058383</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 </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 </w:t>
            </w:r>
          </w:p>
        </w:tc>
        <w:tc>
          <w:tcPr>
            <w:tcW w:w="1108"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 </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15"/>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1108"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Times New Roman" w:eastAsia="Times New Roman" w:hAnsi="Times New Roman" w:cs="Times New Roman"/>
                <w:sz w:val="20"/>
                <w:szCs w:val="20"/>
                <w:lang w:eastAsia="en-GB"/>
              </w:rPr>
            </w:pPr>
          </w:p>
        </w:tc>
      </w:tr>
      <w:tr w:rsidR="00597266" w:rsidRPr="00154F7D" w:rsidTr="00CD19D5">
        <w:trPr>
          <w:trHeight w:val="300"/>
        </w:trPr>
        <w:tc>
          <w:tcPr>
            <w:tcW w:w="123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 </w:t>
            </w:r>
          </w:p>
        </w:tc>
        <w:tc>
          <w:tcPr>
            <w:tcW w:w="109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Coefficients</w:t>
            </w:r>
          </w:p>
        </w:tc>
        <w:tc>
          <w:tcPr>
            <w:tcW w:w="99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Standard Error</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t Stat</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P-value</w:t>
            </w:r>
          </w:p>
        </w:tc>
        <w:tc>
          <w:tcPr>
            <w:tcW w:w="1108"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Lower 95%</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Upper 95%</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Lower 95.0%</w:t>
            </w:r>
          </w:p>
        </w:tc>
        <w:tc>
          <w:tcPr>
            <w:tcW w:w="921" w:type="dxa"/>
            <w:tcBorders>
              <w:top w:val="single" w:sz="8" w:space="0" w:color="auto"/>
              <w:left w:val="nil"/>
              <w:bottom w:val="single" w:sz="4" w:space="0" w:color="auto"/>
              <w:right w:val="nil"/>
            </w:tcBorders>
            <w:shd w:val="clear" w:color="auto" w:fill="auto"/>
            <w:noWrap/>
            <w:vAlign w:val="bottom"/>
            <w:hideMark/>
          </w:tcPr>
          <w:p w:rsidR="00597266" w:rsidRPr="00154F7D" w:rsidRDefault="00597266" w:rsidP="00CD19D5">
            <w:pPr>
              <w:spacing w:after="0" w:line="240" w:lineRule="auto"/>
              <w:jc w:val="center"/>
              <w:rPr>
                <w:rFonts w:ascii="Calibri" w:eastAsia="Times New Roman" w:hAnsi="Calibri" w:cs="Times New Roman"/>
                <w:i/>
                <w:iCs/>
                <w:color w:val="000000"/>
                <w:lang w:eastAsia="en-GB"/>
              </w:rPr>
            </w:pPr>
            <w:r w:rsidRPr="00154F7D">
              <w:rPr>
                <w:rFonts w:ascii="Calibri" w:eastAsia="Times New Roman" w:hAnsi="Calibri" w:cs="Times New Roman"/>
                <w:i/>
                <w:iCs/>
                <w:color w:val="000000"/>
                <w:lang w:eastAsia="en-GB"/>
              </w:rPr>
              <w:t>Upper 95.0%</w:t>
            </w:r>
          </w:p>
        </w:tc>
      </w:tr>
      <w:tr w:rsidR="00597266" w:rsidRPr="00154F7D" w:rsidTr="00CD19D5">
        <w:trPr>
          <w:trHeight w:val="300"/>
        </w:trPr>
        <w:tc>
          <w:tcPr>
            <w:tcW w:w="123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Intercept</w:t>
            </w:r>
          </w:p>
        </w:tc>
        <w:tc>
          <w:tcPr>
            <w:tcW w:w="109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2.267626</w:t>
            </w:r>
          </w:p>
        </w:tc>
        <w:tc>
          <w:tcPr>
            <w:tcW w:w="991" w:type="dxa"/>
            <w:tcBorders>
              <w:top w:val="nil"/>
              <w:left w:val="nil"/>
              <w:bottom w:val="nil"/>
              <w:right w:val="nil"/>
            </w:tcBorders>
            <w:shd w:val="clear" w:color="000000" w:fill="FFC000"/>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0.030288</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74.86868</w:t>
            </w:r>
          </w:p>
        </w:tc>
        <w:tc>
          <w:tcPr>
            <w:tcW w:w="921" w:type="dxa"/>
            <w:tcBorders>
              <w:top w:val="nil"/>
              <w:left w:val="nil"/>
              <w:bottom w:val="nil"/>
              <w:right w:val="nil"/>
            </w:tcBorders>
            <w:shd w:val="clear" w:color="000000" w:fill="FFC000"/>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1.91E-07</w:t>
            </w:r>
          </w:p>
        </w:tc>
        <w:tc>
          <w:tcPr>
            <w:tcW w:w="1108" w:type="dxa"/>
            <w:tcBorders>
              <w:top w:val="nil"/>
              <w:left w:val="nil"/>
              <w:bottom w:val="nil"/>
              <w:right w:val="nil"/>
            </w:tcBorders>
            <w:shd w:val="clear" w:color="000000" w:fill="FFC000"/>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2.183533</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2.351719</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2.183533</w:t>
            </w:r>
          </w:p>
        </w:tc>
        <w:tc>
          <w:tcPr>
            <w:tcW w:w="921" w:type="dxa"/>
            <w:tcBorders>
              <w:top w:val="nil"/>
              <w:left w:val="nil"/>
              <w:bottom w:val="nil"/>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2.351719</w:t>
            </w:r>
          </w:p>
        </w:tc>
      </w:tr>
      <w:tr w:rsidR="00597266" w:rsidRPr="00154F7D" w:rsidTr="00CD19D5">
        <w:trPr>
          <w:trHeight w:val="315"/>
        </w:trPr>
        <w:tc>
          <w:tcPr>
            <w:tcW w:w="123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X Variable 1</w:t>
            </w:r>
          </w:p>
        </w:tc>
        <w:tc>
          <w:tcPr>
            <w:tcW w:w="109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-2.71788</w:t>
            </w:r>
          </w:p>
        </w:tc>
        <w:tc>
          <w:tcPr>
            <w:tcW w:w="99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0.076341</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-35.6018</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3.72E-06</w:t>
            </w:r>
          </w:p>
        </w:tc>
        <w:tc>
          <w:tcPr>
            <w:tcW w:w="1108"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-2.92984</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-2.50592</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-2.92984</w:t>
            </w:r>
          </w:p>
        </w:tc>
        <w:tc>
          <w:tcPr>
            <w:tcW w:w="921" w:type="dxa"/>
            <w:tcBorders>
              <w:top w:val="nil"/>
              <w:left w:val="nil"/>
              <w:bottom w:val="single" w:sz="8" w:space="0" w:color="auto"/>
              <w:right w:val="nil"/>
            </w:tcBorders>
            <w:shd w:val="clear" w:color="auto" w:fill="auto"/>
            <w:noWrap/>
            <w:vAlign w:val="bottom"/>
            <w:hideMark/>
          </w:tcPr>
          <w:p w:rsidR="00597266" w:rsidRPr="00154F7D" w:rsidRDefault="00597266" w:rsidP="00CD19D5">
            <w:pPr>
              <w:spacing w:after="0" w:line="240" w:lineRule="auto"/>
              <w:jc w:val="right"/>
              <w:rPr>
                <w:rFonts w:ascii="Calibri" w:eastAsia="Times New Roman" w:hAnsi="Calibri" w:cs="Times New Roman"/>
                <w:color w:val="000000"/>
                <w:lang w:eastAsia="en-GB"/>
              </w:rPr>
            </w:pPr>
            <w:r w:rsidRPr="00154F7D">
              <w:rPr>
                <w:rFonts w:ascii="Calibri" w:eastAsia="Times New Roman" w:hAnsi="Calibri" w:cs="Times New Roman"/>
                <w:color w:val="000000"/>
                <w:lang w:eastAsia="en-GB"/>
              </w:rPr>
              <w:t>-2.50592</w:t>
            </w:r>
          </w:p>
        </w:tc>
      </w:tr>
    </w:tbl>
    <w:p w:rsidR="00597266" w:rsidRPr="00597266" w:rsidRDefault="00597266" w:rsidP="00597266"/>
    <w:sectPr w:rsidR="00597266" w:rsidRPr="00597266" w:rsidSect="00597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83F54"/>
    <w:multiLevelType w:val="hybridMultilevel"/>
    <w:tmpl w:val="3B98A680"/>
    <w:lvl w:ilvl="0" w:tplc="0ABC2C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4601C"/>
    <w:multiLevelType w:val="hybridMultilevel"/>
    <w:tmpl w:val="8F4CCB62"/>
    <w:lvl w:ilvl="0" w:tplc="07C43B8A">
      <w:start w:val="5"/>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DC"/>
    <w:rsid w:val="001B4FDC"/>
    <w:rsid w:val="00597266"/>
    <w:rsid w:val="007E2F86"/>
    <w:rsid w:val="00846472"/>
    <w:rsid w:val="00A82159"/>
    <w:rsid w:val="00C008A4"/>
    <w:rsid w:val="00C845F4"/>
    <w:rsid w:val="00EA5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ACA3-9152-4CB3-8682-46D66401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DC"/>
    <w:pPr>
      <w:spacing w:after="200" w:line="276" w:lineRule="auto"/>
    </w:pPr>
  </w:style>
  <w:style w:type="paragraph" w:styleId="Heading1">
    <w:name w:val="heading 1"/>
    <w:basedOn w:val="Normal"/>
    <w:next w:val="Normal"/>
    <w:link w:val="Heading1Char"/>
    <w:uiPriority w:val="9"/>
    <w:qFormat/>
    <w:rsid w:val="001B4F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B4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FDC"/>
    <w:rPr>
      <w:rFonts w:asciiTheme="majorHAnsi" w:eastAsiaTheme="majorEastAsia" w:hAnsiTheme="majorHAnsi" w:cstheme="majorBidi"/>
      <w:b/>
      <w:bCs/>
      <w:color w:val="2E74B5" w:themeColor="accent1" w:themeShade="BF"/>
      <w:sz w:val="28"/>
      <w:szCs w:val="28"/>
    </w:rPr>
  </w:style>
  <w:style w:type="paragraph" w:customStyle="1" w:styleId="IWAAuthoraddress">
    <w:name w:val="(IWA) Author address"/>
    <w:basedOn w:val="Normal"/>
    <w:next w:val="Normal"/>
    <w:rsid w:val="001B4FDC"/>
    <w:pPr>
      <w:suppressLineNumbers/>
      <w:suppressAutoHyphens/>
      <w:overflowPunct w:val="0"/>
      <w:autoSpaceDE w:val="0"/>
      <w:autoSpaceDN w:val="0"/>
      <w:adjustRightInd w:val="0"/>
      <w:spacing w:after="0" w:line="220" w:lineRule="atLeast"/>
      <w:textAlignment w:val="baseline"/>
    </w:pPr>
    <w:rPr>
      <w:rFonts w:ascii="Arial" w:eastAsiaTheme="minorEastAsia" w:hAnsi="Arial" w:cs="Arial"/>
      <w:sz w:val="18"/>
      <w:szCs w:val="18"/>
      <w:lang w:bidi="en-US"/>
    </w:rPr>
  </w:style>
  <w:style w:type="character" w:styleId="Hyperlink">
    <w:name w:val="Hyperlink"/>
    <w:basedOn w:val="DefaultParagraphFont"/>
    <w:rsid w:val="001B4FDC"/>
    <w:rPr>
      <w:color w:val="0563C1" w:themeColor="hyperlink"/>
      <w:u w:val="single"/>
    </w:rPr>
  </w:style>
  <w:style w:type="paragraph" w:styleId="NoSpacing">
    <w:name w:val="No Spacing"/>
    <w:uiPriority w:val="1"/>
    <w:qFormat/>
    <w:rsid w:val="001B4FDC"/>
    <w:pPr>
      <w:spacing w:after="0" w:line="240" w:lineRule="auto"/>
    </w:pPr>
  </w:style>
  <w:style w:type="character" w:customStyle="1" w:styleId="Heading2Char">
    <w:name w:val="Heading 2 Char"/>
    <w:basedOn w:val="DefaultParagraphFont"/>
    <w:link w:val="Heading2"/>
    <w:uiPriority w:val="9"/>
    <w:rsid w:val="001B4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B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F86"/>
    <w:pPr>
      <w:ind w:left="720"/>
      <w:contextualSpacing/>
    </w:pPr>
  </w:style>
  <w:style w:type="paragraph" w:customStyle="1" w:styleId="Article">
    <w:name w:val="Article"/>
    <w:basedOn w:val="Normal"/>
    <w:qFormat/>
    <w:rsid w:val="00597266"/>
    <w:pPr>
      <w:spacing w:after="0" w:line="360" w:lineRule="auto"/>
      <w:ind w:firstLine="567"/>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vanloosdrecht@tudelft.nl"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F.J.RubioRincon@tudelft.nl" TargetMode="External"/><Relationship Id="rId12"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opezvazquez@un-ihe.org" TargetMode="External"/><Relationship Id="rId11" Type="http://schemas.openxmlformats.org/officeDocument/2006/relationships/hyperlink" Target="mailto:F.J.RubioRincon@tudelft.nl" TargetMode="External"/><Relationship Id="rId5" Type="http://schemas.openxmlformats.org/officeDocument/2006/relationships/hyperlink" Target="mailto:f.rubiorincon@unesco-ihe.org" TargetMode="External"/><Relationship Id="rId15" Type="http://schemas.openxmlformats.org/officeDocument/2006/relationships/theme" Target="theme/theme1.xml"/><Relationship Id="rId10" Type="http://schemas.openxmlformats.org/officeDocument/2006/relationships/hyperlink" Target="mailto:f.rubiorincon@unesco-ihe.org" TargetMode="External"/><Relationship Id="rId4" Type="http://schemas.openxmlformats.org/officeDocument/2006/relationships/webSettings" Target="webSettings.xml"/><Relationship Id="rId9" Type="http://schemas.openxmlformats.org/officeDocument/2006/relationships/hyperlink" Target="mailto:d.brdanovic@tudelft.n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UNESCO-IHE\Laboratory%20Practices\Lab\Cycle\SRB-PAO\20160324SRB-PA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Lactate</c:v>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3.8885911592863073E-2"/>
                  <c:y val="-0.37744495479731699"/>
                </c:manualLayout>
              </c:layout>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aseline="0"/>
                      <a:t>q</a:t>
                    </a:r>
                    <a:r>
                      <a:rPr lang="en-US" sz="1400" baseline="-25000"/>
                      <a:t>COD</a:t>
                    </a:r>
                    <a:r>
                      <a:rPr lang="en-US" sz="1400" baseline="0"/>
                      <a:t>= -2.71 C-mmol h</a:t>
                    </a:r>
                    <a:r>
                      <a:rPr lang="en-US" sz="1400" baseline="30000"/>
                      <a:t>-1</a:t>
                    </a:r>
                    <a:r>
                      <a:rPr lang="en-US" sz="1400" baseline="0"/>
                      <a:t> VSS</a:t>
                    </a:r>
                    <a:r>
                      <a:rPr lang="en-US" sz="1400" baseline="30000"/>
                      <a:t>-1</a:t>
                    </a:r>
                    <a:r>
                      <a:rPr lang="en-US" sz="1400" baseline="0"/>
                      <a:t/>
                    </a:r>
                    <a:br>
                      <a:rPr lang="en-US" sz="1400" baseline="0"/>
                    </a:br>
                    <a:r>
                      <a:rPr lang="en-US" sz="1400" baseline="0"/>
                      <a:t>R² = 0.99; F1,4= 2.18;P&lt;0.001</a:t>
                    </a:r>
                    <a:endParaRPr lang="en-US" sz="1400"/>
                  </a:p>
                </c:rich>
              </c:tx>
              <c:numFmt formatCode="General" sourceLinked="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trendlineLbl>
          </c:trendline>
          <c:xVal>
            <c:numRef>
              <c:f>Sheet1!$A$2:$A$7</c:f>
              <c:numCache>
                <c:formatCode>General</c:formatCode>
                <c:ptCount val="6"/>
                <c:pt idx="0">
                  <c:v>8.3333333333333329E-2</c:v>
                </c:pt>
                <c:pt idx="1">
                  <c:v>0.16666666666666666</c:v>
                </c:pt>
                <c:pt idx="2">
                  <c:v>0.25</c:v>
                </c:pt>
                <c:pt idx="3">
                  <c:v>0.33333333333333331</c:v>
                </c:pt>
                <c:pt idx="4">
                  <c:v>0.41666666666666669</c:v>
                </c:pt>
                <c:pt idx="5">
                  <c:v>0.75</c:v>
                </c:pt>
              </c:numCache>
            </c:numRef>
          </c:xVal>
          <c:yVal>
            <c:numRef>
              <c:f>Sheet1!$C$2:$C$7</c:f>
              <c:numCache>
                <c:formatCode>General</c:formatCode>
                <c:ptCount val="6"/>
                <c:pt idx="0">
                  <c:v>1.9939291843609419</c:v>
                </c:pt>
                <c:pt idx="1">
                  <c:v>1.8507752942016948</c:v>
                </c:pt>
                <c:pt idx="2">
                  <c:v>1.6155939032257889</c:v>
                </c:pt>
                <c:pt idx="3">
                  <c:v>1.3292861229072945</c:v>
                </c:pt>
                <c:pt idx="4">
                  <c:v>1.1656816770110121</c:v>
                </c:pt>
                <c:pt idx="5">
                  <c:v>0.21473083523887065</c:v>
                </c:pt>
              </c:numCache>
            </c:numRef>
          </c:yVal>
          <c:smooth val="0"/>
          <c:extLst xmlns:c16r2="http://schemas.microsoft.com/office/drawing/2015/06/chart">
            <c:ext xmlns:c16="http://schemas.microsoft.com/office/drawing/2014/chart" uri="{C3380CC4-5D6E-409C-BE32-E72D297353CC}">
              <c16:uniqueId val="{00000000-DC19-438E-89E3-574A8549EAE9}"/>
            </c:ext>
          </c:extLst>
        </c:ser>
        <c:ser>
          <c:idx val="1"/>
          <c:order val="1"/>
          <c:tx>
            <c:v>LW limit</c:v>
          </c:tx>
          <c:spPr>
            <a:ln w="25400" cap="rnd">
              <a:noFill/>
              <a:prstDash val="dash"/>
              <a:round/>
            </a:ln>
            <a:effectLst/>
          </c:spPr>
          <c:marker>
            <c:symbol val="none"/>
          </c:marker>
          <c:trendline>
            <c:spPr>
              <a:ln w="19050" cap="rnd">
                <a:solidFill>
                  <a:schemeClr val="accent2"/>
                </a:solidFill>
                <a:prstDash val="dashDot"/>
              </a:ln>
              <a:effectLst/>
            </c:spPr>
            <c:trendlineType val="linear"/>
            <c:dispRSqr val="0"/>
            <c:dispEq val="0"/>
          </c:trendline>
          <c:xVal>
            <c:numRef>
              <c:f>Sheet1!$A$2:$A$7</c:f>
              <c:numCache>
                <c:formatCode>General</c:formatCode>
                <c:ptCount val="6"/>
                <c:pt idx="0">
                  <c:v>8.3333333333333329E-2</c:v>
                </c:pt>
                <c:pt idx="1">
                  <c:v>0.16666666666666666</c:v>
                </c:pt>
                <c:pt idx="2">
                  <c:v>0.25</c:v>
                </c:pt>
                <c:pt idx="3">
                  <c:v>0.33333333333333331</c:v>
                </c:pt>
                <c:pt idx="4">
                  <c:v>0.41666666666666669</c:v>
                </c:pt>
                <c:pt idx="5">
                  <c:v>0.75</c:v>
                </c:pt>
              </c:numCache>
            </c:numRef>
          </c:xVal>
          <c:yVal>
            <c:numRef>
              <c:f>Sheet1!$D$2:$D$7</c:f>
              <c:numCache>
                <c:formatCode>General</c:formatCode>
                <c:ptCount val="6"/>
                <c:pt idx="0">
                  <c:v>1.9636411434118199</c:v>
                </c:pt>
                <c:pt idx="1">
                  <c:v>1.8204872532525729</c:v>
                </c:pt>
                <c:pt idx="2">
                  <c:v>1.5853058622766669</c:v>
                </c:pt>
                <c:pt idx="3">
                  <c:v>1.2989980819581726</c:v>
                </c:pt>
                <c:pt idx="4">
                  <c:v>1.1353936360618901</c:v>
                </c:pt>
                <c:pt idx="5">
                  <c:v>0.18444279428974863</c:v>
                </c:pt>
              </c:numCache>
            </c:numRef>
          </c:yVal>
          <c:smooth val="0"/>
          <c:extLst xmlns:c16r2="http://schemas.microsoft.com/office/drawing/2015/06/chart">
            <c:ext xmlns:c16="http://schemas.microsoft.com/office/drawing/2014/chart" uri="{C3380CC4-5D6E-409C-BE32-E72D297353CC}">
              <c16:uniqueId val="{00000001-DC19-438E-89E3-574A8549EAE9}"/>
            </c:ext>
          </c:extLst>
        </c:ser>
        <c:ser>
          <c:idx val="2"/>
          <c:order val="2"/>
          <c:tx>
            <c:v>HG limit</c:v>
          </c:tx>
          <c:spPr>
            <a:ln w="25400" cap="rnd">
              <a:noFill/>
              <a:round/>
            </a:ln>
            <a:effectLst/>
          </c:spPr>
          <c:marker>
            <c:symbol val="none"/>
          </c:marker>
          <c:trendline>
            <c:spPr>
              <a:ln w="19050" cap="rnd">
                <a:solidFill>
                  <a:schemeClr val="accent3"/>
                </a:solidFill>
                <a:prstDash val="dash"/>
              </a:ln>
              <a:effectLst/>
            </c:spPr>
            <c:trendlineType val="linear"/>
            <c:dispRSqr val="0"/>
            <c:dispEq val="0"/>
          </c:trendline>
          <c:xVal>
            <c:numRef>
              <c:f>Sheet1!$A$2:$A$7</c:f>
              <c:numCache>
                <c:formatCode>General</c:formatCode>
                <c:ptCount val="6"/>
                <c:pt idx="0">
                  <c:v>8.3333333333333329E-2</c:v>
                </c:pt>
                <c:pt idx="1">
                  <c:v>0.16666666666666666</c:v>
                </c:pt>
                <c:pt idx="2">
                  <c:v>0.25</c:v>
                </c:pt>
                <c:pt idx="3">
                  <c:v>0.33333333333333331</c:v>
                </c:pt>
                <c:pt idx="4">
                  <c:v>0.41666666666666669</c:v>
                </c:pt>
                <c:pt idx="5">
                  <c:v>0.75</c:v>
                </c:pt>
              </c:numCache>
            </c:numRef>
          </c:xVal>
          <c:yVal>
            <c:numRef>
              <c:f>Sheet1!$E$2:$E$7</c:f>
              <c:numCache>
                <c:formatCode>General</c:formatCode>
                <c:ptCount val="6"/>
                <c:pt idx="0">
                  <c:v>2.0242172253100641</c:v>
                </c:pt>
                <c:pt idx="1">
                  <c:v>1.8810633351508168</c:v>
                </c:pt>
                <c:pt idx="2">
                  <c:v>1.6458819441749108</c:v>
                </c:pt>
                <c:pt idx="3">
                  <c:v>1.3595741638564165</c:v>
                </c:pt>
                <c:pt idx="4">
                  <c:v>1.1959697179601341</c:v>
                </c:pt>
                <c:pt idx="5">
                  <c:v>0.24501887618799267</c:v>
                </c:pt>
              </c:numCache>
            </c:numRef>
          </c:yVal>
          <c:smooth val="0"/>
          <c:extLst xmlns:c16r2="http://schemas.microsoft.com/office/drawing/2015/06/chart">
            <c:ext xmlns:c16="http://schemas.microsoft.com/office/drawing/2014/chart" uri="{C3380CC4-5D6E-409C-BE32-E72D297353CC}">
              <c16:uniqueId val="{00000002-DC19-438E-89E3-574A8549EAE9}"/>
            </c:ext>
          </c:extLst>
        </c:ser>
        <c:dLbls>
          <c:showLegendKey val="0"/>
          <c:showVal val="0"/>
          <c:showCatName val="0"/>
          <c:showSerName val="0"/>
          <c:showPercent val="0"/>
          <c:showBubbleSize val="0"/>
        </c:dLbls>
        <c:axId val="433649032"/>
        <c:axId val="433645504"/>
      </c:scatterChart>
      <c:valAx>
        <c:axId val="43364903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Time (h)</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33645504"/>
        <c:crosses val="autoZero"/>
        <c:crossBetween val="midCat"/>
      </c:valAx>
      <c:valAx>
        <c:axId val="43364550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C-mmol VSS</a:t>
                </a:r>
                <a:r>
                  <a:rPr lang="en-US" sz="1200" baseline="30000"/>
                  <a:t>-1</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33649032"/>
        <c:crosses val="autoZero"/>
        <c:crossBetween val="midCat"/>
      </c:valAx>
      <c:spPr>
        <a:noFill/>
        <a:ln>
          <a:noFill/>
        </a:ln>
        <a:effectLst/>
      </c:spPr>
    </c:plotArea>
    <c:legend>
      <c:legendPos val="b"/>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UNESCO-IHE</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Rubio Rincón</dc:creator>
  <cp:keywords/>
  <dc:description/>
  <cp:lastModifiedBy>Francisco Rubio Rincón</cp:lastModifiedBy>
  <cp:revision>2</cp:revision>
  <dcterms:created xsi:type="dcterms:W3CDTF">2019-01-29T10:28:00Z</dcterms:created>
  <dcterms:modified xsi:type="dcterms:W3CDTF">2019-01-29T10:28:00Z</dcterms:modified>
</cp:coreProperties>
</file>