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C9044" w14:textId="77777777" w:rsidR="00DA0451" w:rsidRPr="001549D3" w:rsidRDefault="00DA0451" w:rsidP="00DA0451">
      <w:pPr>
        <w:pStyle w:val="SupplementaryMaterial"/>
        <w:rPr>
          <w:b w:val="0"/>
        </w:rPr>
      </w:pPr>
      <w:r w:rsidRPr="001549D3">
        <w:t>Supplementary Material</w:t>
      </w:r>
    </w:p>
    <w:p w14:paraId="43476ABA" w14:textId="77777777" w:rsidR="00DA0451" w:rsidRPr="00400708" w:rsidRDefault="00DA0451" w:rsidP="00DA0451">
      <w:pPr>
        <w:jc w:val="center"/>
        <w:outlineLvl w:val="0"/>
        <w:rPr>
          <w:b/>
          <w:sz w:val="32"/>
          <w:szCs w:val="32"/>
        </w:rPr>
      </w:pPr>
      <w:r w:rsidRPr="00400708">
        <w:rPr>
          <w:b/>
          <w:sz w:val="32"/>
          <w:szCs w:val="32"/>
        </w:rPr>
        <w:t>Transcriptomics Identifies Modules of D</w:t>
      </w:r>
      <w:r>
        <w:rPr>
          <w:b/>
          <w:sz w:val="32"/>
          <w:szCs w:val="32"/>
        </w:rPr>
        <w:t xml:space="preserve">ifferentially Expressed </w:t>
      </w:r>
      <w:r w:rsidRPr="00400708">
        <w:rPr>
          <w:b/>
          <w:sz w:val="32"/>
          <w:szCs w:val="32"/>
        </w:rPr>
        <w:t xml:space="preserve">Genes and Novel Cyclotides in </w:t>
      </w:r>
      <w:r w:rsidRPr="00400708">
        <w:rPr>
          <w:b/>
          <w:i/>
          <w:sz w:val="32"/>
          <w:szCs w:val="32"/>
        </w:rPr>
        <w:t>Viola pubescens</w:t>
      </w:r>
    </w:p>
    <w:p w14:paraId="25D63C4F" w14:textId="77777777" w:rsidR="00DA0451" w:rsidRPr="003F0320" w:rsidRDefault="00DA0451" w:rsidP="00DA0451">
      <w:pPr>
        <w:outlineLvl w:val="0"/>
        <w:rPr>
          <w:b/>
        </w:rPr>
      </w:pPr>
      <w:r w:rsidRPr="003F0320">
        <w:rPr>
          <w:b/>
        </w:rPr>
        <w:t>Anne L. Sternberger, Megan J. Bowman, Colin P.S. Kruse, Kevin L. Childs, Harvey E. Ballard, and Sarah E. Wyatt</w:t>
      </w:r>
      <w:r w:rsidRPr="003F0320">
        <w:rPr>
          <w:b/>
          <w:vertAlign w:val="superscript"/>
        </w:rPr>
        <w:t>*</w:t>
      </w:r>
    </w:p>
    <w:p w14:paraId="26D47B44" w14:textId="078F4AD2" w:rsidR="00DA0451" w:rsidRDefault="00DA0451" w:rsidP="00DA0451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>* Correspondence:</w:t>
      </w:r>
      <w:r w:rsidRPr="00C31D3A">
        <w:rPr>
          <w:rFonts w:cs="Times New Roman"/>
        </w:rPr>
        <w:t xml:space="preserve"> </w:t>
      </w:r>
      <w:r w:rsidR="00C31D3A" w:rsidRPr="00C31D3A">
        <w:rPr>
          <w:rFonts w:cs="Times New Roman"/>
        </w:rPr>
        <w:t xml:space="preserve">Dr. </w:t>
      </w:r>
      <w:r>
        <w:rPr>
          <w:rFonts w:cs="Times New Roman"/>
        </w:rPr>
        <w:t>Sarah Wyatt</w:t>
      </w:r>
      <w:r w:rsidRPr="00994A3D">
        <w:rPr>
          <w:rFonts w:cs="Times New Roman"/>
        </w:rPr>
        <w:t xml:space="preserve">: </w:t>
      </w:r>
      <w:hyperlink r:id="rId8" w:history="1">
        <w:r w:rsidRPr="00F54E84">
          <w:rPr>
            <w:rStyle w:val="Hyperlink"/>
            <w:rFonts w:cs="Times New Roman"/>
          </w:rPr>
          <w:t>wyatts@ohio.edu</w:t>
        </w:r>
      </w:hyperlink>
      <w:r>
        <w:rPr>
          <w:rFonts w:cs="Times New Roman"/>
        </w:rPr>
        <w:t xml:space="preserve"> </w:t>
      </w:r>
    </w:p>
    <w:p w14:paraId="4089AE01" w14:textId="77777777" w:rsidR="00DA0451" w:rsidRPr="00994A3D" w:rsidRDefault="00DA0451" w:rsidP="00DA0451">
      <w:pPr>
        <w:spacing w:before="240" w:after="0"/>
        <w:rPr>
          <w:rFonts w:cs="Times New Roman"/>
        </w:rPr>
      </w:pPr>
    </w:p>
    <w:p w14:paraId="7CE52F15" w14:textId="77777777" w:rsidR="00DA0451" w:rsidRDefault="00DA0451" w:rsidP="00DA0451">
      <w:pPr>
        <w:pStyle w:val="Heading1"/>
        <w:numPr>
          <w:ilvl w:val="0"/>
          <w:numId w:val="20"/>
        </w:numPr>
      </w:pPr>
      <w:r>
        <w:t>Supplementary Figures and Tables</w:t>
      </w:r>
    </w:p>
    <w:p w14:paraId="7F4C26D8" w14:textId="574E30C1" w:rsidR="00DA0451" w:rsidRDefault="00DA0451" w:rsidP="00DA0451">
      <w:pPr>
        <w:pStyle w:val="Heading2"/>
        <w:numPr>
          <w:ilvl w:val="1"/>
          <w:numId w:val="20"/>
        </w:numPr>
      </w:pPr>
      <w:r>
        <w:t>Supplementary Figures</w:t>
      </w:r>
    </w:p>
    <w:p w14:paraId="6DB1460F" w14:textId="3AB56EF7" w:rsidR="007E38C9" w:rsidRDefault="007E38C9" w:rsidP="007E38C9">
      <w:pPr>
        <w:pStyle w:val="Heading3"/>
      </w:pPr>
      <w:r>
        <w:t>Supplementary Figure 1</w:t>
      </w:r>
    </w:p>
    <w:p w14:paraId="5D6ED990" w14:textId="1BE64BFD" w:rsidR="007E38C9" w:rsidRDefault="007E38C9" w:rsidP="007E38C9">
      <w:r>
        <w:rPr>
          <w:noProof/>
        </w:rPr>
        <w:drawing>
          <wp:inline distT="0" distB="0" distL="0" distR="0" wp14:anchorId="7FD07DAC" wp14:editId="5C741E43">
            <wp:extent cx="3913322" cy="39133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96" cy="39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E72C" w14:textId="0F85F5A1" w:rsidR="007E38C9" w:rsidRPr="007E38C9" w:rsidRDefault="007E38C9" w:rsidP="007E38C9">
      <w:r>
        <w:t xml:space="preserve">Figure S1. </w:t>
      </w:r>
      <w:r w:rsidR="00C70B92">
        <w:t xml:space="preserve">Estimation of </w:t>
      </w:r>
      <w:r w:rsidR="000E1228">
        <w:t xml:space="preserve">total </w:t>
      </w:r>
      <w:r w:rsidR="00C70B92">
        <w:t>g</w:t>
      </w:r>
      <w:r>
        <w:t xml:space="preserve">enome </w:t>
      </w:r>
      <w:r w:rsidR="000E1228">
        <w:t>length</w:t>
      </w:r>
      <w:r w:rsidR="00C70B92">
        <w:t xml:space="preserve"> (</w:t>
      </w:r>
      <w:proofErr w:type="spellStart"/>
      <w:r w:rsidR="00C70B92">
        <w:t>len</w:t>
      </w:r>
      <w:proofErr w:type="spellEnd"/>
      <w:r w:rsidR="00C70B92">
        <w:t>)</w:t>
      </w:r>
      <w:r>
        <w:t xml:space="preserve">, </w:t>
      </w:r>
      <w:r w:rsidR="00C70B92">
        <w:t>unique reads (</w:t>
      </w:r>
      <w:proofErr w:type="spellStart"/>
      <w:r w:rsidR="00C70B92">
        <w:t>uniq</w:t>
      </w:r>
      <w:proofErr w:type="spellEnd"/>
      <w:r w:rsidR="00C70B92">
        <w:t xml:space="preserve">), </w:t>
      </w:r>
      <w:r>
        <w:t>heterozygosity</w:t>
      </w:r>
      <w:r w:rsidR="00C70B92">
        <w:t xml:space="preserve"> (het), coverage for heterozygous </w:t>
      </w:r>
      <w:r w:rsidR="000E1228">
        <w:t>bases</w:t>
      </w:r>
      <w:r w:rsidR="00C70B92">
        <w:t xml:space="preserve"> (</w:t>
      </w:r>
      <w:proofErr w:type="spellStart"/>
      <w:r w:rsidR="00C70B92">
        <w:t>kcov</w:t>
      </w:r>
      <w:proofErr w:type="spellEnd"/>
      <w:r w:rsidR="00C70B92">
        <w:t>), read error rate (err), and average rate of read duplications (dup)</w:t>
      </w:r>
      <w:r>
        <w:t xml:space="preserve"> through </w:t>
      </w:r>
      <w:proofErr w:type="spellStart"/>
      <w:r>
        <w:t>GenomeScope</w:t>
      </w:r>
      <w:proofErr w:type="spellEnd"/>
      <w:r>
        <w:t xml:space="preserve"> (</w:t>
      </w:r>
      <w:proofErr w:type="spellStart"/>
      <w:r>
        <w:rPr>
          <w:rFonts w:eastAsia="Times New Roman"/>
        </w:rPr>
        <w:t>Vurture</w:t>
      </w:r>
      <w:proofErr w:type="spellEnd"/>
      <w:r>
        <w:rPr>
          <w:rFonts w:eastAsia="Times New Roman"/>
        </w:rPr>
        <w:t xml:space="preserve"> et al., 2017</w:t>
      </w:r>
      <w:r>
        <w:t>) using a Jellyfish (</w:t>
      </w:r>
      <w:proofErr w:type="spellStart"/>
      <w:r>
        <w:rPr>
          <w:rFonts w:eastAsia="Times New Roman"/>
        </w:rPr>
        <w:t>Marçais</w:t>
      </w:r>
      <w:proofErr w:type="spellEnd"/>
      <w:r>
        <w:rPr>
          <w:rFonts w:eastAsia="Times New Roman"/>
        </w:rPr>
        <w:t xml:space="preserve"> and Kingsford, 2011</w:t>
      </w:r>
      <w:r>
        <w:t>) k-</w:t>
      </w:r>
      <w:proofErr w:type="spellStart"/>
      <w:r>
        <w:t>mer</w:t>
      </w:r>
      <w:proofErr w:type="spellEnd"/>
      <w:r>
        <w:t xml:space="preserve"> distribution approach</w:t>
      </w:r>
      <w:r w:rsidR="000E1228">
        <w:t xml:space="preserve"> and</w:t>
      </w:r>
      <w:r>
        <w:t xml:space="preserve"> a k-</w:t>
      </w:r>
      <w:proofErr w:type="spellStart"/>
      <w:r>
        <w:t>mer</w:t>
      </w:r>
      <w:proofErr w:type="spellEnd"/>
      <w:r>
        <w:t xml:space="preserve"> size </w:t>
      </w:r>
      <w:r w:rsidR="00C70B92">
        <w:t xml:space="preserve">(k) </w:t>
      </w:r>
      <w:r>
        <w:t>of 63.</w:t>
      </w:r>
    </w:p>
    <w:p w14:paraId="277B342A" w14:textId="6CFBFC04" w:rsidR="00DA0451" w:rsidRDefault="00DA0451" w:rsidP="00DA0451">
      <w:pPr>
        <w:pStyle w:val="Heading3"/>
        <w:numPr>
          <w:ilvl w:val="2"/>
          <w:numId w:val="20"/>
        </w:numPr>
      </w:pPr>
      <w:r>
        <w:lastRenderedPageBreak/>
        <w:t xml:space="preserve">Supplementary Figure </w:t>
      </w:r>
      <w:r w:rsidR="007E38C9">
        <w:t>2</w:t>
      </w:r>
    </w:p>
    <w:p w14:paraId="27F59A7C" w14:textId="49FB55EA" w:rsidR="00DE3982" w:rsidRPr="00DE3982" w:rsidRDefault="00372CA9" w:rsidP="00DE3982">
      <w:r>
        <w:rPr>
          <w:noProof/>
        </w:rPr>
        <w:drawing>
          <wp:inline distT="0" distB="0" distL="0" distR="0" wp14:anchorId="09212A1B" wp14:editId="57F5CF85">
            <wp:extent cx="4572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32" cy="45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3920" w14:textId="554F1E67" w:rsidR="00DA0451" w:rsidRDefault="00DA0451" w:rsidP="00DA0451">
      <w:r w:rsidRPr="00FF08FE">
        <w:rPr>
          <w:rFonts w:cs="Times New Roman"/>
          <w:szCs w:val="24"/>
        </w:rPr>
        <w:t xml:space="preserve">Figure </w:t>
      </w:r>
      <w:r w:rsidR="00735717" w:rsidRPr="00FF08FE">
        <w:rPr>
          <w:rFonts w:cs="Times New Roman"/>
          <w:szCs w:val="24"/>
        </w:rPr>
        <w:t>S</w:t>
      </w:r>
      <w:r w:rsidR="00735717">
        <w:rPr>
          <w:rFonts w:cs="Times New Roman"/>
          <w:szCs w:val="24"/>
        </w:rPr>
        <w:t>2</w:t>
      </w:r>
      <w:r w:rsidRPr="00FF08FE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Analysis of variation in gene expression across eight </w:t>
      </w:r>
      <w:r w:rsidRPr="00143382">
        <w:rPr>
          <w:i/>
        </w:rPr>
        <w:t>Viola pubescens</w:t>
      </w:r>
      <w:r>
        <w:t xml:space="preserve"> tissues through principal component analysis (PCA) of log</w:t>
      </w:r>
      <w:r>
        <w:rPr>
          <w:vertAlign w:val="subscript"/>
        </w:rPr>
        <w:t>2</w:t>
      </w:r>
      <w:r>
        <w:t>CPM values for each tissue replicate. Expression values from 7,815 predicted genes were included in the PCA. BS=basal stem, US=upper stem, PT=petiole, LV=</w:t>
      </w:r>
      <w:proofErr w:type="gramStart"/>
      <w:r>
        <w:t>leaf ,</w:t>
      </w:r>
      <w:proofErr w:type="gramEnd"/>
      <w:r>
        <w:t xml:space="preserve"> PD=peduncle, CH=chasmogamous flower, CL=cleistogamous flower, FR=fruit.</w:t>
      </w:r>
    </w:p>
    <w:p w14:paraId="6A6609FF" w14:textId="5229F4EA" w:rsidR="00DA0451" w:rsidRDefault="00DA0451" w:rsidP="00DA0451">
      <w:pPr>
        <w:pStyle w:val="Heading3"/>
        <w:numPr>
          <w:ilvl w:val="2"/>
          <w:numId w:val="20"/>
        </w:numPr>
      </w:pPr>
      <w:r>
        <w:lastRenderedPageBreak/>
        <w:t xml:space="preserve">Supplementary Figure </w:t>
      </w:r>
      <w:r w:rsidR="000E1228">
        <w:t>3</w:t>
      </w:r>
    </w:p>
    <w:p w14:paraId="00D6DDBD" w14:textId="01035EBF" w:rsidR="00DE3982" w:rsidRPr="00DE3982" w:rsidRDefault="006C2BFA" w:rsidP="00DE3982">
      <w:r>
        <w:rPr>
          <w:noProof/>
        </w:rPr>
        <w:drawing>
          <wp:inline distT="0" distB="0" distL="0" distR="0" wp14:anchorId="79566D05" wp14:editId="60624C35">
            <wp:extent cx="5130800" cy="718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E32E" w14:textId="5858AE1D" w:rsidR="00DE3982" w:rsidRDefault="00DA0451" w:rsidP="00DA0451">
      <w:r>
        <w:t>Figure S</w:t>
      </w:r>
      <w:r w:rsidR="00735717">
        <w:t>3</w:t>
      </w:r>
      <w:r>
        <w:t xml:space="preserve">. Trend plots of normalized gene expression values (z-scores) for the hub genes in each of 20 co-expression modules identified through weighted gene co-expression analyses on 7,815 </w:t>
      </w:r>
      <w:r w:rsidRPr="00DE3982">
        <w:rPr>
          <w:i/>
        </w:rPr>
        <w:t>V. pubescens genes</w:t>
      </w:r>
      <w:r w:rsidR="00151356">
        <w:t xml:space="preserve"> (CPM </w:t>
      </w:r>
      <w:r w:rsidR="00151356">
        <w:sym w:font="Symbol" w:char="F03E"/>
      </w:r>
      <w:r w:rsidR="00151356">
        <w:t xml:space="preserve"> 40 in </w:t>
      </w:r>
      <w:r w:rsidR="00151356">
        <w:sym w:font="Symbol" w:char="F0B3"/>
      </w:r>
      <w:r w:rsidR="00151356">
        <w:t xml:space="preserve"> 3 samples)</w:t>
      </w:r>
      <w:r>
        <w:t>. BS = basal stem, US = upper stem, PT = petiole, LV = leaf, CH = chasmogamous, CL = cleistogamous, FR = fruit.</w:t>
      </w:r>
    </w:p>
    <w:p w14:paraId="4BA58A88" w14:textId="29FECE9F" w:rsidR="00DA0451" w:rsidRDefault="00DA0451" w:rsidP="00DA0451">
      <w:pPr>
        <w:pStyle w:val="Heading3"/>
        <w:numPr>
          <w:ilvl w:val="2"/>
          <w:numId w:val="20"/>
        </w:numPr>
      </w:pPr>
      <w:r>
        <w:lastRenderedPageBreak/>
        <w:t xml:space="preserve">Supplementary Figure </w:t>
      </w:r>
      <w:r w:rsidR="000E1228">
        <w:t>4</w:t>
      </w:r>
    </w:p>
    <w:p w14:paraId="397828E5" w14:textId="6FA27E51" w:rsidR="00DE3982" w:rsidRPr="00DE3982" w:rsidRDefault="00506725" w:rsidP="00DE3982">
      <w:r>
        <w:rPr>
          <w:noProof/>
        </w:rPr>
        <w:drawing>
          <wp:inline distT="0" distB="0" distL="0" distR="0" wp14:anchorId="47D4CC08" wp14:editId="519A8363">
            <wp:extent cx="6208395" cy="79819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4FBA" w14:textId="2C204EBE" w:rsidR="00DA0451" w:rsidRPr="00DA0451" w:rsidRDefault="00DA0451" w:rsidP="00DA0451">
      <w:r>
        <w:lastRenderedPageBreak/>
        <w:t>Figure S</w:t>
      </w:r>
      <w:r w:rsidR="00735717">
        <w:t>4</w:t>
      </w:r>
      <w:r>
        <w:t xml:space="preserve">: Maximum-likelihood protein </w:t>
      </w:r>
      <w:r w:rsidR="009A03FA" w:rsidRPr="009A03FA">
        <w:rPr>
          <w:lang w:val="en-CH"/>
        </w:rPr>
        <w:t>cladogram</w:t>
      </w:r>
      <w:r w:rsidR="009A03FA">
        <w:t xml:space="preserve"> </w:t>
      </w:r>
      <w:r>
        <w:t xml:space="preserve">containing 215 cyclotide sequences from eight </w:t>
      </w:r>
      <w:proofErr w:type="spellStart"/>
      <w:r>
        <w:t>Violaceae</w:t>
      </w:r>
      <w:proofErr w:type="spellEnd"/>
      <w:r>
        <w:t xml:space="preserve"> genera, including 27 diverse violet species, as well as three </w:t>
      </w:r>
      <w:proofErr w:type="spellStart"/>
      <w:r>
        <w:t>Rubiaceae</w:t>
      </w:r>
      <w:proofErr w:type="spellEnd"/>
      <w:r>
        <w:t xml:space="preserve"> genera/species used as </w:t>
      </w:r>
      <w:r w:rsidR="009A03FA" w:rsidRPr="009A03FA">
        <w:rPr>
          <w:lang w:val="en-CH"/>
        </w:rPr>
        <w:t>cladogram</w:t>
      </w:r>
      <w:r w:rsidR="009A03FA">
        <w:t xml:space="preserve"> </w:t>
      </w:r>
      <w:r>
        <w:t xml:space="preserve">outgroups. The </w:t>
      </w:r>
      <w:r w:rsidR="009A03FA" w:rsidRPr="009A03FA">
        <w:rPr>
          <w:lang w:val="en-CH"/>
        </w:rPr>
        <w:t>cladogram</w:t>
      </w:r>
      <w:r w:rsidR="009A03FA">
        <w:t xml:space="preserve"> </w:t>
      </w:r>
      <w:r>
        <w:t xml:space="preserve">was generated through </w:t>
      </w:r>
      <w:proofErr w:type="spellStart"/>
      <w:r>
        <w:t>PhyML</w:t>
      </w:r>
      <w:proofErr w:type="spellEnd"/>
      <w:r>
        <w:t xml:space="preserve"> using the VT amino acid substitution model, estimated portions of invariable sites, estimated </w:t>
      </w:r>
      <w:r w:rsidRPr="00FF08FE">
        <w:rPr>
          <w:rFonts w:eastAsia="Times New Roman" w:cs="Times New Roman"/>
        </w:rPr>
        <w:t>Γ-distribution shape parameter, eight substitution rate categories, estimated amino acid frequencies</w:t>
      </w:r>
      <w:r w:rsidR="003E687D">
        <w:rPr>
          <w:rFonts w:eastAsia="Times New Roman" w:cs="Times New Roman"/>
        </w:rPr>
        <w:t>, 100 bootstrap replicates</w:t>
      </w:r>
      <w:r w:rsidR="00A91A8C">
        <w:rPr>
          <w:rFonts w:eastAsia="Times New Roman" w:cs="Times New Roman"/>
        </w:rPr>
        <w:t>,</w:t>
      </w:r>
      <w:r w:rsidRPr="00FF08FE">
        <w:rPr>
          <w:rFonts w:eastAsia="Times New Roman" w:cs="Times New Roman"/>
        </w:rPr>
        <w:t xml:space="preserve"> and the best of nearest neighbor interchange (NNI) and subtree pruning and </w:t>
      </w:r>
      <w:proofErr w:type="spellStart"/>
      <w:r w:rsidRPr="00FF08FE">
        <w:rPr>
          <w:rFonts w:eastAsia="Times New Roman" w:cs="Times New Roman"/>
        </w:rPr>
        <w:t>regrafting</w:t>
      </w:r>
      <w:proofErr w:type="spellEnd"/>
      <w:r w:rsidRPr="00FF08FE">
        <w:rPr>
          <w:rFonts w:eastAsia="Times New Roman" w:cs="Times New Roman"/>
        </w:rPr>
        <w:t xml:space="preserve"> (SPR).</w:t>
      </w:r>
      <w:r w:rsidRPr="00FF08FE">
        <w:rPr>
          <w:rFonts w:eastAsia="Calibri" w:cs="Times New Roman"/>
        </w:rPr>
        <w:t xml:space="preserve"> </w:t>
      </w:r>
      <w:r w:rsidRPr="00FF08FE">
        <w:rPr>
          <w:rFonts w:eastAsia="Times New Roman" w:cs="Times New Roman"/>
        </w:rPr>
        <w:t xml:space="preserve">The </w:t>
      </w:r>
      <w:r w:rsidR="009A03FA" w:rsidRPr="009A03FA">
        <w:rPr>
          <w:lang w:val="en-CH"/>
        </w:rPr>
        <w:t>cladogram</w:t>
      </w:r>
      <w:r w:rsidR="009A03FA" w:rsidRPr="00FF08FE">
        <w:rPr>
          <w:rFonts w:eastAsia="Times New Roman" w:cs="Times New Roman"/>
        </w:rPr>
        <w:t xml:space="preserve"> </w:t>
      </w:r>
      <w:r w:rsidRPr="00FF08FE">
        <w:rPr>
          <w:rFonts w:eastAsia="Times New Roman" w:cs="Times New Roman"/>
        </w:rPr>
        <w:t xml:space="preserve">was visualized and color-coded in </w:t>
      </w:r>
      <w:proofErr w:type="spellStart"/>
      <w:r w:rsidRPr="00FF08FE">
        <w:rPr>
          <w:rFonts w:eastAsia="Times New Roman" w:cs="Times New Roman"/>
        </w:rPr>
        <w:t>Geneious</w:t>
      </w:r>
      <w:proofErr w:type="spellEnd"/>
      <w:r w:rsidRPr="00FF08FE">
        <w:rPr>
          <w:rFonts w:eastAsia="Times New Roman" w:cs="Times New Roman"/>
        </w:rPr>
        <w:t xml:space="preserve"> with different colors representing each </w:t>
      </w:r>
      <w:proofErr w:type="gramStart"/>
      <w:r w:rsidRPr="00FF08FE">
        <w:rPr>
          <w:rFonts w:eastAsia="Times New Roman" w:cs="Times New Roman"/>
        </w:rPr>
        <w:t>genera</w:t>
      </w:r>
      <w:proofErr w:type="gramEnd"/>
      <w:r>
        <w:rPr>
          <w:rFonts w:eastAsia="Times New Roman" w:cs="Times New Roman"/>
        </w:rPr>
        <w:t xml:space="preserve"> (color key listed in Table S</w:t>
      </w:r>
      <w:r w:rsidR="00506725">
        <w:rPr>
          <w:rFonts w:eastAsia="Times New Roman" w:cs="Times New Roman"/>
        </w:rPr>
        <w:t>1</w:t>
      </w:r>
      <w:r>
        <w:rPr>
          <w:rFonts w:eastAsia="Times New Roman" w:cs="Times New Roman"/>
        </w:rPr>
        <w:t xml:space="preserve">). </w:t>
      </w:r>
      <w:r w:rsidR="00070A17">
        <w:rPr>
          <w:rFonts w:eastAsia="Times New Roman" w:cs="Times New Roman"/>
        </w:rPr>
        <w:t>Branches represent bootstrap support and are not proportional to amino acid changes.</w:t>
      </w:r>
      <w:bookmarkStart w:id="0" w:name="_GoBack"/>
      <w:bookmarkEnd w:id="0"/>
    </w:p>
    <w:p w14:paraId="18BF8BEA" w14:textId="77777777" w:rsidR="00DA0451" w:rsidRDefault="00DA0451" w:rsidP="00DA0451">
      <w:pPr>
        <w:pStyle w:val="Heading2"/>
        <w:numPr>
          <w:ilvl w:val="1"/>
          <w:numId w:val="20"/>
        </w:numPr>
      </w:pPr>
      <w:r w:rsidRPr="0001436A">
        <w:t>Supplementary</w:t>
      </w:r>
      <w:r w:rsidRPr="001549D3">
        <w:t xml:space="preserve"> </w:t>
      </w:r>
      <w:r>
        <w:t>Tables</w:t>
      </w:r>
    </w:p>
    <w:p w14:paraId="7723037B" w14:textId="332A4452" w:rsidR="005765BC" w:rsidRPr="005765BC" w:rsidRDefault="00DA0451" w:rsidP="005765BC">
      <w:pPr>
        <w:pStyle w:val="Heading3"/>
        <w:numPr>
          <w:ilvl w:val="2"/>
          <w:numId w:val="20"/>
        </w:numPr>
      </w:pPr>
      <w:r>
        <w:t>Table S1</w:t>
      </w:r>
    </w:p>
    <w:p w14:paraId="7240E9DD" w14:textId="6809D853" w:rsidR="00C463AD" w:rsidRDefault="00C463AD" w:rsidP="00C463AD">
      <w:r>
        <w:t xml:space="preserve">Table S1. </w:t>
      </w:r>
      <w:r w:rsidR="005765BC">
        <w:t xml:space="preserve">Species </w:t>
      </w:r>
      <w:r w:rsidR="00070A17">
        <w:t xml:space="preserve">names </w:t>
      </w:r>
      <w:r w:rsidR="005765BC">
        <w:t>and corresponding NCBI a</w:t>
      </w:r>
      <w:r>
        <w:t xml:space="preserve">ccession numbers </w:t>
      </w:r>
      <w:r w:rsidR="005765BC">
        <w:t>of</w:t>
      </w:r>
      <w:r>
        <w:t xml:space="preserve"> nine, publicly available </w:t>
      </w:r>
      <w:r w:rsidRPr="005765BC">
        <w:rPr>
          <w:i/>
        </w:rPr>
        <w:t>Viola</w:t>
      </w:r>
      <w:r>
        <w:t xml:space="preserve"> transcriptomes.</w:t>
      </w:r>
    </w:p>
    <w:tbl>
      <w:tblPr>
        <w:tblStyle w:val="PlainTable1"/>
        <w:tblW w:w="3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5"/>
        <w:gridCol w:w="1749"/>
      </w:tblGrid>
      <w:tr w:rsidR="005765BC" w:rsidRPr="009F299B" w14:paraId="2A919336" w14:textId="77777777" w:rsidTr="00576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/>
            </w:tcBorders>
            <w:noWrap/>
            <w:hideMark/>
          </w:tcPr>
          <w:p w14:paraId="4FEF8CC1" w14:textId="7CEDFDE4" w:rsidR="005765BC" w:rsidRPr="004E3B36" w:rsidRDefault="005765BC" w:rsidP="005765BC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Species</w:t>
            </w:r>
          </w:p>
        </w:tc>
        <w:tc>
          <w:tcPr>
            <w:tcW w:w="1749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33F7B8CE" w14:textId="1F065B4B" w:rsidR="005765BC" w:rsidRPr="004E3B36" w:rsidRDefault="005765BC" w:rsidP="005765B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NCBI Accession</w:t>
            </w:r>
          </w:p>
        </w:tc>
      </w:tr>
      <w:tr w:rsidR="005765BC" w:rsidRPr="009F299B" w14:paraId="74901E95" w14:textId="77777777" w:rsidTr="00576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top w:val="single" w:sz="12" w:space="0" w:color="000000"/>
              <w:left w:val="single" w:sz="12" w:space="0" w:color="000000" w:themeColor="text1"/>
            </w:tcBorders>
            <w:noWrap/>
          </w:tcPr>
          <w:p w14:paraId="2DC94A85" w14:textId="7A1CA379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acuminata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</w:tcBorders>
            <w:noWrap/>
          </w:tcPr>
          <w:p w14:paraId="1E3CAA3C" w14:textId="56712AF0" w:rsidR="005765BC" w:rsidRPr="005765BC" w:rsidRDefault="005765BC" w:rsidP="005765B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5765BC">
              <w:rPr>
                <w:rFonts w:eastAsia="Calibri" w:cs="Times New Roman"/>
                <w:sz w:val="22"/>
              </w:rPr>
              <w:t>GFWD</w:t>
            </w:r>
            <w:r w:rsidRPr="005765BC">
              <w:rPr>
                <w:rFonts w:eastAsia="Times New Roman"/>
                <w:color w:val="000000" w:themeColor="text1"/>
                <w:sz w:val="22"/>
              </w:rPr>
              <w:t>00000000</w:t>
            </w:r>
          </w:p>
        </w:tc>
      </w:tr>
      <w:tr w:rsidR="005765BC" w:rsidRPr="009F299B" w14:paraId="3A087B04" w14:textId="77777777" w:rsidTr="005765B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57F228B9" w14:textId="15939EAF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albida</w:t>
            </w:r>
            <w:proofErr w:type="spellEnd"/>
          </w:p>
        </w:tc>
        <w:tc>
          <w:tcPr>
            <w:tcW w:w="1749" w:type="dxa"/>
            <w:noWrap/>
          </w:tcPr>
          <w:p w14:paraId="00111EF2" w14:textId="2DE2B82A" w:rsidR="005765BC" w:rsidRPr="005765BC" w:rsidRDefault="005765BC" w:rsidP="00576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GFWC00000000</w:t>
            </w:r>
          </w:p>
        </w:tc>
      </w:tr>
      <w:tr w:rsidR="005765BC" w:rsidRPr="009F299B" w14:paraId="2E5D256F" w14:textId="77777777" w:rsidTr="00576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72641F24" w14:textId="05B98F39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baoshanensis</w:t>
            </w:r>
            <w:proofErr w:type="spellEnd"/>
            <w:r w:rsidRPr="004E3B36">
              <w:rPr>
                <w:rFonts w:eastAsia="Calibri" w:cs="Times New Roman"/>
                <w:b w:val="0"/>
                <w:i/>
                <w:sz w:val="22"/>
              </w:rPr>
              <w:t xml:space="preserve"> </w:t>
            </w:r>
          </w:p>
        </w:tc>
        <w:tc>
          <w:tcPr>
            <w:tcW w:w="1749" w:type="dxa"/>
            <w:noWrap/>
          </w:tcPr>
          <w:p w14:paraId="060BAE5A" w14:textId="66799ED9" w:rsidR="005765BC" w:rsidRPr="005765BC" w:rsidRDefault="005765BC" w:rsidP="005765B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PRJNA268667</w:t>
            </w:r>
          </w:p>
        </w:tc>
      </w:tr>
      <w:tr w:rsidR="005765BC" w:rsidRPr="009F299B" w14:paraId="7FC90F67" w14:textId="77777777" w:rsidTr="005765B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4671CE5E" w14:textId="7E971E08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>Viola canadensis</w:t>
            </w:r>
          </w:p>
        </w:tc>
        <w:tc>
          <w:tcPr>
            <w:tcW w:w="1749" w:type="dxa"/>
            <w:noWrap/>
          </w:tcPr>
          <w:p w14:paraId="1706CB16" w14:textId="622C1ACB" w:rsidR="005765BC" w:rsidRPr="005765BC" w:rsidRDefault="005765BC" w:rsidP="00576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ERX2099460</w:t>
            </w:r>
          </w:p>
        </w:tc>
      </w:tr>
      <w:tr w:rsidR="005765BC" w:rsidRPr="009F299B" w14:paraId="59630DB2" w14:textId="77777777" w:rsidTr="00576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5F60D236" w14:textId="5B19A6C7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mandshurica</w:t>
            </w:r>
            <w:proofErr w:type="spellEnd"/>
          </w:p>
        </w:tc>
        <w:tc>
          <w:tcPr>
            <w:tcW w:w="1749" w:type="dxa"/>
            <w:noWrap/>
          </w:tcPr>
          <w:p w14:paraId="206D3BC2" w14:textId="3D84C368" w:rsidR="005765BC" w:rsidRPr="005765BC" w:rsidRDefault="005765BC" w:rsidP="005765B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GFWG00000000</w:t>
            </w:r>
          </w:p>
        </w:tc>
      </w:tr>
      <w:tr w:rsidR="005765BC" w:rsidRPr="009F299B" w14:paraId="35087833" w14:textId="77777777" w:rsidTr="005765B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481149B1" w14:textId="6DB7A89A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orientalis</w:t>
            </w:r>
            <w:proofErr w:type="spellEnd"/>
          </w:p>
        </w:tc>
        <w:tc>
          <w:tcPr>
            <w:tcW w:w="1749" w:type="dxa"/>
            <w:noWrap/>
          </w:tcPr>
          <w:p w14:paraId="5A44F7F2" w14:textId="03A4EAE8" w:rsidR="005765BC" w:rsidRPr="005765BC" w:rsidRDefault="005765BC" w:rsidP="00576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GFXR00000000</w:t>
            </w:r>
          </w:p>
        </w:tc>
      </w:tr>
      <w:tr w:rsidR="005765BC" w:rsidRPr="009F299B" w14:paraId="3D4E8F52" w14:textId="77777777" w:rsidTr="00576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20F806B5" w14:textId="541B5673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>Viola tricolor</w:t>
            </w:r>
          </w:p>
        </w:tc>
        <w:tc>
          <w:tcPr>
            <w:tcW w:w="1749" w:type="dxa"/>
            <w:noWrap/>
          </w:tcPr>
          <w:p w14:paraId="662620D9" w14:textId="0C6F968E" w:rsidR="005765BC" w:rsidRPr="005765BC" w:rsidRDefault="005765BC" w:rsidP="005765B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ERX2099459</w:t>
            </w:r>
          </w:p>
        </w:tc>
      </w:tr>
      <w:tr w:rsidR="005765BC" w:rsidRPr="009F299B" w14:paraId="00BC8478" w14:textId="77777777" w:rsidTr="005765B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</w:tcBorders>
            <w:noWrap/>
          </w:tcPr>
          <w:p w14:paraId="33FFBEBE" w14:textId="1FD3A453" w:rsidR="005765BC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>
              <w:rPr>
                <w:rFonts w:eastAsia="Calibri" w:cs="Times New Roman"/>
                <w:b w:val="0"/>
                <w:i/>
                <w:sz w:val="22"/>
              </w:rPr>
              <w:t xml:space="preserve">Viola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uliginosa</w:t>
            </w:r>
            <w:proofErr w:type="spellEnd"/>
          </w:p>
        </w:tc>
        <w:tc>
          <w:tcPr>
            <w:tcW w:w="1749" w:type="dxa"/>
            <w:noWrap/>
          </w:tcPr>
          <w:p w14:paraId="75455AE2" w14:textId="63F28387" w:rsidR="005765BC" w:rsidRPr="005765BC" w:rsidRDefault="005765BC" w:rsidP="00576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PRJNA257024</w:t>
            </w:r>
          </w:p>
        </w:tc>
      </w:tr>
      <w:tr w:rsidR="005765BC" w:rsidRPr="009F299B" w14:paraId="4B7A18FC" w14:textId="77777777" w:rsidTr="00576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5" w:type="dxa"/>
            <w:tcBorders>
              <w:left w:val="single" w:sz="12" w:space="0" w:color="000000" w:themeColor="text1"/>
              <w:bottom w:val="single" w:sz="12" w:space="0" w:color="000000"/>
            </w:tcBorders>
            <w:noWrap/>
          </w:tcPr>
          <w:p w14:paraId="68FEA1A9" w14:textId="6D0B54D4" w:rsidR="005765BC" w:rsidRPr="004E3B36" w:rsidRDefault="005765BC" w:rsidP="005765BC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  <w:r>
              <w:rPr>
                <w:rFonts w:eastAsia="Calibri" w:cs="Times New Roman"/>
                <w:b w:val="0"/>
                <w:i/>
                <w:sz w:val="22"/>
              </w:rPr>
              <w:t xml:space="preserve"> </w:t>
            </w:r>
            <w:proofErr w:type="spellStart"/>
            <w:r>
              <w:rPr>
                <w:rFonts w:eastAsia="Calibri" w:cs="Times New Roman"/>
                <w:b w:val="0"/>
                <w:i/>
                <w:sz w:val="22"/>
              </w:rPr>
              <w:t>verecunda</w:t>
            </w:r>
            <w:proofErr w:type="spellEnd"/>
          </w:p>
        </w:tc>
        <w:tc>
          <w:tcPr>
            <w:tcW w:w="1749" w:type="dxa"/>
            <w:tcBorders>
              <w:bottom w:val="single" w:sz="12" w:space="0" w:color="000000"/>
            </w:tcBorders>
            <w:noWrap/>
          </w:tcPr>
          <w:p w14:paraId="0B8CC5A9" w14:textId="3B88FB36" w:rsidR="005765BC" w:rsidRPr="005765BC" w:rsidRDefault="005765BC" w:rsidP="005765B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303CAC">
              <w:rPr>
                <w:rFonts w:eastAsia="Times New Roman"/>
                <w:color w:val="000000" w:themeColor="text1"/>
                <w:sz w:val="22"/>
              </w:rPr>
              <w:t>GFWF00000000</w:t>
            </w:r>
          </w:p>
        </w:tc>
      </w:tr>
    </w:tbl>
    <w:p w14:paraId="00383999" w14:textId="5E72A0EC" w:rsidR="005765BC" w:rsidRDefault="005765BC" w:rsidP="005765BC">
      <w:pPr>
        <w:rPr>
          <w:rFonts w:eastAsia="Times New Roman" w:cs="Times New Roman"/>
          <w:color w:val="000000"/>
        </w:rPr>
      </w:pPr>
    </w:p>
    <w:p w14:paraId="5E10BF50" w14:textId="3238B10E" w:rsidR="003956C6" w:rsidRDefault="005B1B83" w:rsidP="005B1B83">
      <w:pPr>
        <w:pStyle w:val="Heading3"/>
      </w:pPr>
      <w:r>
        <w:t>Table S2</w:t>
      </w:r>
    </w:p>
    <w:p w14:paraId="43ED362F" w14:textId="553FCEB4" w:rsidR="00B07C7A" w:rsidRDefault="00B07C7A" w:rsidP="009B7ED9">
      <w:r>
        <w:t>Table S</w:t>
      </w:r>
      <w:r w:rsidR="00B25183">
        <w:t>2</w:t>
      </w:r>
      <w:r>
        <w:t xml:space="preserve">. </w:t>
      </w:r>
      <w:r w:rsidR="001D5DE3">
        <w:t xml:space="preserve">Estimations of </w:t>
      </w:r>
      <w:r w:rsidR="001D5DE3" w:rsidRPr="001D5DE3">
        <w:rPr>
          <w:i/>
        </w:rPr>
        <w:t>V. pubescens</w:t>
      </w:r>
      <w:r w:rsidR="001D5DE3">
        <w:t xml:space="preserve"> genome heterozygosity, haploid length, repeat length, unique reads length, model fit, and read error rate generated through </w:t>
      </w:r>
      <w:proofErr w:type="spellStart"/>
      <w:r w:rsidR="001D5DE3">
        <w:t>GenomeScope</w:t>
      </w:r>
      <w:proofErr w:type="spellEnd"/>
      <w:r w:rsidR="001D5DE3">
        <w:t xml:space="preserve"> (</w:t>
      </w:r>
      <w:proofErr w:type="spellStart"/>
      <w:r w:rsidR="001D5DE3">
        <w:rPr>
          <w:rFonts w:eastAsia="Times New Roman"/>
        </w:rPr>
        <w:t>Vurture</w:t>
      </w:r>
      <w:proofErr w:type="spellEnd"/>
      <w:r w:rsidR="001D5DE3">
        <w:rPr>
          <w:rFonts w:eastAsia="Times New Roman"/>
        </w:rPr>
        <w:t xml:space="preserve"> et al., 2017</w:t>
      </w:r>
      <w:r w:rsidR="001D5DE3">
        <w:t xml:space="preserve">) </w:t>
      </w:r>
      <w:r w:rsidR="009B7ED9">
        <w:t>using a k-</w:t>
      </w:r>
      <w:proofErr w:type="spellStart"/>
      <w:r w:rsidR="009B7ED9">
        <w:t>mer</w:t>
      </w:r>
      <w:proofErr w:type="spellEnd"/>
      <w:r w:rsidR="009B7ED9">
        <w:t xml:space="preserve"> distribution approach </w:t>
      </w:r>
      <w:r w:rsidR="001D5DE3">
        <w:t xml:space="preserve">via </w:t>
      </w:r>
      <w:r w:rsidR="009B7ED9">
        <w:t>Jellyfish (</w:t>
      </w:r>
      <w:proofErr w:type="spellStart"/>
      <w:r w:rsidR="009B7ED9">
        <w:rPr>
          <w:rFonts w:eastAsia="Times New Roman"/>
        </w:rPr>
        <w:t>Marçais</w:t>
      </w:r>
      <w:proofErr w:type="spellEnd"/>
      <w:r w:rsidR="009B7ED9">
        <w:rPr>
          <w:rFonts w:eastAsia="Times New Roman"/>
        </w:rPr>
        <w:t xml:space="preserve"> and Kingsford, 2011</w:t>
      </w:r>
      <w:r w:rsidR="009B7ED9">
        <w:t>). K-</w:t>
      </w:r>
      <w:proofErr w:type="spellStart"/>
      <w:r w:rsidR="009B7ED9">
        <w:t>mer</w:t>
      </w:r>
      <w:proofErr w:type="spellEnd"/>
      <w:r w:rsidR="009B7ED9">
        <w:t xml:space="preserve"> sizes 17, 31, 49, 63, and 79 were tested</w:t>
      </w:r>
      <w:r w:rsidR="00325DF3">
        <w:t xml:space="preserve"> and 63 was selected bas</w:t>
      </w:r>
      <w:r w:rsidR="00972DB0">
        <w:t xml:space="preserve">ed on model fit.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627"/>
        <w:gridCol w:w="1628"/>
        <w:gridCol w:w="1628"/>
        <w:gridCol w:w="1628"/>
        <w:gridCol w:w="1628"/>
        <w:gridCol w:w="1628"/>
      </w:tblGrid>
      <w:tr w:rsidR="009B7ED9" w14:paraId="4FA4BEB3" w14:textId="77777777" w:rsidTr="00972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  <w:tcBorders>
              <w:top w:val="nil"/>
              <w:left w:val="nil"/>
            </w:tcBorders>
          </w:tcPr>
          <w:p w14:paraId="189D865B" w14:textId="77777777" w:rsidR="009B7ED9" w:rsidRDefault="009B7ED9" w:rsidP="009B7ED9"/>
        </w:tc>
        <w:tc>
          <w:tcPr>
            <w:tcW w:w="1628" w:type="dxa"/>
          </w:tcPr>
          <w:p w14:paraId="6E38122B" w14:textId="1189C9D3" w:rsidR="009B7ED9" w:rsidRPr="00325DF3" w:rsidRDefault="009B7ED9" w:rsidP="00972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5DF3">
              <w:rPr>
                <w:sz w:val="22"/>
              </w:rPr>
              <w:t>k17</w:t>
            </w:r>
          </w:p>
        </w:tc>
        <w:tc>
          <w:tcPr>
            <w:tcW w:w="1628" w:type="dxa"/>
          </w:tcPr>
          <w:p w14:paraId="781DF5E7" w14:textId="4B28FAED" w:rsidR="009B7ED9" w:rsidRPr="00325DF3" w:rsidRDefault="009B7ED9" w:rsidP="00972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5DF3">
              <w:rPr>
                <w:sz w:val="22"/>
              </w:rPr>
              <w:t>k31</w:t>
            </w:r>
          </w:p>
        </w:tc>
        <w:tc>
          <w:tcPr>
            <w:tcW w:w="1628" w:type="dxa"/>
          </w:tcPr>
          <w:p w14:paraId="306F898B" w14:textId="5D303896" w:rsidR="009B7ED9" w:rsidRPr="00325DF3" w:rsidRDefault="009B7ED9" w:rsidP="00972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5DF3">
              <w:rPr>
                <w:sz w:val="22"/>
              </w:rPr>
              <w:t>k49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41FC5F41" w14:textId="24CC46F8" w:rsidR="009B7ED9" w:rsidRPr="00325DF3" w:rsidRDefault="009B7ED9" w:rsidP="00972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5DF3">
              <w:rPr>
                <w:sz w:val="22"/>
              </w:rPr>
              <w:t>k63</w:t>
            </w:r>
          </w:p>
        </w:tc>
        <w:tc>
          <w:tcPr>
            <w:tcW w:w="1628" w:type="dxa"/>
          </w:tcPr>
          <w:p w14:paraId="09DF1E94" w14:textId="4FDE3F49" w:rsidR="009B7ED9" w:rsidRPr="00325DF3" w:rsidRDefault="009B7ED9" w:rsidP="00972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5DF3">
              <w:rPr>
                <w:sz w:val="22"/>
              </w:rPr>
              <w:t>k79</w:t>
            </w:r>
          </w:p>
        </w:tc>
      </w:tr>
      <w:tr w:rsidR="009B7ED9" w14:paraId="62967DA0" w14:textId="77777777" w:rsidTr="00972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7E34B5EF" w14:textId="392F10E4" w:rsidR="009B7ED9" w:rsidRPr="00325DF3" w:rsidRDefault="00325DF3" w:rsidP="009B7ED9">
            <w:pPr>
              <w:rPr>
                <w:sz w:val="22"/>
              </w:rPr>
            </w:pPr>
            <w:r w:rsidRPr="00325DF3">
              <w:rPr>
                <w:sz w:val="22"/>
              </w:rPr>
              <w:t>Heterozygosity</w:t>
            </w:r>
            <w:r>
              <w:rPr>
                <w:sz w:val="22"/>
              </w:rPr>
              <w:t xml:space="preserve"> (%)</w:t>
            </w:r>
          </w:p>
        </w:tc>
        <w:tc>
          <w:tcPr>
            <w:tcW w:w="1628" w:type="dxa"/>
          </w:tcPr>
          <w:p w14:paraId="47349B05" w14:textId="76E3E00B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1628" w:type="dxa"/>
          </w:tcPr>
          <w:p w14:paraId="482BD8C5" w14:textId="49514601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0.63</w:t>
            </w:r>
          </w:p>
        </w:tc>
        <w:tc>
          <w:tcPr>
            <w:tcW w:w="1628" w:type="dxa"/>
          </w:tcPr>
          <w:p w14:paraId="5527E21F" w14:textId="320B860C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761A8FF5" w14:textId="66DA6B9D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1628" w:type="dxa"/>
          </w:tcPr>
          <w:p w14:paraId="74119BE4" w14:textId="58B56477" w:rsidR="009B7ED9" w:rsidRPr="00325DF3" w:rsidRDefault="00972DB0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0.64</w:t>
            </w:r>
          </w:p>
        </w:tc>
      </w:tr>
      <w:tr w:rsidR="009B7ED9" w14:paraId="39F8B466" w14:textId="77777777" w:rsidTr="00972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425E5072" w14:textId="0BEE2BF5" w:rsidR="009B7ED9" w:rsidRPr="00325DF3" w:rsidRDefault="00325DF3" w:rsidP="009B7ED9">
            <w:pPr>
              <w:rPr>
                <w:sz w:val="22"/>
              </w:rPr>
            </w:pPr>
            <w:r>
              <w:rPr>
                <w:sz w:val="22"/>
              </w:rPr>
              <w:t>Genome haploid length (bp)</w:t>
            </w:r>
          </w:p>
        </w:tc>
        <w:tc>
          <w:tcPr>
            <w:tcW w:w="1628" w:type="dxa"/>
          </w:tcPr>
          <w:p w14:paraId="3740FFC7" w14:textId="77345505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326,879,345</w:t>
            </w:r>
          </w:p>
        </w:tc>
        <w:tc>
          <w:tcPr>
            <w:tcW w:w="1628" w:type="dxa"/>
          </w:tcPr>
          <w:p w14:paraId="53A15161" w14:textId="7D8A67B9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350,122,653</w:t>
            </w:r>
          </w:p>
        </w:tc>
        <w:tc>
          <w:tcPr>
            <w:tcW w:w="1628" w:type="dxa"/>
          </w:tcPr>
          <w:p w14:paraId="6EBBD924" w14:textId="7A2C795D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350,914,765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3786314A" w14:textId="3763D667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353,790,935</w:t>
            </w:r>
          </w:p>
        </w:tc>
        <w:tc>
          <w:tcPr>
            <w:tcW w:w="1628" w:type="dxa"/>
          </w:tcPr>
          <w:p w14:paraId="321DBD6C" w14:textId="48606542" w:rsidR="009B7ED9" w:rsidRPr="00325DF3" w:rsidRDefault="00972DB0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361,718,559</w:t>
            </w:r>
          </w:p>
        </w:tc>
      </w:tr>
      <w:tr w:rsidR="009B7ED9" w14:paraId="05B09696" w14:textId="77777777" w:rsidTr="00972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152D7091" w14:textId="19EC202B" w:rsidR="009B7ED9" w:rsidRPr="00325DF3" w:rsidRDefault="00325DF3" w:rsidP="009B7ED9">
            <w:pPr>
              <w:rPr>
                <w:sz w:val="22"/>
              </w:rPr>
            </w:pPr>
            <w:r>
              <w:rPr>
                <w:sz w:val="22"/>
              </w:rPr>
              <w:t>Genome repeat length (bp)</w:t>
            </w:r>
          </w:p>
        </w:tc>
        <w:tc>
          <w:tcPr>
            <w:tcW w:w="1628" w:type="dxa"/>
          </w:tcPr>
          <w:p w14:paraId="0B443768" w14:textId="50F6A48A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192,410,454</w:t>
            </w:r>
          </w:p>
        </w:tc>
        <w:tc>
          <w:tcPr>
            <w:tcW w:w="1628" w:type="dxa"/>
          </w:tcPr>
          <w:p w14:paraId="530E4442" w14:textId="33E8C880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151,066,652</w:t>
            </w:r>
          </w:p>
        </w:tc>
        <w:tc>
          <w:tcPr>
            <w:tcW w:w="1628" w:type="dxa"/>
          </w:tcPr>
          <w:p w14:paraId="655D69A5" w14:textId="190E769E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121,846,052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4BAADEB2" w14:textId="371EFC61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114,746,721</w:t>
            </w:r>
          </w:p>
        </w:tc>
        <w:tc>
          <w:tcPr>
            <w:tcW w:w="1628" w:type="dxa"/>
          </w:tcPr>
          <w:p w14:paraId="752E20E3" w14:textId="79FC7813" w:rsidR="009B7ED9" w:rsidRPr="00325DF3" w:rsidRDefault="00972DB0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120,826,214</w:t>
            </w:r>
          </w:p>
        </w:tc>
      </w:tr>
      <w:tr w:rsidR="009B7ED9" w14:paraId="6B9C873F" w14:textId="77777777" w:rsidTr="00972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628D9E2E" w14:textId="3131F6D6" w:rsidR="009B7ED9" w:rsidRPr="00325DF3" w:rsidRDefault="00325DF3" w:rsidP="009B7ED9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Genome unique length (bp)</w:t>
            </w:r>
          </w:p>
        </w:tc>
        <w:tc>
          <w:tcPr>
            <w:tcW w:w="1628" w:type="dxa"/>
          </w:tcPr>
          <w:p w14:paraId="6DFA328F" w14:textId="5CB5B13F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134,468,891</w:t>
            </w:r>
          </w:p>
        </w:tc>
        <w:tc>
          <w:tcPr>
            <w:tcW w:w="1628" w:type="dxa"/>
          </w:tcPr>
          <w:p w14:paraId="32728EB6" w14:textId="334256FD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199,056,001</w:t>
            </w:r>
          </w:p>
        </w:tc>
        <w:tc>
          <w:tcPr>
            <w:tcW w:w="1628" w:type="dxa"/>
          </w:tcPr>
          <w:p w14:paraId="6FD9B235" w14:textId="738A3235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229,068,713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0D969025" w14:textId="4BA89C63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239,044,214</w:t>
            </w:r>
          </w:p>
        </w:tc>
        <w:tc>
          <w:tcPr>
            <w:tcW w:w="1628" w:type="dxa"/>
          </w:tcPr>
          <w:p w14:paraId="64249CB4" w14:textId="7A0AB02D" w:rsidR="009B7ED9" w:rsidRPr="00325DF3" w:rsidRDefault="00972DB0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240,892,345</w:t>
            </w:r>
          </w:p>
        </w:tc>
      </w:tr>
      <w:tr w:rsidR="009B7ED9" w14:paraId="381E334B" w14:textId="77777777" w:rsidTr="00972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6EFD5E44" w14:textId="2703690A" w:rsidR="009B7ED9" w:rsidRPr="00325DF3" w:rsidRDefault="00325DF3" w:rsidP="009B7ED9">
            <w:pPr>
              <w:rPr>
                <w:sz w:val="22"/>
              </w:rPr>
            </w:pPr>
            <w:r>
              <w:rPr>
                <w:sz w:val="22"/>
              </w:rPr>
              <w:t>Model fit (%)</w:t>
            </w:r>
          </w:p>
        </w:tc>
        <w:tc>
          <w:tcPr>
            <w:tcW w:w="1628" w:type="dxa"/>
          </w:tcPr>
          <w:p w14:paraId="09164394" w14:textId="48834F76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86.09</w:t>
            </w:r>
          </w:p>
        </w:tc>
        <w:tc>
          <w:tcPr>
            <w:tcW w:w="1628" w:type="dxa"/>
          </w:tcPr>
          <w:p w14:paraId="362B3565" w14:textId="11B0A23D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90.73</w:t>
            </w:r>
          </w:p>
        </w:tc>
        <w:tc>
          <w:tcPr>
            <w:tcW w:w="1628" w:type="dxa"/>
          </w:tcPr>
          <w:p w14:paraId="32AC391C" w14:textId="39866F22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93.89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1417C3B6" w14:textId="005720E1" w:rsidR="009B7ED9" w:rsidRPr="00325DF3" w:rsidRDefault="00325DF3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95.70</w:t>
            </w:r>
          </w:p>
        </w:tc>
        <w:tc>
          <w:tcPr>
            <w:tcW w:w="1628" w:type="dxa"/>
          </w:tcPr>
          <w:p w14:paraId="6EBBDD1A" w14:textId="6BAB9D73" w:rsidR="009B7ED9" w:rsidRPr="00325DF3" w:rsidRDefault="00972DB0" w:rsidP="00972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92.96</w:t>
            </w:r>
          </w:p>
        </w:tc>
      </w:tr>
      <w:tr w:rsidR="009B7ED9" w14:paraId="48457660" w14:textId="77777777" w:rsidTr="00972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7" w:type="dxa"/>
          </w:tcPr>
          <w:p w14:paraId="79A2A008" w14:textId="2EA42058" w:rsidR="009B7ED9" w:rsidRPr="00325DF3" w:rsidRDefault="00325DF3" w:rsidP="009B7ED9">
            <w:pPr>
              <w:rPr>
                <w:sz w:val="22"/>
              </w:rPr>
            </w:pPr>
            <w:r>
              <w:rPr>
                <w:sz w:val="22"/>
              </w:rPr>
              <w:t>Read error rate (%)</w:t>
            </w:r>
          </w:p>
        </w:tc>
        <w:tc>
          <w:tcPr>
            <w:tcW w:w="1628" w:type="dxa"/>
          </w:tcPr>
          <w:p w14:paraId="6EE2404D" w14:textId="1F9320EB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628" w:type="dxa"/>
          </w:tcPr>
          <w:p w14:paraId="78C9AB4D" w14:textId="39E17508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  <w:tc>
          <w:tcPr>
            <w:tcW w:w="1628" w:type="dxa"/>
          </w:tcPr>
          <w:p w14:paraId="6BBDA760" w14:textId="2ADD7CDC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628" w:type="dxa"/>
            <w:shd w:val="clear" w:color="auto" w:fill="A6A6A6" w:themeFill="background1" w:themeFillShade="A6"/>
          </w:tcPr>
          <w:p w14:paraId="65CAF832" w14:textId="75DB7B5B" w:rsidR="009B7ED9" w:rsidRPr="00325DF3" w:rsidRDefault="00325DF3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  <w:tc>
          <w:tcPr>
            <w:tcW w:w="1628" w:type="dxa"/>
          </w:tcPr>
          <w:p w14:paraId="36A08CC7" w14:textId="50B39174" w:rsidR="009B7ED9" w:rsidRPr="00325DF3" w:rsidRDefault="00972DB0" w:rsidP="00972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</w:tbl>
    <w:p w14:paraId="2BDA598A" w14:textId="77777777" w:rsidR="005B1B83" w:rsidRPr="005B1B83" w:rsidRDefault="005B1B83" w:rsidP="005B1B83"/>
    <w:p w14:paraId="55087DB9" w14:textId="38F807B0" w:rsidR="003E03CB" w:rsidRPr="003E03CB" w:rsidRDefault="003E03CB" w:rsidP="003E03CB">
      <w:pPr>
        <w:pStyle w:val="Heading3"/>
      </w:pPr>
      <w:r>
        <w:t>Table S3</w:t>
      </w:r>
    </w:p>
    <w:p w14:paraId="0A61781A" w14:textId="23E4BBDC" w:rsidR="00DA0451" w:rsidRDefault="00DA0451" w:rsidP="00DA0451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Table S</w:t>
      </w:r>
      <w:r w:rsidR="003E03CB"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</w:rPr>
        <w:t>. Species</w:t>
      </w:r>
      <w:r w:rsidRPr="00547FF5">
        <w:rPr>
          <w:rFonts w:eastAsia="Times New Roman" w:cs="Times New Roman"/>
          <w:color w:val="000000"/>
        </w:rPr>
        <w:t xml:space="preserve"> with published cyclotide sequence</w:t>
      </w:r>
      <w:r>
        <w:rPr>
          <w:rFonts w:eastAsia="Times New Roman" w:cs="Times New Roman"/>
          <w:color w:val="000000"/>
        </w:rPr>
        <w:t>s</w:t>
      </w:r>
      <w:r w:rsidRPr="00547FF5">
        <w:rPr>
          <w:rFonts w:eastAsia="Times New Roman" w:cs="Times New Roman"/>
          <w:color w:val="000000"/>
        </w:rPr>
        <w:t xml:space="preserve"> used as queries for </w:t>
      </w:r>
      <w:r w:rsidRPr="00547FF5">
        <w:rPr>
          <w:rFonts w:eastAsia="Times New Roman" w:cs="Times New Roman"/>
          <w:i/>
          <w:color w:val="000000"/>
        </w:rPr>
        <w:t>in silico</w:t>
      </w:r>
      <w:r w:rsidRPr="00547FF5">
        <w:rPr>
          <w:rFonts w:eastAsia="Times New Roman" w:cs="Times New Roman"/>
          <w:color w:val="000000"/>
        </w:rPr>
        <w:t xml:space="preserve"> identification of cyclotide </w:t>
      </w:r>
      <w:r>
        <w:rPr>
          <w:rFonts w:eastAsia="Times New Roman" w:cs="Times New Roman"/>
          <w:color w:val="000000"/>
        </w:rPr>
        <w:t>sequences</w:t>
      </w:r>
      <w:r w:rsidRPr="00547FF5">
        <w:rPr>
          <w:rFonts w:eastAsia="Times New Roman" w:cs="Times New Roman"/>
          <w:color w:val="000000"/>
        </w:rPr>
        <w:t xml:space="preserve"> in the </w:t>
      </w:r>
      <w:r w:rsidRPr="00547FF5">
        <w:rPr>
          <w:rFonts w:eastAsia="Times New Roman" w:cs="Times New Roman"/>
          <w:i/>
          <w:color w:val="000000"/>
        </w:rPr>
        <w:t>V. pubescens</w:t>
      </w:r>
      <w:r w:rsidRPr="00547FF5">
        <w:rPr>
          <w:rFonts w:eastAsia="Times New Roman" w:cs="Times New Roman"/>
          <w:color w:val="000000"/>
        </w:rPr>
        <w:t xml:space="preserve"> genome and phylogenetic analysis</w:t>
      </w:r>
      <w:r>
        <w:rPr>
          <w:rFonts w:eastAsia="Times New Roman" w:cs="Times New Roman"/>
          <w:color w:val="000000"/>
        </w:rPr>
        <w:t xml:space="preserve"> through </w:t>
      </w:r>
      <w:proofErr w:type="spellStart"/>
      <w:r>
        <w:rPr>
          <w:rFonts w:eastAsia="Times New Roman" w:cs="Times New Roman"/>
          <w:color w:val="000000"/>
        </w:rPr>
        <w:t>PhyML</w:t>
      </w:r>
      <w:proofErr w:type="spellEnd"/>
      <w:r w:rsidRPr="00547FF5">
        <w:rPr>
          <w:rFonts w:eastAsia="Times New Roman" w:cs="Times New Roman"/>
          <w:color w:val="000000"/>
        </w:rPr>
        <w:t>.</w:t>
      </w:r>
    </w:p>
    <w:tbl>
      <w:tblPr>
        <w:tblStyle w:val="PlainTable1"/>
        <w:tblpPr w:leftFromText="180" w:rightFromText="180" w:vertAnchor="text" w:tblpY="1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2024"/>
        <w:gridCol w:w="4276"/>
        <w:gridCol w:w="1764"/>
      </w:tblGrid>
      <w:tr w:rsidR="00506725" w:rsidRPr="009F299B" w14:paraId="520AA60C" w14:textId="77777777" w:rsidTr="00506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/>
            </w:tcBorders>
            <w:noWrap/>
            <w:hideMark/>
          </w:tcPr>
          <w:p w14:paraId="5BB447DD" w14:textId="77777777" w:rsidR="00506725" w:rsidRPr="004E3B36" w:rsidRDefault="00506725" w:rsidP="00CB04AD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color w:val="000000"/>
                <w:sz w:val="22"/>
              </w:rPr>
              <w:t>Genus</w:t>
            </w:r>
          </w:p>
        </w:tc>
        <w:tc>
          <w:tcPr>
            <w:tcW w:w="2024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E35DEC6" w14:textId="77777777" w:rsidR="00506725" w:rsidRPr="004E3B36" w:rsidRDefault="00506725" w:rsidP="00CB04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color w:val="000000"/>
                <w:sz w:val="22"/>
              </w:rPr>
              <w:t>Species</w:t>
            </w:r>
          </w:p>
        </w:tc>
        <w:tc>
          <w:tcPr>
            <w:tcW w:w="4276" w:type="dxa"/>
            <w:tcBorders>
              <w:top w:val="single" w:sz="12" w:space="0" w:color="000000"/>
              <w:bottom w:val="single" w:sz="12" w:space="0" w:color="000000"/>
            </w:tcBorders>
          </w:tcPr>
          <w:p w14:paraId="63B02493" w14:textId="77777777" w:rsidR="00506725" w:rsidRPr="004E3B36" w:rsidRDefault="00506725" w:rsidP="00CB04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color w:val="000000"/>
                <w:sz w:val="22"/>
              </w:rPr>
              <w:t>GenBank Accessions or Publication</w:t>
            </w:r>
          </w:p>
        </w:tc>
        <w:tc>
          <w:tcPr>
            <w:tcW w:w="1764" w:type="dxa"/>
            <w:tcBorders>
              <w:top w:val="single" w:sz="12" w:space="0" w:color="000000"/>
              <w:bottom w:val="single" w:sz="12" w:space="0" w:color="000000"/>
            </w:tcBorders>
          </w:tcPr>
          <w:p w14:paraId="777802A7" w14:textId="77777777" w:rsidR="00506725" w:rsidRPr="004E3B36" w:rsidRDefault="00506725" w:rsidP="00CB04A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2"/>
              </w:rPr>
            </w:pPr>
            <w:r w:rsidRPr="004E3B36">
              <w:rPr>
                <w:rFonts w:eastAsia="Calibri" w:cs="Times New Roman"/>
                <w:color w:val="000000"/>
                <w:sz w:val="22"/>
              </w:rPr>
              <w:t>Color in Fig. S3</w:t>
            </w:r>
          </w:p>
        </w:tc>
      </w:tr>
      <w:tr w:rsidR="00506725" w:rsidRPr="009F299B" w14:paraId="35258E51" w14:textId="77777777" w:rsidTr="00506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top w:val="single" w:sz="12" w:space="0" w:color="000000"/>
              <w:left w:val="single" w:sz="12" w:space="0" w:color="000000" w:themeColor="text1"/>
            </w:tcBorders>
            <w:noWrap/>
          </w:tcPr>
          <w:p w14:paraId="7D90EB0E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9F299B">
              <w:rPr>
                <w:rFonts w:eastAsia="Calibri" w:cs="Times New Roman"/>
                <w:b w:val="0"/>
                <w:i/>
                <w:sz w:val="22"/>
              </w:rPr>
              <w:t>*</w:t>
            </w: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Chassalia</w:t>
            </w:r>
            <w:proofErr w:type="spellEnd"/>
          </w:p>
        </w:tc>
        <w:tc>
          <w:tcPr>
            <w:tcW w:w="2024" w:type="dxa"/>
            <w:tcBorders>
              <w:top w:val="single" w:sz="12" w:space="0" w:color="000000"/>
            </w:tcBorders>
            <w:noWrap/>
          </w:tcPr>
          <w:p w14:paraId="3B9669FA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chartacea</w:t>
            </w:r>
            <w:proofErr w:type="spellEnd"/>
          </w:p>
        </w:tc>
        <w:tc>
          <w:tcPr>
            <w:tcW w:w="4276" w:type="dxa"/>
            <w:tcBorders>
              <w:top w:val="single" w:sz="12" w:space="0" w:color="000000"/>
            </w:tcBorders>
          </w:tcPr>
          <w:p w14:paraId="146C7942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AFH57352</w:t>
            </w:r>
          </w:p>
        </w:tc>
        <w:tc>
          <w:tcPr>
            <w:tcW w:w="1764" w:type="dxa"/>
            <w:tcBorders>
              <w:top w:val="single" w:sz="12" w:space="0" w:color="000000"/>
            </w:tcBorders>
          </w:tcPr>
          <w:p w14:paraId="20749FDC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Blue</w:t>
            </w:r>
          </w:p>
        </w:tc>
      </w:tr>
      <w:tr w:rsidR="00506725" w:rsidRPr="009F299B" w14:paraId="65DBD177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CD199A1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Gloeospermum</w:t>
            </w:r>
            <w:proofErr w:type="spellEnd"/>
          </w:p>
        </w:tc>
        <w:tc>
          <w:tcPr>
            <w:tcW w:w="2024" w:type="dxa"/>
            <w:noWrap/>
          </w:tcPr>
          <w:p w14:paraId="0FFFBE63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blakeanum</w:t>
            </w:r>
            <w:proofErr w:type="spellEnd"/>
          </w:p>
        </w:tc>
        <w:tc>
          <w:tcPr>
            <w:tcW w:w="4276" w:type="dxa"/>
          </w:tcPr>
          <w:p w14:paraId="61378A0B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ACZ95473, ACZ95474</w:t>
            </w:r>
          </w:p>
        </w:tc>
        <w:tc>
          <w:tcPr>
            <w:tcW w:w="1764" w:type="dxa"/>
          </w:tcPr>
          <w:p w14:paraId="2AB7BD09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Green</w:t>
            </w:r>
          </w:p>
        </w:tc>
      </w:tr>
      <w:tr w:rsidR="00506725" w:rsidRPr="009F299B" w14:paraId="2DDA2E4A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3CFFC235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Gloeospermum</w:t>
            </w:r>
            <w:proofErr w:type="spellEnd"/>
            <w:r w:rsidRPr="004E3B36">
              <w:rPr>
                <w:rFonts w:eastAsia="Calibri" w:cs="Times New Roman"/>
                <w:b w:val="0"/>
                <w:i/>
                <w:sz w:val="22"/>
              </w:rPr>
              <w:t xml:space="preserve"> </w:t>
            </w:r>
          </w:p>
        </w:tc>
        <w:tc>
          <w:tcPr>
            <w:tcW w:w="2024" w:type="dxa"/>
            <w:noWrap/>
          </w:tcPr>
          <w:p w14:paraId="3ACA4E62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pauciflorum</w:t>
            </w:r>
            <w:proofErr w:type="spellEnd"/>
          </w:p>
        </w:tc>
        <w:tc>
          <w:tcPr>
            <w:tcW w:w="4276" w:type="dxa"/>
          </w:tcPr>
          <w:p w14:paraId="7E2DEB5A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Glopa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F and </w:t>
            </w: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Glopa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G in Burman et al. (2015), ACZ95475</w:t>
            </w:r>
          </w:p>
        </w:tc>
        <w:tc>
          <w:tcPr>
            <w:tcW w:w="1764" w:type="dxa"/>
          </w:tcPr>
          <w:p w14:paraId="42AACF29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Green</w:t>
            </w:r>
          </w:p>
        </w:tc>
      </w:tr>
      <w:tr w:rsidR="00506725" w:rsidRPr="009F299B" w14:paraId="144A0A5C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62E90EB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Hybanthus</w:t>
            </w:r>
            <w:proofErr w:type="spellEnd"/>
          </w:p>
        </w:tc>
        <w:tc>
          <w:tcPr>
            <w:tcW w:w="2024" w:type="dxa"/>
            <w:noWrap/>
          </w:tcPr>
          <w:p w14:paraId="637A5E83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denticulatus</w:t>
            </w:r>
            <w:proofErr w:type="spellEnd"/>
          </w:p>
        </w:tc>
        <w:tc>
          <w:tcPr>
            <w:tcW w:w="4276" w:type="dxa"/>
          </w:tcPr>
          <w:p w14:paraId="6888AAF1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Hyde A in Burman et al., 2015</w:t>
            </w:r>
          </w:p>
        </w:tc>
        <w:tc>
          <w:tcPr>
            <w:tcW w:w="1764" w:type="dxa"/>
          </w:tcPr>
          <w:p w14:paraId="5E12DA35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Orange</w:t>
            </w:r>
          </w:p>
        </w:tc>
      </w:tr>
      <w:tr w:rsidR="00506725" w:rsidRPr="009F299B" w14:paraId="054CDA52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77C1C7F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Hybanthus</w:t>
            </w:r>
            <w:proofErr w:type="spellEnd"/>
          </w:p>
        </w:tc>
        <w:tc>
          <w:tcPr>
            <w:tcW w:w="2024" w:type="dxa"/>
            <w:noWrap/>
          </w:tcPr>
          <w:p w14:paraId="6F5E335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floribundus</w:t>
            </w:r>
            <w:proofErr w:type="spellEnd"/>
          </w:p>
        </w:tc>
        <w:tc>
          <w:tcPr>
            <w:tcW w:w="4276" w:type="dxa"/>
          </w:tcPr>
          <w:p w14:paraId="0BE5611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P84647, P84648, P84649</w:t>
            </w:r>
          </w:p>
        </w:tc>
        <w:tc>
          <w:tcPr>
            <w:tcW w:w="1764" w:type="dxa"/>
          </w:tcPr>
          <w:p w14:paraId="79CB3F6B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Orange</w:t>
            </w:r>
          </w:p>
        </w:tc>
      </w:tr>
      <w:tr w:rsidR="00506725" w:rsidRPr="009F299B" w14:paraId="6DFD0849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060255F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Hymenanthera</w:t>
            </w:r>
            <w:proofErr w:type="spellEnd"/>
          </w:p>
        </w:tc>
        <w:tc>
          <w:tcPr>
            <w:tcW w:w="2024" w:type="dxa"/>
            <w:noWrap/>
          </w:tcPr>
          <w:p w14:paraId="3386A672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o</w:t>
            </w:r>
            <w:r>
              <w:rPr>
                <w:rFonts w:eastAsia="Calibri" w:cs="Times New Roman"/>
                <w:i/>
                <w:sz w:val="22"/>
              </w:rPr>
              <w:t>b</w:t>
            </w:r>
            <w:r w:rsidRPr="004E3B36">
              <w:rPr>
                <w:rFonts w:eastAsia="Calibri" w:cs="Times New Roman"/>
                <w:i/>
                <w:sz w:val="22"/>
              </w:rPr>
              <w:t>orata</w:t>
            </w:r>
            <w:proofErr w:type="spellEnd"/>
          </w:p>
        </w:tc>
        <w:tc>
          <w:tcPr>
            <w:tcW w:w="4276" w:type="dxa"/>
          </w:tcPr>
          <w:p w14:paraId="4FAC43D9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Hobo A in Burman et al. (2015)</w:t>
            </w:r>
          </w:p>
        </w:tc>
        <w:tc>
          <w:tcPr>
            <w:tcW w:w="1764" w:type="dxa"/>
          </w:tcPr>
          <w:p w14:paraId="1EB3ACE8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Light green</w:t>
            </w:r>
          </w:p>
        </w:tc>
      </w:tr>
      <w:tr w:rsidR="00506725" w:rsidRPr="009F299B" w14:paraId="60DBB3F8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1F33C7B7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Leonia</w:t>
            </w:r>
          </w:p>
        </w:tc>
        <w:tc>
          <w:tcPr>
            <w:tcW w:w="2024" w:type="dxa"/>
            <w:noWrap/>
          </w:tcPr>
          <w:p w14:paraId="2081803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cymosa</w:t>
            </w:r>
            <w:proofErr w:type="spellEnd"/>
          </w:p>
        </w:tc>
        <w:tc>
          <w:tcPr>
            <w:tcW w:w="4276" w:type="dxa"/>
          </w:tcPr>
          <w:p w14:paraId="232165F3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P84637, P84638, P84639, P84640</w:t>
            </w:r>
          </w:p>
        </w:tc>
        <w:tc>
          <w:tcPr>
            <w:tcW w:w="1764" w:type="dxa"/>
          </w:tcPr>
          <w:p w14:paraId="5350E12F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Pink</w:t>
            </w:r>
          </w:p>
        </w:tc>
      </w:tr>
      <w:tr w:rsidR="00506725" w:rsidRPr="009F299B" w14:paraId="72E9AF16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67942083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Leonia</w:t>
            </w:r>
          </w:p>
        </w:tc>
        <w:tc>
          <w:tcPr>
            <w:tcW w:w="2024" w:type="dxa"/>
            <w:noWrap/>
          </w:tcPr>
          <w:p w14:paraId="38B01F40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triandra</w:t>
            </w:r>
            <w:proofErr w:type="spellEnd"/>
          </w:p>
        </w:tc>
        <w:tc>
          <w:tcPr>
            <w:tcW w:w="4276" w:type="dxa"/>
          </w:tcPr>
          <w:p w14:paraId="57ABB609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C0HKI2</w:t>
            </w:r>
          </w:p>
        </w:tc>
        <w:tc>
          <w:tcPr>
            <w:tcW w:w="1764" w:type="dxa"/>
          </w:tcPr>
          <w:p w14:paraId="717364AA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Pink</w:t>
            </w:r>
          </w:p>
        </w:tc>
      </w:tr>
      <w:tr w:rsidR="00506725" w:rsidRPr="009F299B" w14:paraId="6B9DC3DD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09EEDD66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2BB05604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angustifolius</w:t>
            </w:r>
            <w:proofErr w:type="spellEnd"/>
          </w:p>
        </w:tc>
        <w:tc>
          <w:tcPr>
            <w:tcW w:w="4276" w:type="dxa"/>
          </w:tcPr>
          <w:p w14:paraId="26E0A7A1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C0HKI3</w:t>
            </w:r>
          </w:p>
        </w:tc>
        <w:tc>
          <w:tcPr>
            <w:tcW w:w="1764" w:type="dxa"/>
          </w:tcPr>
          <w:p w14:paraId="138B8C9B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39FB0AC2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1E6FDFE9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44EDB367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chathamicus</w:t>
            </w:r>
            <w:proofErr w:type="spellEnd"/>
          </w:p>
        </w:tc>
        <w:tc>
          <w:tcPr>
            <w:tcW w:w="4276" w:type="dxa"/>
          </w:tcPr>
          <w:p w14:paraId="6E085460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C0HK35, C0HK36, C0HK37, C0HK38, C0HK39, C0HK40, C0HK41</w:t>
            </w:r>
          </w:p>
        </w:tc>
        <w:tc>
          <w:tcPr>
            <w:tcW w:w="1764" w:type="dxa"/>
          </w:tcPr>
          <w:p w14:paraId="5099DE89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7B6DFFD9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6ED877E9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017D11C5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dentatus</w:t>
            </w:r>
            <w:proofErr w:type="spellEnd"/>
          </w:p>
        </w:tc>
        <w:tc>
          <w:tcPr>
            <w:tcW w:w="4276" w:type="dxa"/>
          </w:tcPr>
          <w:p w14:paraId="361F6A3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C0HKJ0, C0HKJ1, C0HKJ2, C0HKJ3, C0HKJ4, C0HKJ5, C0HKJ6, C0HKI4, C0HKI5, C0HKI6, C0HKI7, C0HKI8, C0HKI9</w:t>
            </w:r>
          </w:p>
        </w:tc>
        <w:tc>
          <w:tcPr>
            <w:tcW w:w="1764" w:type="dxa"/>
          </w:tcPr>
          <w:p w14:paraId="6E3B7E6D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049AC0A2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45FD2988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1C2F306F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latifolius</w:t>
            </w:r>
            <w:proofErr w:type="spellEnd"/>
          </w:p>
        </w:tc>
        <w:tc>
          <w:tcPr>
            <w:tcW w:w="4276" w:type="dxa"/>
          </w:tcPr>
          <w:p w14:paraId="5961C69F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C0HK28, C0HK29, C0HK30, C0HK31, C0HK32, C0HK33, C0HK34</w:t>
            </w:r>
          </w:p>
        </w:tc>
        <w:tc>
          <w:tcPr>
            <w:tcW w:w="1764" w:type="dxa"/>
          </w:tcPr>
          <w:p w14:paraId="170DB9BA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502C1860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3FDCB2D6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10C58720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macrophyllus</w:t>
            </w:r>
            <w:proofErr w:type="spellEnd"/>
          </w:p>
        </w:tc>
        <w:tc>
          <w:tcPr>
            <w:tcW w:w="4276" w:type="dxa"/>
          </w:tcPr>
          <w:p w14:paraId="04DD7FC4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Mema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A and </w:t>
            </w: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Mema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B in Burman et al. (2015)</w:t>
            </w:r>
          </w:p>
        </w:tc>
        <w:tc>
          <w:tcPr>
            <w:tcW w:w="1764" w:type="dxa"/>
          </w:tcPr>
          <w:p w14:paraId="407B2AF7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5E475026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46B00220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Melicytus</w:t>
            </w:r>
            <w:proofErr w:type="spellEnd"/>
          </w:p>
        </w:tc>
        <w:tc>
          <w:tcPr>
            <w:tcW w:w="2024" w:type="dxa"/>
            <w:noWrap/>
          </w:tcPr>
          <w:p w14:paraId="694E6B00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obovatus</w:t>
            </w:r>
            <w:proofErr w:type="spellEnd"/>
          </w:p>
        </w:tc>
        <w:tc>
          <w:tcPr>
            <w:tcW w:w="4276" w:type="dxa"/>
          </w:tcPr>
          <w:p w14:paraId="006BD5FE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C0HKJ7, C0HKJ8</w:t>
            </w:r>
          </w:p>
        </w:tc>
        <w:tc>
          <w:tcPr>
            <w:tcW w:w="1764" w:type="dxa"/>
          </w:tcPr>
          <w:p w14:paraId="43FD0F78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Red</w:t>
            </w:r>
          </w:p>
        </w:tc>
      </w:tr>
      <w:tr w:rsidR="00506725" w:rsidRPr="009F299B" w14:paraId="6E89947A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0DABA23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9F299B">
              <w:rPr>
                <w:rFonts w:eastAsia="Calibri" w:cs="Times New Roman"/>
                <w:b w:val="0"/>
                <w:i/>
                <w:sz w:val="22"/>
              </w:rPr>
              <w:t>*</w:t>
            </w: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Oldenlandia</w:t>
            </w:r>
            <w:proofErr w:type="spellEnd"/>
          </w:p>
        </w:tc>
        <w:tc>
          <w:tcPr>
            <w:tcW w:w="2024" w:type="dxa"/>
            <w:noWrap/>
          </w:tcPr>
          <w:p w14:paraId="1223C5FB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affinis</w:t>
            </w:r>
            <w:proofErr w:type="spellEnd"/>
          </w:p>
        </w:tc>
        <w:tc>
          <w:tcPr>
            <w:tcW w:w="4276" w:type="dxa"/>
          </w:tcPr>
          <w:p w14:paraId="016EEC01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ADJ17469</w:t>
            </w:r>
          </w:p>
        </w:tc>
        <w:tc>
          <w:tcPr>
            <w:tcW w:w="1764" w:type="dxa"/>
          </w:tcPr>
          <w:p w14:paraId="17609039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Blue</w:t>
            </w:r>
          </w:p>
        </w:tc>
      </w:tr>
      <w:tr w:rsidR="00506725" w:rsidRPr="009F299B" w14:paraId="46B659E6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F11F363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Orthion</w:t>
            </w:r>
            <w:proofErr w:type="spellEnd"/>
          </w:p>
        </w:tc>
        <w:tc>
          <w:tcPr>
            <w:tcW w:w="2024" w:type="dxa"/>
            <w:noWrap/>
          </w:tcPr>
          <w:p w14:paraId="5EB2DDC7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oblanceolatum</w:t>
            </w:r>
            <w:proofErr w:type="spellEnd"/>
          </w:p>
        </w:tc>
        <w:tc>
          <w:tcPr>
            <w:tcW w:w="4276" w:type="dxa"/>
          </w:tcPr>
          <w:p w14:paraId="0EF2F9B5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Orto A in Burman et al., 2015</w:t>
            </w:r>
          </w:p>
        </w:tc>
        <w:tc>
          <w:tcPr>
            <w:tcW w:w="1764" w:type="dxa"/>
          </w:tcPr>
          <w:p w14:paraId="1A624323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Gray</w:t>
            </w:r>
          </w:p>
        </w:tc>
      </w:tr>
      <w:tr w:rsidR="00506725" w:rsidRPr="009F299B" w14:paraId="733FFB80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5CA3B1A2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9F299B">
              <w:rPr>
                <w:rFonts w:eastAsia="Calibri" w:cs="Times New Roman"/>
                <w:b w:val="0"/>
                <w:i/>
                <w:sz w:val="22"/>
              </w:rPr>
              <w:t>*</w:t>
            </w: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Palicourea</w:t>
            </w:r>
            <w:proofErr w:type="spellEnd"/>
          </w:p>
        </w:tc>
        <w:tc>
          <w:tcPr>
            <w:tcW w:w="2024" w:type="dxa"/>
            <w:noWrap/>
          </w:tcPr>
          <w:p w14:paraId="0EE26EF8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rigida</w:t>
            </w:r>
            <w:proofErr w:type="spellEnd"/>
          </w:p>
        </w:tc>
        <w:tc>
          <w:tcPr>
            <w:tcW w:w="4276" w:type="dxa"/>
          </w:tcPr>
          <w:p w14:paraId="1FC7CEC7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AOG74778</w:t>
            </w:r>
          </w:p>
        </w:tc>
        <w:tc>
          <w:tcPr>
            <w:tcW w:w="1764" w:type="dxa"/>
          </w:tcPr>
          <w:p w14:paraId="4F5461FD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Blue</w:t>
            </w:r>
          </w:p>
        </w:tc>
      </w:tr>
      <w:tr w:rsidR="00506725" w:rsidRPr="009F299B" w14:paraId="74F9C531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8A06079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Rinorea</w:t>
            </w:r>
            <w:proofErr w:type="spellEnd"/>
          </w:p>
        </w:tc>
        <w:tc>
          <w:tcPr>
            <w:tcW w:w="2024" w:type="dxa"/>
            <w:noWrap/>
          </w:tcPr>
          <w:p w14:paraId="3BA1EF47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gracilipes</w:t>
            </w:r>
            <w:proofErr w:type="spellEnd"/>
          </w:p>
        </w:tc>
        <w:tc>
          <w:tcPr>
            <w:tcW w:w="4276" w:type="dxa"/>
          </w:tcPr>
          <w:p w14:paraId="4E65513B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Rigra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A in Burman et al., 2015</w:t>
            </w:r>
          </w:p>
        </w:tc>
        <w:tc>
          <w:tcPr>
            <w:tcW w:w="1764" w:type="dxa"/>
          </w:tcPr>
          <w:p w14:paraId="1FEA277E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Black</w:t>
            </w:r>
          </w:p>
        </w:tc>
      </w:tr>
      <w:tr w:rsidR="00506725" w:rsidRPr="009F299B" w14:paraId="279F3015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D0EE063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b w:val="0"/>
                <w:i/>
                <w:sz w:val="22"/>
              </w:rPr>
              <w:t>Rinorea</w:t>
            </w:r>
            <w:proofErr w:type="spellEnd"/>
          </w:p>
        </w:tc>
        <w:tc>
          <w:tcPr>
            <w:tcW w:w="2024" w:type="dxa"/>
            <w:noWrap/>
          </w:tcPr>
          <w:p w14:paraId="2EC30BE9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lindeniana</w:t>
            </w:r>
            <w:proofErr w:type="spellEnd"/>
          </w:p>
        </w:tc>
        <w:tc>
          <w:tcPr>
            <w:tcW w:w="4276" w:type="dxa"/>
          </w:tcPr>
          <w:p w14:paraId="0BACAA3C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Rili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A and </w:t>
            </w: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Rili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B in Burman et al., 2015</w:t>
            </w:r>
          </w:p>
        </w:tc>
        <w:tc>
          <w:tcPr>
            <w:tcW w:w="1764" w:type="dxa"/>
          </w:tcPr>
          <w:p w14:paraId="7A0B894C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Black</w:t>
            </w:r>
          </w:p>
        </w:tc>
      </w:tr>
      <w:tr w:rsidR="00506725" w:rsidRPr="009F299B" w14:paraId="69CCD77D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10458B1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3ECB4795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arvensis</w:t>
            </w:r>
          </w:p>
        </w:tc>
        <w:tc>
          <w:tcPr>
            <w:tcW w:w="4276" w:type="dxa"/>
          </w:tcPr>
          <w:p w14:paraId="1785EB55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P0C589, P58446, P58447, P58448, P58449, P58451, P58452, P58453, P83835, P83840</w:t>
            </w:r>
          </w:p>
        </w:tc>
        <w:tc>
          <w:tcPr>
            <w:tcW w:w="1764" w:type="dxa"/>
          </w:tcPr>
          <w:p w14:paraId="07A1EB4F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64E39BA2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273D38A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60873C02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biflora</w:t>
            </w:r>
            <w:proofErr w:type="spellEnd"/>
          </w:p>
        </w:tc>
        <w:tc>
          <w:tcPr>
            <w:tcW w:w="4276" w:type="dxa"/>
          </w:tcPr>
          <w:p w14:paraId="3F1601B4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ACZ95469, ACZ95470, ACZ95471, ACZ95472, B1NRQ8, B1NRQ9, B1NRR0, B1NRR1, B1NRR3, P85239, P85240, P85241, P85242, P85244, P85245, P85246, P85525, P85526</w:t>
            </w:r>
          </w:p>
        </w:tc>
        <w:tc>
          <w:tcPr>
            <w:tcW w:w="1764" w:type="dxa"/>
          </w:tcPr>
          <w:p w14:paraId="4A4C1C39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087644C5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0AD68965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lastRenderedPageBreak/>
              <w:t>Viola</w:t>
            </w:r>
          </w:p>
        </w:tc>
        <w:tc>
          <w:tcPr>
            <w:tcW w:w="2024" w:type="dxa"/>
            <w:noWrap/>
          </w:tcPr>
          <w:p w14:paraId="63619E9D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cotyledon</w:t>
            </w:r>
          </w:p>
        </w:tc>
        <w:tc>
          <w:tcPr>
            <w:tcW w:w="4276" w:type="dxa"/>
          </w:tcPr>
          <w:p w14:paraId="330ECC58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P84635, P84636</w:t>
            </w:r>
          </w:p>
        </w:tc>
        <w:tc>
          <w:tcPr>
            <w:tcW w:w="1764" w:type="dxa"/>
          </w:tcPr>
          <w:p w14:paraId="59C2279B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5100CD0A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3C38FCC7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71463582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decumbens</w:t>
            </w:r>
            <w:proofErr w:type="spellEnd"/>
          </w:p>
        </w:tc>
        <w:tc>
          <w:tcPr>
            <w:tcW w:w="4276" w:type="dxa"/>
          </w:tcPr>
          <w:p w14:paraId="2D7FA68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Vide A in Burman et al., 2015</w:t>
            </w:r>
          </w:p>
        </w:tc>
        <w:tc>
          <w:tcPr>
            <w:tcW w:w="1764" w:type="dxa"/>
          </w:tcPr>
          <w:p w14:paraId="15253F79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32C4170A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6C6C86F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33040EF6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hederacea</w:t>
            </w:r>
          </w:p>
        </w:tc>
        <w:tc>
          <w:tcPr>
            <w:tcW w:w="4276" w:type="dxa"/>
          </w:tcPr>
          <w:p w14:paraId="3DBEB588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P58433, P85232, P85233, P85234</w:t>
            </w:r>
          </w:p>
        </w:tc>
        <w:tc>
          <w:tcPr>
            <w:tcW w:w="1764" w:type="dxa"/>
          </w:tcPr>
          <w:p w14:paraId="5846E4CB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3C10EA0E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27B4A590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5840515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inconspicua</w:t>
            </w:r>
            <w:proofErr w:type="spellEnd"/>
          </w:p>
        </w:tc>
        <w:tc>
          <w:tcPr>
            <w:tcW w:w="4276" w:type="dxa"/>
          </w:tcPr>
          <w:p w14:paraId="367E44A3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C0HKK1, C0HKK2</w:t>
            </w:r>
          </w:p>
        </w:tc>
        <w:tc>
          <w:tcPr>
            <w:tcW w:w="1764" w:type="dxa"/>
          </w:tcPr>
          <w:p w14:paraId="251BF19D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66262CEE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6FEFE2A4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60D69953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nivalis</w:t>
            </w:r>
            <w:proofErr w:type="spellEnd"/>
          </w:p>
        </w:tc>
        <w:tc>
          <w:tcPr>
            <w:tcW w:w="4276" w:type="dxa"/>
          </w:tcPr>
          <w:p w14:paraId="23C4E6C9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proofErr w:type="spellStart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Vini</w:t>
            </w:r>
            <w:proofErr w:type="spellEnd"/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A in Burman et al. (2015)</w:t>
            </w:r>
          </w:p>
        </w:tc>
        <w:tc>
          <w:tcPr>
            <w:tcW w:w="1764" w:type="dxa"/>
          </w:tcPr>
          <w:p w14:paraId="53D67A7F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35451A3F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61969BA6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69DE0C70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proofErr w:type="spellStart"/>
            <w:r w:rsidRPr="004E3B36">
              <w:rPr>
                <w:rFonts w:eastAsia="Calibri" w:cs="Times New Roman"/>
                <w:i/>
                <w:sz w:val="22"/>
              </w:rPr>
              <w:t>odorata</w:t>
            </w:r>
            <w:proofErr w:type="spellEnd"/>
          </w:p>
        </w:tc>
        <w:tc>
          <w:tcPr>
            <w:tcW w:w="4276" w:type="dxa"/>
          </w:tcPr>
          <w:p w14:paraId="06901C6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1DF6_A, 1NBJ_A, ACI29316, P58434, P58435, P58436, P58437, P58438, P58439, P58440, P58441, P58442, P58443, P82230, P83836, P83838, P83839, P85177, P85178, P85179, P85180, P85181, P85182, P85183, P85184, P85185, P85186, P85187, P85188, Q2HY54, Q5USN8</w:t>
            </w:r>
          </w:p>
        </w:tc>
        <w:tc>
          <w:tcPr>
            <w:tcW w:w="1764" w:type="dxa"/>
          </w:tcPr>
          <w:p w14:paraId="619F3F1D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333D1BAC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370CAD24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7C5B1823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pubescens</w:t>
            </w:r>
          </w:p>
        </w:tc>
        <w:tc>
          <w:tcPr>
            <w:tcW w:w="4276" w:type="dxa"/>
          </w:tcPr>
          <w:p w14:paraId="4DBA03A8" w14:textId="458226CB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 xml:space="preserve">Gene IDs </w:t>
            </w:r>
            <w:r w:rsidR="00021E3D">
              <w:rPr>
                <w:rFonts w:eastAsia="Calibri" w:cs="Times New Roman"/>
                <w:iCs/>
                <w:color w:val="000000"/>
                <w:sz w:val="22"/>
              </w:rPr>
              <w:t xml:space="preserve">and expression data </w:t>
            </w:r>
            <w:r w:rsidRPr="004E3B36">
              <w:rPr>
                <w:rFonts w:eastAsia="Calibri" w:cs="Times New Roman"/>
                <w:iCs/>
                <w:color w:val="000000"/>
                <w:sz w:val="22"/>
              </w:rPr>
              <w:t xml:space="preserve">are listed in </w:t>
            </w:r>
            <w:r w:rsidR="003E687D">
              <w:rPr>
                <w:rFonts w:eastAsia="Calibri" w:cs="Times New Roman"/>
                <w:iCs/>
                <w:color w:val="000000"/>
                <w:sz w:val="22"/>
              </w:rPr>
              <w:t>Supplementary Data Sheet 2</w:t>
            </w:r>
          </w:p>
        </w:tc>
        <w:tc>
          <w:tcPr>
            <w:tcW w:w="1764" w:type="dxa"/>
          </w:tcPr>
          <w:p w14:paraId="742B1121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Purple</w:t>
            </w:r>
          </w:p>
        </w:tc>
      </w:tr>
      <w:tr w:rsidR="00506725" w:rsidRPr="009F299B" w14:paraId="096188C5" w14:textId="77777777" w:rsidTr="00CB0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4A5B528D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2C7AC67D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sp. WO2005118628</w:t>
            </w:r>
          </w:p>
        </w:tc>
        <w:tc>
          <w:tcPr>
            <w:tcW w:w="4276" w:type="dxa"/>
          </w:tcPr>
          <w:p w14:paraId="7D1D6606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CAJ56194, CAJ56226</w:t>
            </w:r>
          </w:p>
        </w:tc>
        <w:tc>
          <w:tcPr>
            <w:tcW w:w="1764" w:type="dxa"/>
          </w:tcPr>
          <w:p w14:paraId="6BDFF25B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2228ECF3" w14:textId="77777777" w:rsidTr="00CB04AD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</w:tcBorders>
            <w:noWrap/>
          </w:tcPr>
          <w:p w14:paraId="7DC89CD8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noWrap/>
          </w:tcPr>
          <w:p w14:paraId="1435FBEA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sp. WO2006041917</w:t>
            </w:r>
          </w:p>
        </w:tc>
        <w:tc>
          <w:tcPr>
            <w:tcW w:w="4276" w:type="dxa"/>
          </w:tcPr>
          <w:p w14:paraId="760DF3C8" w14:textId="77777777" w:rsidR="00506725" w:rsidRPr="004E3B36" w:rsidRDefault="00506725" w:rsidP="00CB04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CAN08378</w:t>
            </w:r>
          </w:p>
        </w:tc>
        <w:tc>
          <w:tcPr>
            <w:tcW w:w="1764" w:type="dxa"/>
          </w:tcPr>
          <w:p w14:paraId="104E2D34" w14:textId="77777777" w:rsidR="00506725" w:rsidRPr="004E3B36" w:rsidRDefault="00506725" w:rsidP="00CB04A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9F299B" w14:paraId="2E43A416" w14:textId="77777777" w:rsidTr="00506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  <w:tcBorders>
              <w:left w:val="single" w:sz="12" w:space="0" w:color="000000" w:themeColor="text1"/>
              <w:bottom w:val="single" w:sz="12" w:space="0" w:color="000000"/>
            </w:tcBorders>
            <w:noWrap/>
          </w:tcPr>
          <w:p w14:paraId="1716DD94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b w:val="0"/>
                <w:i/>
                <w:sz w:val="22"/>
              </w:rPr>
            </w:pPr>
            <w:r w:rsidRPr="004E3B36">
              <w:rPr>
                <w:rFonts w:eastAsia="Calibri" w:cs="Times New Roman"/>
                <w:b w:val="0"/>
                <w:i/>
                <w:sz w:val="22"/>
              </w:rPr>
              <w:t>Viola</w:t>
            </w:r>
          </w:p>
        </w:tc>
        <w:tc>
          <w:tcPr>
            <w:tcW w:w="2024" w:type="dxa"/>
            <w:tcBorders>
              <w:bottom w:val="single" w:sz="12" w:space="0" w:color="000000"/>
            </w:tcBorders>
            <w:noWrap/>
          </w:tcPr>
          <w:p w14:paraId="633F2C30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2"/>
              </w:rPr>
            </w:pPr>
            <w:r w:rsidRPr="004E3B36">
              <w:rPr>
                <w:rFonts w:eastAsia="Calibri" w:cs="Times New Roman"/>
                <w:i/>
                <w:sz w:val="22"/>
              </w:rPr>
              <w:t>tricolor</w:t>
            </w:r>
          </w:p>
        </w:tc>
        <w:tc>
          <w:tcPr>
            <w:tcW w:w="4276" w:type="dxa"/>
            <w:tcBorders>
              <w:bottom w:val="single" w:sz="12" w:space="0" w:color="000000"/>
            </w:tcBorders>
          </w:tcPr>
          <w:p w14:paraId="098F1AD6" w14:textId="77777777" w:rsidR="00506725" w:rsidRPr="004E3B36" w:rsidRDefault="00506725" w:rsidP="00CB04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color w:val="000000"/>
                <w:sz w:val="22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AJR10105</w:t>
            </w:r>
            <w:r w:rsidRPr="004E3B36">
              <w:rPr>
                <w:rFonts w:eastAsia="Calibri" w:cs="Times New Roman"/>
                <w:iCs/>
                <w:color w:val="000000"/>
                <w:sz w:val="22"/>
              </w:rPr>
              <w:t xml:space="preserve">, </w:t>
            </w: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>ALI30820, ALI30821, ALI30822, ALI30823, ALI30827, ALI30828, ALI30830</w:t>
            </w:r>
          </w:p>
        </w:tc>
        <w:tc>
          <w:tcPr>
            <w:tcW w:w="1764" w:type="dxa"/>
            <w:tcBorders>
              <w:bottom w:val="single" w:sz="8" w:space="0" w:color="808080"/>
            </w:tcBorders>
          </w:tcPr>
          <w:p w14:paraId="52053EB6" w14:textId="77777777" w:rsidR="00506725" w:rsidRPr="004E3B36" w:rsidRDefault="00506725" w:rsidP="00CB04A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Cs/>
                <w:color w:val="000000"/>
                <w:sz w:val="22"/>
              </w:rPr>
            </w:pPr>
            <w:r w:rsidRPr="004E3B36">
              <w:rPr>
                <w:rFonts w:eastAsia="Calibri" w:cs="Times New Roman"/>
                <w:iCs/>
                <w:color w:val="000000"/>
                <w:sz w:val="22"/>
              </w:rPr>
              <w:t>Brown</w:t>
            </w:r>
          </w:p>
        </w:tc>
      </w:tr>
      <w:tr w:rsidR="00506725" w:rsidRPr="004E3B36" w14:paraId="706263F8" w14:textId="77777777" w:rsidTr="005067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single" w:sz="12" w:space="0" w:color="000000"/>
              <w:left w:val="single" w:sz="12" w:space="0" w:color="000000" w:themeColor="text1"/>
            </w:tcBorders>
            <w:noWrap/>
          </w:tcPr>
          <w:p w14:paraId="73FA9CE8" w14:textId="77777777" w:rsidR="00506725" w:rsidRPr="004E3B36" w:rsidRDefault="00506725" w:rsidP="00CB04AD">
            <w:pPr>
              <w:spacing w:before="0" w:after="0"/>
              <w:rPr>
                <w:rFonts w:eastAsia="Calibri" w:cs="Times New Roman"/>
                <w:iCs/>
                <w:color w:val="000000"/>
                <w:sz w:val="22"/>
                <w:vertAlign w:val="superscript"/>
              </w:rPr>
            </w:pPr>
            <w:r w:rsidRPr="004E3B36">
              <w:rPr>
                <w:rFonts w:eastAsia="Times New Roman" w:cs="Times New Roman"/>
                <w:iCs/>
                <w:color w:val="000000"/>
                <w:sz w:val="22"/>
                <w:vertAlign w:val="superscript"/>
              </w:rPr>
              <w:t>*</w:t>
            </w:r>
            <w:r w:rsidRPr="004E3B36">
              <w:rPr>
                <w:rFonts w:eastAsia="Times New Roman" w:cs="Times New Roman"/>
                <w:iCs/>
                <w:color w:val="000000"/>
                <w:sz w:val="22"/>
              </w:rPr>
              <w:t xml:space="preserve"> </w:t>
            </w:r>
            <w:r w:rsidRPr="004E3B36">
              <w:rPr>
                <w:rFonts w:eastAsia="Times New Roman" w:cs="Times New Roman"/>
                <w:b w:val="0"/>
                <w:iCs/>
                <w:color w:val="000000"/>
                <w:sz w:val="22"/>
              </w:rPr>
              <w:t>denote Rubiaceae species used as outgroups in phylogenetic analyses</w:t>
            </w:r>
          </w:p>
        </w:tc>
      </w:tr>
    </w:tbl>
    <w:p w14:paraId="6A451CC9" w14:textId="77777777" w:rsidR="00506725" w:rsidRPr="009F299B" w:rsidRDefault="00506725" w:rsidP="00DA0451">
      <w:pPr>
        <w:rPr>
          <w:rFonts w:eastAsia="Times New Roman" w:cs="Times New Roman"/>
          <w:color w:val="000000"/>
        </w:rPr>
      </w:pPr>
    </w:p>
    <w:p w14:paraId="0712A872" w14:textId="77777777" w:rsidR="005B1B83" w:rsidRDefault="005B1B83" w:rsidP="005B1B83">
      <w:pPr>
        <w:pStyle w:val="Heading3"/>
        <w:rPr>
          <w:rFonts w:eastAsia="Times New Roman"/>
        </w:rPr>
      </w:pPr>
      <w:r>
        <w:rPr>
          <w:rFonts w:eastAsia="Times New Roman"/>
        </w:rPr>
        <w:t>Table S4</w:t>
      </w:r>
    </w:p>
    <w:p w14:paraId="71D4DDDA" w14:textId="7E1C6703" w:rsidR="005B1B83" w:rsidRDefault="005B1B83" w:rsidP="005B1B83">
      <w:r>
        <w:t xml:space="preserve">Table S4. </w:t>
      </w:r>
      <w:proofErr w:type="spellStart"/>
      <w:r>
        <w:t>ABySS</w:t>
      </w:r>
      <w:proofErr w:type="spellEnd"/>
      <w:r>
        <w:t xml:space="preserve"> output comparing </w:t>
      </w:r>
      <w:r w:rsidR="00867E3E" w:rsidRPr="00867E3E">
        <w:rPr>
          <w:i/>
        </w:rPr>
        <w:t xml:space="preserve">V. pubescens </w:t>
      </w:r>
      <w:r w:rsidR="00867E3E">
        <w:t xml:space="preserve">genome </w:t>
      </w:r>
      <w:r>
        <w:t>assemblies comprised of all four sequenced libraries vs. only two superior libraries</w:t>
      </w:r>
      <w:r w:rsidR="00867E3E">
        <w:t xml:space="preserve"> that passed </w:t>
      </w:r>
      <w:proofErr w:type="spellStart"/>
      <w:r w:rsidR="00867E3E">
        <w:t>FastQC</w:t>
      </w:r>
      <w:proofErr w:type="spellEnd"/>
      <w:r w:rsidR="00867E3E">
        <w:t>. K-</w:t>
      </w:r>
      <w:proofErr w:type="spellStart"/>
      <w:r w:rsidR="00867E3E">
        <w:t>mer</w:t>
      </w:r>
      <w:proofErr w:type="spellEnd"/>
      <w:r w:rsidR="00867E3E">
        <w:t xml:space="preserve"> sizes</w:t>
      </w:r>
      <w:r>
        <w:t xml:space="preserve"> 69, 79, and 89</w:t>
      </w:r>
      <w:r w:rsidR="00867E3E">
        <w:t xml:space="preserve"> were tested, and a k-</w:t>
      </w:r>
      <w:proofErr w:type="spellStart"/>
      <w:r w:rsidR="00867E3E">
        <w:t>mer</w:t>
      </w:r>
      <w:proofErr w:type="spellEnd"/>
      <w:r w:rsidR="00867E3E">
        <w:t xml:space="preserve"> of 79 was selected for the final assembly</w:t>
      </w:r>
      <w:r>
        <w:t>.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1464"/>
        <w:gridCol w:w="1316"/>
        <w:gridCol w:w="1316"/>
        <w:gridCol w:w="1316"/>
        <w:gridCol w:w="1316"/>
        <w:gridCol w:w="1316"/>
        <w:gridCol w:w="1316"/>
      </w:tblGrid>
      <w:tr w:rsidR="005B1B83" w:rsidRPr="00C212D9" w14:paraId="06968992" w14:textId="77777777" w:rsidTr="00170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FD621" w14:textId="77777777" w:rsidR="005B1B83" w:rsidRPr="00C212D9" w:rsidRDefault="005B1B83" w:rsidP="00170821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948" w:type="dxa"/>
            <w:gridSpan w:val="3"/>
            <w:tcBorders>
              <w:top w:val="nil"/>
              <w:left w:val="nil"/>
              <w:right w:val="nil"/>
            </w:tcBorders>
          </w:tcPr>
          <w:p w14:paraId="27D6730D" w14:textId="77777777" w:rsidR="005B1B83" w:rsidRPr="00C212D9" w:rsidRDefault="005B1B83" w:rsidP="0017082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All Four Libraries</w:t>
            </w:r>
            <w:r>
              <w:rPr>
                <w:rFonts w:eastAsia="Calibri" w:cs="Times New Roman"/>
                <w:sz w:val="22"/>
              </w:rPr>
              <w:t xml:space="preserve"> (&gt;500 bp)</w:t>
            </w:r>
          </w:p>
        </w:tc>
        <w:tc>
          <w:tcPr>
            <w:tcW w:w="3948" w:type="dxa"/>
            <w:gridSpan w:val="3"/>
            <w:tcBorders>
              <w:top w:val="nil"/>
              <w:left w:val="nil"/>
              <w:right w:val="nil"/>
            </w:tcBorders>
          </w:tcPr>
          <w:p w14:paraId="69088300" w14:textId="77777777" w:rsidR="005B1B83" w:rsidRPr="00C212D9" w:rsidRDefault="005B1B83" w:rsidP="0017082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Two Libraries</w:t>
            </w:r>
            <w:r>
              <w:rPr>
                <w:rFonts w:eastAsia="Calibri" w:cs="Times New Roman"/>
                <w:sz w:val="22"/>
              </w:rPr>
              <w:t xml:space="preserve"> (&gt;500 bp)</w:t>
            </w:r>
          </w:p>
        </w:tc>
      </w:tr>
      <w:tr w:rsidR="005B1B83" w:rsidRPr="00C212D9" w14:paraId="2D5C5CED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tcBorders>
              <w:top w:val="nil"/>
              <w:left w:val="nil"/>
            </w:tcBorders>
            <w:shd w:val="clear" w:color="auto" w:fill="auto"/>
          </w:tcPr>
          <w:p w14:paraId="58284F19" w14:textId="77777777" w:rsidR="005B1B83" w:rsidRPr="00C212D9" w:rsidRDefault="005B1B83" w:rsidP="00170821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16" w:type="dxa"/>
          </w:tcPr>
          <w:p w14:paraId="1D6F609B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k69</w:t>
            </w:r>
          </w:p>
        </w:tc>
        <w:tc>
          <w:tcPr>
            <w:tcW w:w="1316" w:type="dxa"/>
          </w:tcPr>
          <w:p w14:paraId="54D9CAB6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k79</w:t>
            </w:r>
          </w:p>
        </w:tc>
        <w:tc>
          <w:tcPr>
            <w:tcW w:w="1316" w:type="dxa"/>
          </w:tcPr>
          <w:p w14:paraId="42428EFE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k89</w:t>
            </w:r>
          </w:p>
        </w:tc>
        <w:tc>
          <w:tcPr>
            <w:tcW w:w="1316" w:type="dxa"/>
          </w:tcPr>
          <w:p w14:paraId="0E748F2D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k69</w:t>
            </w:r>
          </w:p>
        </w:tc>
        <w:tc>
          <w:tcPr>
            <w:tcW w:w="1316" w:type="dxa"/>
            <w:shd w:val="clear" w:color="auto" w:fill="AEAAAA"/>
          </w:tcPr>
          <w:p w14:paraId="28A57037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k79</w:t>
            </w:r>
          </w:p>
        </w:tc>
        <w:tc>
          <w:tcPr>
            <w:tcW w:w="1316" w:type="dxa"/>
          </w:tcPr>
          <w:p w14:paraId="6DCEB0AA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r w:rsidRPr="00C212D9">
              <w:rPr>
                <w:rFonts w:eastAsia="Calibri" w:cs="Times New Roman"/>
                <w:b/>
                <w:sz w:val="22"/>
              </w:rPr>
              <w:t>k89</w:t>
            </w:r>
          </w:p>
        </w:tc>
      </w:tr>
      <w:tr w:rsidR="005B1B83" w:rsidRPr="00C212D9" w14:paraId="519B14A4" w14:textId="77777777" w:rsidTr="00170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4B65AA9E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# of scaffolds</w:t>
            </w:r>
          </w:p>
        </w:tc>
        <w:tc>
          <w:tcPr>
            <w:tcW w:w="1316" w:type="dxa"/>
          </w:tcPr>
          <w:p w14:paraId="164F43EC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146,872</w:t>
            </w:r>
          </w:p>
        </w:tc>
        <w:tc>
          <w:tcPr>
            <w:tcW w:w="1316" w:type="dxa"/>
          </w:tcPr>
          <w:p w14:paraId="79ED6403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163,177</w:t>
            </w:r>
          </w:p>
        </w:tc>
        <w:tc>
          <w:tcPr>
            <w:tcW w:w="1316" w:type="dxa"/>
          </w:tcPr>
          <w:p w14:paraId="2322B889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168,108</w:t>
            </w:r>
          </w:p>
        </w:tc>
        <w:tc>
          <w:tcPr>
            <w:tcW w:w="1316" w:type="dxa"/>
          </w:tcPr>
          <w:p w14:paraId="060E138D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143,732</w:t>
            </w:r>
          </w:p>
        </w:tc>
        <w:tc>
          <w:tcPr>
            <w:tcW w:w="1316" w:type="dxa"/>
            <w:shd w:val="clear" w:color="auto" w:fill="AEAAAA"/>
          </w:tcPr>
          <w:p w14:paraId="6510A90A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157,722</w:t>
            </w:r>
          </w:p>
        </w:tc>
        <w:tc>
          <w:tcPr>
            <w:tcW w:w="1316" w:type="dxa"/>
          </w:tcPr>
          <w:p w14:paraId="4B31D3E7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163,792</w:t>
            </w:r>
          </w:p>
        </w:tc>
      </w:tr>
      <w:tr w:rsidR="005B1B83" w:rsidRPr="00C212D9" w14:paraId="79019DB9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4573BB9B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Total size of scaffolds (bp)</w:t>
            </w:r>
          </w:p>
        </w:tc>
        <w:tc>
          <w:tcPr>
            <w:tcW w:w="1316" w:type="dxa"/>
          </w:tcPr>
          <w:p w14:paraId="03F115F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268,989,943</w:t>
            </w:r>
          </w:p>
        </w:tc>
        <w:tc>
          <w:tcPr>
            <w:tcW w:w="1316" w:type="dxa"/>
          </w:tcPr>
          <w:p w14:paraId="52E41A04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314,048,987</w:t>
            </w:r>
          </w:p>
        </w:tc>
        <w:tc>
          <w:tcPr>
            <w:tcW w:w="1316" w:type="dxa"/>
          </w:tcPr>
          <w:p w14:paraId="13C6E64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346,081,115</w:t>
            </w:r>
          </w:p>
        </w:tc>
        <w:tc>
          <w:tcPr>
            <w:tcW w:w="1316" w:type="dxa"/>
          </w:tcPr>
          <w:p w14:paraId="507C9E3C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273,924,499</w:t>
            </w:r>
          </w:p>
        </w:tc>
        <w:tc>
          <w:tcPr>
            <w:tcW w:w="1316" w:type="dxa"/>
            <w:shd w:val="clear" w:color="auto" w:fill="AEAAAA"/>
          </w:tcPr>
          <w:p w14:paraId="57CF5457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318,370,682</w:t>
            </w:r>
          </w:p>
        </w:tc>
        <w:tc>
          <w:tcPr>
            <w:tcW w:w="1316" w:type="dxa"/>
          </w:tcPr>
          <w:p w14:paraId="47E360B3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312,927,578</w:t>
            </w:r>
          </w:p>
        </w:tc>
      </w:tr>
      <w:tr w:rsidR="005B1B83" w:rsidRPr="00C212D9" w14:paraId="16C864B6" w14:textId="77777777" w:rsidTr="00170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4E0CB539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Longest scaffold (bp)</w:t>
            </w:r>
          </w:p>
        </w:tc>
        <w:tc>
          <w:tcPr>
            <w:tcW w:w="1316" w:type="dxa"/>
          </w:tcPr>
          <w:p w14:paraId="58911EA7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58,077</w:t>
            </w:r>
          </w:p>
        </w:tc>
        <w:tc>
          <w:tcPr>
            <w:tcW w:w="1316" w:type="dxa"/>
          </w:tcPr>
          <w:p w14:paraId="5251C96E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66,219</w:t>
            </w:r>
          </w:p>
        </w:tc>
        <w:tc>
          <w:tcPr>
            <w:tcW w:w="1316" w:type="dxa"/>
          </w:tcPr>
          <w:p w14:paraId="26A955DB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66,239</w:t>
            </w:r>
          </w:p>
        </w:tc>
        <w:tc>
          <w:tcPr>
            <w:tcW w:w="1316" w:type="dxa"/>
          </w:tcPr>
          <w:p w14:paraId="494F84AE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72,290</w:t>
            </w:r>
          </w:p>
        </w:tc>
        <w:tc>
          <w:tcPr>
            <w:tcW w:w="1316" w:type="dxa"/>
            <w:shd w:val="clear" w:color="auto" w:fill="AEAAAA"/>
          </w:tcPr>
          <w:p w14:paraId="0AA1E40D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86,685</w:t>
            </w:r>
          </w:p>
        </w:tc>
        <w:tc>
          <w:tcPr>
            <w:tcW w:w="1316" w:type="dxa"/>
          </w:tcPr>
          <w:p w14:paraId="7FB67C38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61,315</w:t>
            </w:r>
          </w:p>
        </w:tc>
      </w:tr>
      <w:tr w:rsidR="005B1B83" w:rsidRPr="00C212D9" w14:paraId="37758557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20CC510B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Number of scaffolds &gt;1kb</w:t>
            </w:r>
          </w:p>
        </w:tc>
        <w:tc>
          <w:tcPr>
            <w:tcW w:w="1316" w:type="dxa"/>
          </w:tcPr>
          <w:p w14:paraId="594DCBF1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71,091</w:t>
            </w:r>
          </w:p>
        </w:tc>
        <w:tc>
          <w:tcPr>
            <w:tcW w:w="1316" w:type="dxa"/>
          </w:tcPr>
          <w:p w14:paraId="1895B831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81,676</w:t>
            </w:r>
          </w:p>
        </w:tc>
        <w:tc>
          <w:tcPr>
            <w:tcW w:w="1316" w:type="dxa"/>
          </w:tcPr>
          <w:p w14:paraId="42C7E8E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89,402</w:t>
            </w:r>
          </w:p>
        </w:tc>
        <w:tc>
          <w:tcPr>
            <w:tcW w:w="1316" w:type="dxa"/>
          </w:tcPr>
          <w:p w14:paraId="0A3E82C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70,814</w:t>
            </w:r>
          </w:p>
        </w:tc>
        <w:tc>
          <w:tcPr>
            <w:tcW w:w="1316" w:type="dxa"/>
            <w:shd w:val="clear" w:color="auto" w:fill="AEAAAA"/>
          </w:tcPr>
          <w:p w14:paraId="1B2B706C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80,885</w:t>
            </w:r>
          </w:p>
        </w:tc>
        <w:tc>
          <w:tcPr>
            <w:tcW w:w="1316" w:type="dxa"/>
          </w:tcPr>
          <w:p w14:paraId="6C84A331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87,740</w:t>
            </w:r>
          </w:p>
        </w:tc>
      </w:tr>
      <w:tr w:rsidR="005B1B83" w:rsidRPr="00C212D9" w14:paraId="254B19FB" w14:textId="77777777" w:rsidTr="00170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32891BDF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Number of scaffolds &gt; 10kb</w:t>
            </w:r>
          </w:p>
        </w:tc>
        <w:tc>
          <w:tcPr>
            <w:tcW w:w="1316" w:type="dxa"/>
          </w:tcPr>
          <w:p w14:paraId="50FEF581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2,810</w:t>
            </w:r>
          </w:p>
        </w:tc>
        <w:tc>
          <w:tcPr>
            <w:tcW w:w="1316" w:type="dxa"/>
          </w:tcPr>
          <w:p w14:paraId="601D383E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3,555</w:t>
            </w:r>
          </w:p>
        </w:tc>
        <w:tc>
          <w:tcPr>
            <w:tcW w:w="1316" w:type="dxa"/>
          </w:tcPr>
          <w:p w14:paraId="5C038F51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4,195</w:t>
            </w:r>
          </w:p>
        </w:tc>
        <w:tc>
          <w:tcPr>
            <w:tcW w:w="1316" w:type="dxa"/>
          </w:tcPr>
          <w:p w14:paraId="0F9E0CBE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3,201</w:t>
            </w:r>
          </w:p>
        </w:tc>
        <w:tc>
          <w:tcPr>
            <w:tcW w:w="1316" w:type="dxa"/>
            <w:shd w:val="clear" w:color="auto" w:fill="AEAAAA"/>
          </w:tcPr>
          <w:p w14:paraId="3D5B813B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3,992</w:t>
            </w:r>
          </w:p>
        </w:tc>
        <w:tc>
          <w:tcPr>
            <w:tcW w:w="1316" w:type="dxa"/>
          </w:tcPr>
          <w:p w14:paraId="7A7994B7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2,956</w:t>
            </w:r>
          </w:p>
        </w:tc>
      </w:tr>
      <w:tr w:rsidR="005B1B83" w:rsidRPr="00C212D9" w14:paraId="1B50CD8F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4D30826E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Number of scaffolds &gt; 100kb</w:t>
            </w:r>
          </w:p>
        </w:tc>
        <w:tc>
          <w:tcPr>
            <w:tcW w:w="1316" w:type="dxa"/>
          </w:tcPr>
          <w:p w14:paraId="5908A467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1316" w:type="dxa"/>
          </w:tcPr>
          <w:p w14:paraId="3B97F99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1316" w:type="dxa"/>
          </w:tcPr>
          <w:p w14:paraId="504E8DC3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1316" w:type="dxa"/>
          </w:tcPr>
          <w:p w14:paraId="70A15A5D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1316" w:type="dxa"/>
            <w:shd w:val="clear" w:color="auto" w:fill="AEAAAA"/>
          </w:tcPr>
          <w:p w14:paraId="79148A88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1316" w:type="dxa"/>
          </w:tcPr>
          <w:p w14:paraId="24138136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</w:t>
            </w:r>
          </w:p>
        </w:tc>
      </w:tr>
      <w:tr w:rsidR="005B1B83" w:rsidRPr="00C212D9" w14:paraId="1AADDEA3" w14:textId="77777777" w:rsidTr="00972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05EAB1BB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N50 length (bp)</w:t>
            </w:r>
          </w:p>
        </w:tc>
        <w:tc>
          <w:tcPr>
            <w:tcW w:w="1316" w:type="dxa"/>
          </w:tcPr>
          <w:p w14:paraId="17B1110D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2,971</w:t>
            </w:r>
          </w:p>
        </w:tc>
        <w:tc>
          <w:tcPr>
            <w:tcW w:w="1316" w:type="dxa"/>
          </w:tcPr>
          <w:p w14:paraId="7EE7E973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3,209</w:t>
            </w:r>
          </w:p>
        </w:tc>
        <w:tc>
          <w:tcPr>
            <w:tcW w:w="1316" w:type="dxa"/>
          </w:tcPr>
          <w:p w14:paraId="21F3D6CB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3,519</w:t>
            </w:r>
          </w:p>
        </w:tc>
        <w:tc>
          <w:tcPr>
            <w:tcW w:w="1316" w:type="dxa"/>
          </w:tcPr>
          <w:p w14:paraId="2283E085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3,196</w:t>
            </w:r>
          </w:p>
        </w:tc>
        <w:tc>
          <w:tcPr>
            <w:tcW w:w="1316" w:type="dxa"/>
            <w:shd w:val="clear" w:color="auto" w:fill="A6A6A6" w:themeFill="background1" w:themeFillShade="A6"/>
          </w:tcPr>
          <w:p w14:paraId="38491FB0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3,500</w:t>
            </w:r>
          </w:p>
        </w:tc>
        <w:tc>
          <w:tcPr>
            <w:tcW w:w="1316" w:type="dxa"/>
          </w:tcPr>
          <w:p w14:paraId="685186D1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2,980</w:t>
            </w:r>
          </w:p>
        </w:tc>
      </w:tr>
      <w:tr w:rsidR="005B1B83" w:rsidRPr="00C212D9" w14:paraId="0C7948EC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1B42DD79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 xml:space="preserve">Average length of breaks (&gt;25 Ns) between </w:t>
            </w:r>
            <w:r w:rsidRPr="00C212D9">
              <w:rPr>
                <w:rFonts w:eastAsia="Calibri" w:cs="Times New Roman"/>
                <w:sz w:val="22"/>
              </w:rPr>
              <w:lastRenderedPageBreak/>
              <w:t>contigs in scaffold</w:t>
            </w:r>
          </w:p>
        </w:tc>
        <w:tc>
          <w:tcPr>
            <w:tcW w:w="1316" w:type="dxa"/>
          </w:tcPr>
          <w:p w14:paraId="6F371EA8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lastRenderedPageBreak/>
              <w:t>46</w:t>
            </w:r>
          </w:p>
        </w:tc>
        <w:tc>
          <w:tcPr>
            <w:tcW w:w="1316" w:type="dxa"/>
          </w:tcPr>
          <w:p w14:paraId="309FF99C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46</w:t>
            </w:r>
          </w:p>
        </w:tc>
        <w:tc>
          <w:tcPr>
            <w:tcW w:w="1316" w:type="dxa"/>
          </w:tcPr>
          <w:p w14:paraId="0437A2C7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44</w:t>
            </w:r>
          </w:p>
        </w:tc>
        <w:tc>
          <w:tcPr>
            <w:tcW w:w="1316" w:type="dxa"/>
          </w:tcPr>
          <w:p w14:paraId="656C5C3F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46</w:t>
            </w:r>
          </w:p>
        </w:tc>
        <w:tc>
          <w:tcPr>
            <w:tcW w:w="1316" w:type="dxa"/>
            <w:shd w:val="clear" w:color="auto" w:fill="AEAAAA"/>
          </w:tcPr>
          <w:p w14:paraId="091BC052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45</w:t>
            </w:r>
          </w:p>
        </w:tc>
        <w:tc>
          <w:tcPr>
            <w:tcW w:w="1316" w:type="dxa"/>
          </w:tcPr>
          <w:p w14:paraId="08ADBEB1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46</w:t>
            </w:r>
          </w:p>
        </w:tc>
      </w:tr>
      <w:tr w:rsidR="005B1B83" w:rsidRPr="00C212D9" w14:paraId="75904BE9" w14:textId="77777777" w:rsidTr="00170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23EF3730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Scaffold %N</w:t>
            </w:r>
          </w:p>
        </w:tc>
        <w:tc>
          <w:tcPr>
            <w:tcW w:w="1316" w:type="dxa"/>
          </w:tcPr>
          <w:p w14:paraId="2B2501C8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0.14</w:t>
            </w:r>
          </w:p>
        </w:tc>
        <w:tc>
          <w:tcPr>
            <w:tcW w:w="1316" w:type="dxa"/>
          </w:tcPr>
          <w:p w14:paraId="45C22B39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0.08</w:t>
            </w:r>
          </w:p>
        </w:tc>
        <w:tc>
          <w:tcPr>
            <w:tcW w:w="1316" w:type="dxa"/>
          </w:tcPr>
          <w:p w14:paraId="4501142E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0.03</w:t>
            </w:r>
          </w:p>
        </w:tc>
        <w:tc>
          <w:tcPr>
            <w:tcW w:w="1316" w:type="dxa"/>
          </w:tcPr>
          <w:p w14:paraId="557006D2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0.12</w:t>
            </w:r>
          </w:p>
        </w:tc>
        <w:tc>
          <w:tcPr>
            <w:tcW w:w="1316" w:type="dxa"/>
            <w:shd w:val="clear" w:color="auto" w:fill="AEAAAA"/>
          </w:tcPr>
          <w:p w14:paraId="45C28586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0.06</w:t>
            </w:r>
          </w:p>
        </w:tc>
        <w:tc>
          <w:tcPr>
            <w:tcW w:w="1316" w:type="dxa"/>
          </w:tcPr>
          <w:p w14:paraId="52893A59" w14:textId="77777777" w:rsidR="005B1B83" w:rsidRPr="00C212D9" w:rsidRDefault="005B1B83" w:rsidP="0017082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0.03</w:t>
            </w:r>
          </w:p>
        </w:tc>
      </w:tr>
      <w:tr w:rsidR="005B1B83" w:rsidRPr="00C212D9" w14:paraId="4A1233D0" w14:textId="77777777" w:rsidTr="00170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</w:tcPr>
          <w:p w14:paraId="3BBD12D8" w14:textId="77777777" w:rsidR="005B1B83" w:rsidRPr="00C212D9" w:rsidRDefault="005B1B83" w:rsidP="00170821">
            <w:pPr>
              <w:spacing w:before="0" w:after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% in scaffolded contigs</w:t>
            </w:r>
          </w:p>
        </w:tc>
        <w:tc>
          <w:tcPr>
            <w:tcW w:w="1316" w:type="dxa"/>
          </w:tcPr>
          <w:p w14:paraId="5F88C33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5.7</w:t>
            </w:r>
          </w:p>
        </w:tc>
        <w:tc>
          <w:tcPr>
            <w:tcW w:w="1316" w:type="dxa"/>
          </w:tcPr>
          <w:p w14:paraId="1CB5A0D2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3.8</w:t>
            </w:r>
          </w:p>
        </w:tc>
        <w:tc>
          <w:tcPr>
            <w:tcW w:w="1316" w:type="dxa"/>
          </w:tcPr>
          <w:p w14:paraId="7EE76696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1.5</w:t>
            </w:r>
          </w:p>
        </w:tc>
        <w:tc>
          <w:tcPr>
            <w:tcW w:w="1316" w:type="dxa"/>
          </w:tcPr>
          <w:p w14:paraId="0E578194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5.4</w:t>
            </w:r>
          </w:p>
        </w:tc>
        <w:tc>
          <w:tcPr>
            <w:tcW w:w="1316" w:type="dxa"/>
            <w:shd w:val="clear" w:color="auto" w:fill="AEAAAA"/>
          </w:tcPr>
          <w:p w14:paraId="4E12D29F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3.2</w:t>
            </w:r>
          </w:p>
        </w:tc>
        <w:tc>
          <w:tcPr>
            <w:tcW w:w="1316" w:type="dxa"/>
          </w:tcPr>
          <w:p w14:paraId="4326FF05" w14:textId="77777777" w:rsidR="005B1B83" w:rsidRPr="00C212D9" w:rsidRDefault="005B1B83" w:rsidP="0017082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C212D9">
              <w:rPr>
                <w:rFonts w:eastAsia="Calibri" w:cs="Times New Roman"/>
                <w:sz w:val="22"/>
              </w:rPr>
              <w:t>1.6</w:t>
            </w:r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FD534" w14:textId="77777777" w:rsidR="00DF3322" w:rsidRDefault="00DF3322" w:rsidP="00117666">
      <w:pPr>
        <w:spacing w:after="0"/>
      </w:pPr>
      <w:r>
        <w:separator/>
      </w:r>
    </w:p>
  </w:endnote>
  <w:endnote w:type="continuationSeparator" w:id="0">
    <w:p w14:paraId="14FE1CEB" w14:textId="77777777" w:rsidR="00DF3322" w:rsidRDefault="00DF332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E4670" w14:textId="77777777" w:rsidR="00DF3322" w:rsidRDefault="00DF3322" w:rsidP="00117666">
      <w:pPr>
        <w:spacing w:after="0"/>
      </w:pPr>
      <w:r>
        <w:separator/>
      </w:r>
    </w:p>
  </w:footnote>
  <w:footnote w:type="continuationSeparator" w:id="0">
    <w:p w14:paraId="7DABA8ED" w14:textId="77777777" w:rsidR="00DF3322" w:rsidRDefault="00DF332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E3D"/>
    <w:rsid w:val="00025EF0"/>
    <w:rsid w:val="00034304"/>
    <w:rsid w:val="00035434"/>
    <w:rsid w:val="00052A14"/>
    <w:rsid w:val="00070A17"/>
    <w:rsid w:val="00077D53"/>
    <w:rsid w:val="00086400"/>
    <w:rsid w:val="000E1228"/>
    <w:rsid w:val="00105FD9"/>
    <w:rsid w:val="00117666"/>
    <w:rsid w:val="00151356"/>
    <w:rsid w:val="001549D3"/>
    <w:rsid w:val="00160065"/>
    <w:rsid w:val="00177D84"/>
    <w:rsid w:val="001D5DE3"/>
    <w:rsid w:val="00251FEF"/>
    <w:rsid w:val="00267D18"/>
    <w:rsid w:val="00276ECE"/>
    <w:rsid w:val="00284BDC"/>
    <w:rsid w:val="002868E2"/>
    <w:rsid w:val="002869C3"/>
    <w:rsid w:val="002936E4"/>
    <w:rsid w:val="002B4A57"/>
    <w:rsid w:val="002C74CA"/>
    <w:rsid w:val="003218EF"/>
    <w:rsid w:val="00325DF3"/>
    <w:rsid w:val="003544FB"/>
    <w:rsid w:val="00372CA9"/>
    <w:rsid w:val="003956C6"/>
    <w:rsid w:val="003D2F2D"/>
    <w:rsid w:val="003E03CB"/>
    <w:rsid w:val="003E687D"/>
    <w:rsid w:val="00401590"/>
    <w:rsid w:val="00447801"/>
    <w:rsid w:val="00452E9C"/>
    <w:rsid w:val="004735C8"/>
    <w:rsid w:val="004947A6"/>
    <w:rsid w:val="004961FF"/>
    <w:rsid w:val="00506725"/>
    <w:rsid w:val="00517A89"/>
    <w:rsid w:val="005250F2"/>
    <w:rsid w:val="00542D39"/>
    <w:rsid w:val="005765BC"/>
    <w:rsid w:val="00593EEA"/>
    <w:rsid w:val="005A28DC"/>
    <w:rsid w:val="005A5EEE"/>
    <w:rsid w:val="005B1B83"/>
    <w:rsid w:val="006375C7"/>
    <w:rsid w:val="0064305D"/>
    <w:rsid w:val="00654E8F"/>
    <w:rsid w:val="00660D05"/>
    <w:rsid w:val="006820B1"/>
    <w:rsid w:val="006B7D14"/>
    <w:rsid w:val="006C2BFA"/>
    <w:rsid w:val="00701727"/>
    <w:rsid w:val="0070566C"/>
    <w:rsid w:val="00714C50"/>
    <w:rsid w:val="00725A7D"/>
    <w:rsid w:val="00735717"/>
    <w:rsid w:val="007501BE"/>
    <w:rsid w:val="00790BB3"/>
    <w:rsid w:val="007C206C"/>
    <w:rsid w:val="007E38C9"/>
    <w:rsid w:val="007E60C6"/>
    <w:rsid w:val="00817DD6"/>
    <w:rsid w:val="0083759F"/>
    <w:rsid w:val="008509EE"/>
    <w:rsid w:val="00867E3E"/>
    <w:rsid w:val="00885156"/>
    <w:rsid w:val="009151AA"/>
    <w:rsid w:val="0093429D"/>
    <w:rsid w:val="00943573"/>
    <w:rsid w:val="00964C8E"/>
    <w:rsid w:val="00970F7D"/>
    <w:rsid w:val="00972DB0"/>
    <w:rsid w:val="00994A3D"/>
    <w:rsid w:val="009A03FA"/>
    <w:rsid w:val="009B7ED9"/>
    <w:rsid w:val="009C1267"/>
    <w:rsid w:val="009C2B12"/>
    <w:rsid w:val="00A174D9"/>
    <w:rsid w:val="00A91A8C"/>
    <w:rsid w:val="00AA4D24"/>
    <w:rsid w:val="00AB6715"/>
    <w:rsid w:val="00AC333C"/>
    <w:rsid w:val="00B07C7A"/>
    <w:rsid w:val="00B158EE"/>
    <w:rsid w:val="00B1671E"/>
    <w:rsid w:val="00B25183"/>
    <w:rsid w:val="00B25EB8"/>
    <w:rsid w:val="00B37602"/>
    <w:rsid w:val="00B37F4D"/>
    <w:rsid w:val="00C118E1"/>
    <w:rsid w:val="00C212D9"/>
    <w:rsid w:val="00C31D3A"/>
    <w:rsid w:val="00C463AD"/>
    <w:rsid w:val="00C52A7B"/>
    <w:rsid w:val="00C56BAF"/>
    <w:rsid w:val="00C679AA"/>
    <w:rsid w:val="00C70B92"/>
    <w:rsid w:val="00C75972"/>
    <w:rsid w:val="00CD066B"/>
    <w:rsid w:val="00CE4FEE"/>
    <w:rsid w:val="00D46857"/>
    <w:rsid w:val="00DA0451"/>
    <w:rsid w:val="00DB59C3"/>
    <w:rsid w:val="00DC259A"/>
    <w:rsid w:val="00DE23E8"/>
    <w:rsid w:val="00DE3982"/>
    <w:rsid w:val="00DF3322"/>
    <w:rsid w:val="00E52377"/>
    <w:rsid w:val="00E64E17"/>
    <w:rsid w:val="00E866C9"/>
    <w:rsid w:val="00EA3D3C"/>
    <w:rsid w:val="00EC090A"/>
    <w:rsid w:val="00ED20B5"/>
    <w:rsid w:val="00F0118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1">
    <w:name w:val="Plain Table 1"/>
    <w:basedOn w:val="TableNormal"/>
    <w:uiPriority w:val="41"/>
    <w:rsid w:val="00506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C463AD"/>
    <w:pPr>
      <w:spacing w:after="0" w:line="240" w:lineRule="auto"/>
    </w:pPr>
    <w:rPr>
      <w:rFonts w:ascii="Times New Roman" w:hAnsi="Times New Roman"/>
      <w:sz w:val="24"/>
    </w:rPr>
  </w:style>
  <w:style w:type="table" w:customStyle="1" w:styleId="PlainTable11">
    <w:name w:val="Plain Table 11"/>
    <w:basedOn w:val="TableNormal"/>
    <w:next w:val="PlainTable1"/>
    <w:uiPriority w:val="41"/>
    <w:rsid w:val="00C212D9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9B7E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atts@ohio.edu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AAB19DD-FC9A-4BAC-BE0B-0C52201FA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70</TotalTime>
  <Pages>8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Sternberger, Anne</dc:creator>
  <cp:lastModifiedBy>Gillian Attard</cp:lastModifiedBy>
  <cp:revision>26</cp:revision>
  <cp:lastPrinted>2013-10-03T12:51:00Z</cp:lastPrinted>
  <dcterms:created xsi:type="dcterms:W3CDTF">2018-11-16T20:58:00Z</dcterms:created>
  <dcterms:modified xsi:type="dcterms:W3CDTF">2019-02-07T08:42:00Z</dcterms:modified>
</cp:coreProperties>
</file>