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B5AB" w14:textId="77777777" w:rsidR="00B901AB" w:rsidRDefault="00543793" w:rsidP="00B90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Supplementary Material</w:t>
      </w:r>
    </w:p>
    <w:p w14:paraId="4BAE30FF" w14:textId="77777777" w:rsidR="006731D8" w:rsidRDefault="006731D8" w:rsidP="00B90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9A723D" w14:textId="77777777" w:rsidR="006731D8" w:rsidRPr="006731D8" w:rsidRDefault="00496B1A" w:rsidP="006731D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1628">
        <w:rPr>
          <w:rFonts w:ascii="Times New Roman" w:hAnsi="Times New Roman" w:cs="Times New Roman"/>
          <w:b/>
          <w:sz w:val="24"/>
          <w:szCs w:val="24"/>
        </w:rPr>
        <w:t>A</w:t>
      </w:r>
      <w:r w:rsidRPr="00981628">
        <w:rPr>
          <w:rFonts w:ascii="Times New Roman" w:hAnsi="Times New Roman" w:cs="Times New Roman" w:hint="eastAsia"/>
          <w:b/>
          <w:sz w:val="24"/>
          <w:szCs w:val="24"/>
        </w:rPr>
        <w:t>rticle</w:t>
      </w:r>
      <w:r w:rsidRPr="009816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31D8" w:rsidRPr="006731D8">
        <w:rPr>
          <w:rFonts w:ascii="Times New Roman" w:hAnsi="Times New Roman" w:cs="Times New Roman"/>
          <w:sz w:val="24"/>
          <w:szCs w:val="24"/>
        </w:rPr>
        <w:t>Up-converting nanoparticles-based immunochromatographic strip for multi-residue detection of three organophosphorus pesticides in food</w:t>
      </w:r>
    </w:p>
    <w:p w14:paraId="641D7290" w14:textId="77777777" w:rsidR="00496B1A" w:rsidRPr="006731D8" w:rsidRDefault="00496B1A" w:rsidP="00496B1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C0E770" w14:textId="77777777" w:rsidR="00981628" w:rsidRPr="00981628" w:rsidRDefault="00981628" w:rsidP="009816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1628">
        <w:rPr>
          <w:rFonts w:ascii="Times New Roman" w:hAnsi="Times New Roman" w:hint="eastAsia"/>
          <w:sz w:val="24"/>
          <w:szCs w:val="24"/>
        </w:rPr>
        <w:t>Rubing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Zou</w:t>
      </w:r>
      <w:r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Yunyun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Chang</w:t>
      </w:r>
      <w:r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Tianyi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Zhang</w:t>
      </w:r>
      <w:r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>, Fangfang Si</w:t>
      </w:r>
      <w:r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r w:rsidRPr="00981628">
        <w:rPr>
          <w:rFonts w:ascii="Times New Roman" w:hAnsi="Times New Roman" w:hint="eastAsia"/>
          <w:sz w:val="24"/>
          <w:szCs w:val="24"/>
        </w:rPr>
        <w:t xml:space="preserve">, Ying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Liu</w:t>
      </w:r>
      <w:r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 xml:space="preserve">, Ying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Zhao</w:t>
      </w:r>
      <w:r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>,</w:t>
      </w:r>
      <w:r w:rsidR="00673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1D8">
        <w:rPr>
          <w:rFonts w:ascii="Times New Roman" w:hAnsi="Times New Roman"/>
          <w:sz w:val="24"/>
          <w:szCs w:val="24"/>
        </w:rPr>
        <w:t>Yihua</w:t>
      </w:r>
      <w:proofErr w:type="spellEnd"/>
      <w:r w:rsidR="00673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1D8">
        <w:rPr>
          <w:rFonts w:ascii="Times New Roman" w:hAnsi="Times New Roman"/>
          <w:sz w:val="24"/>
          <w:szCs w:val="24"/>
        </w:rPr>
        <w:t>Liu</w:t>
      </w:r>
      <w:r w:rsidR="006731D8"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r w:rsidR="006731D8">
        <w:rPr>
          <w:rFonts w:ascii="Times New Roman" w:hAnsi="Times New Roman"/>
          <w:color w:val="3A5CD9"/>
          <w:sz w:val="24"/>
          <w:szCs w:val="24"/>
          <w:vertAlign w:val="superscript"/>
        </w:rPr>
        <w:t>,b</w:t>
      </w:r>
      <w:proofErr w:type="spellEnd"/>
      <w:r w:rsidR="006731D8">
        <w:rPr>
          <w:rFonts w:ascii="Times New Roman" w:hAnsi="Times New Roman"/>
          <w:color w:val="3A5CD9"/>
          <w:sz w:val="24"/>
          <w:szCs w:val="24"/>
          <w:vertAlign w:val="superscript"/>
        </w:rPr>
        <w:t xml:space="preserve"> </w:t>
      </w:r>
      <w:r w:rsidR="006731D8" w:rsidRPr="006731D8">
        <w:rPr>
          <w:rStyle w:val="FootnoteReference"/>
          <w:color w:val="3A5CD9"/>
        </w:rPr>
        <w:t>*</w:t>
      </w:r>
      <w:r w:rsidR="00673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628">
        <w:rPr>
          <w:rFonts w:ascii="Times New Roman" w:hAnsi="Times New Roman"/>
          <w:sz w:val="24"/>
          <w:szCs w:val="24"/>
        </w:rPr>
        <w:t>Mingzhou</w:t>
      </w:r>
      <w:proofErr w:type="spellEnd"/>
      <w:r w:rsidRPr="00981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628">
        <w:rPr>
          <w:rFonts w:ascii="Times New Roman" w:hAnsi="Times New Roman"/>
          <w:sz w:val="24"/>
          <w:szCs w:val="24"/>
        </w:rPr>
        <w:t>Zhang</w:t>
      </w:r>
      <w:r w:rsidR="006731D8">
        <w:rPr>
          <w:rStyle w:val="CommentReference"/>
          <w:rFonts w:ascii="Times New Roman" w:hAnsi="Times New Roman"/>
          <w:color w:val="3A5CD9"/>
          <w:sz w:val="24"/>
          <w:szCs w:val="24"/>
          <w:vertAlign w:val="superscript"/>
        </w:rPr>
        <w:t>c</w:t>
      </w:r>
      <w:proofErr w:type="spellEnd"/>
      <w:r w:rsidRPr="00981628">
        <w:rPr>
          <w:rStyle w:val="CommentReference"/>
          <w:rFonts w:ascii="Times New Roman" w:hAnsi="Times New Roman" w:hint="eastAsia"/>
          <w:sz w:val="24"/>
          <w:szCs w:val="24"/>
        </w:rPr>
        <w:t>,</w:t>
      </w:r>
      <w:r w:rsidRPr="00981628">
        <w:rPr>
          <w:rFonts w:ascii="Times New Roman" w:hAnsi="Times New Roman" w:hint="eastAsia"/>
          <w:sz w:val="24"/>
          <w:szCs w:val="24"/>
        </w:rPr>
        <w:t xml:space="preserve"> </w:t>
      </w:r>
      <w:r w:rsidRPr="00981628">
        <w:rPr>
          <w:rFonts w:ascii="Times New Roman" w:hAnsi="Times New Roman"/>
          <w:sz w:val="24"/>
          <w:szCs w:val="24"/>
        </w:rPr>
        <w:t xml:space="preserve">Xiaoping </w:t>
      </w:r>
      <w:proofErr w:type="spellStart"/>
      <w:r w:rsidRPr="00981628">
        <w:rPr>
          <w:rFonts w:ascii="Times New Roman" w:hAnsi="Times New Roman"/>
          <w:sz w:val="24"/>
          <w:szCs w:val="24"/>
        </w:rPr>
        <w:t>Yu</w:t>
      </w:r>
      <w:r w:rsidR="006731D8">
        <w:rPr>
          <w:rStyle w:val="CommentReference"/>
          <w:rFonts w:ascii="Times New Roman" w:hAnsi="Times New Roman"/>
          <w:color w:val="3A5CD9"/>
          <w:sz w:val="24"/>
          <w:szCs w:val="24"/>
          <w:vertAlign w:val="superscript"/>
        </w:rPr>
        <w:t>c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981628">
        <w:rPr>
          <w:rStyle w:val="CommentReference"/>
          <w:rFonts w:ascii="Times New Roman" w:hAnsi="Times New Roman"/>
          <w:sz w:val="24"/>
          <w:szCs w:val="24"/>
        </w:rPr>
        <w:t>Xusheng</w:t>
      </w:r>
      <w:proofErr w:type="spellEnd"/>
      <w:r w:rsidRPr="00981628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proofErr w:type="spellStart"/>
      <w:r w:rsidRPr="00981628">
        <w:rPr>
          <w:rStyle w:val="CommentReference"/>
          <w:rFonts w:ascii="Times New Roman" w:hAnsi="Times New Roman"/>
          <w:sz w:val="24"/>
          <w:szCs w:val="24"/>
        </w:rPr>
        <w:t>Qiao</w:t>
      </w:r>
      <w:r w:rsidR="006731D8">
        <w:rPr>
          <w:rStyle w:val="CommentReference"/>
          <w:rFonts w:ascii="Times New Roman" w:hAnsi="Times New Roman"/>
          <w:color w:val="3A5CD9"/>
          <w:sz w:val="24"/>
          <w:szCs w:val="24"/>
          <w:vertAlign w:val="superscript"/>
        </w:rPr>
        <w:t>d</w:t>
      </w:r>
      <w:proofErr w:type="spellEnd"/>
      <w:r w:rsidRPr="00981628">
        <w:rPr>
          <w:rStyle w:val="CommentReference"/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981628">
        <w:rPr>
          <w:rStyle w:val="CommentReference"/>
          <w:rFonts w:ascii="Times New Roman" w:hAnsi="Times New Roman" w:hint="eastAsia"/>
          <w:sz w:val="24"/>
          <w:szCs w:val="24"/>
        </w:rPr>
        <w:t>Guonian</w:t>
      </w:r>
      <w:proofErr w:type="spellEnd"/>
      <w:r w:rsidRPr="00981628">
        <w:rPr>
          <w:rStyle w:val="CommentReference"/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981628">
        <w:rPr>
          <w:rStyle w:val="CommentReference"/>
          <w:rFonts w:ascii="Times New Roman" w:hAnsi="Times New Roman" w:hint="eastAsia"/>
          <w:sz w:val="24"/>
          <w:szCs w:val="24"/>
        </w:rPr>
        <w:t>Zhu</w:t>
      </w:r>
      <w:r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proofErr w:type="spellEnd"/>
      <w:r w:rsidRPr="00981628">
        <w:rPr>
          <w:rStyle w:val="CommentReference"/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Yirong</w:t>
      </w:r>
      <w:proofErr w:type="spellEnd"/>
      <w:r w:rsidRPr="00981628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981628">
        <w:rPr>
          <w:rFonts w:ascii="Times New Roman" w:hAnsi="Times New Roman" w:hint="eastAsia"/>
          <w:sz w:val="24"/>
          <w:szCs w:val="24"/>
        </w:rPr>
        <w:t>Guo</w:t>
      </w:r>
      <w:r w:rsidRPr="00981628">
        <w:rPr>
          <w:rFonts w:ascii="Times New Roman" w:hAnsi="Times New Roman" w:hint="eastAsia"/>
          <w:color w:val="3A5CD9"/>
          <w:sz w:val="24"/>
          <w:szCs w:val="24"/>
          <w:vertAlign w:val="superscript"/>
        </w:rPr>
        <w:t>a</w:t>
      </w:r>
      <w:proofErr w:type="spellEnd"/>
      <w:r w:rsidR="00041A0C" w:rsidRPr="006731D8">
        <w:rPr>
          <w:rStyle w:val="FootnoteReference"/>
          <w:color w:val="3A5CD9"/>
        </w:rPr>
        <w:t>*</w:t>
      </w:r>
    </w:p>
    <w:p w14:paraId="7B7B8774" w14:textId="77777777" w:rsidR="00981628" w:rsidRPr="00655BD2" w:rsidRDefault="00981628" w:rsidP="00981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62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9816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t>Institute of Pesticide and Environmental Toxicology, Ministry of Agriculture Key Laboratory of Molecular Biology of Crop Pathogens and Insects, Zhejiang University, Hangzhou 310058, China</w:t>
      </w:r>
    </w:p>
    <w:p w14:paraId="4D087031" w14:textId="77777777" w:rsidR="006731D8" w:rsidRPr="00655BD2" w:rsidRDefault="006731D8" w:rsidP="006731D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655BD2">
        <w:rPr>
          <w:rFonts w:ascii="Times New Roman" w:hAnsi="Times New Roman" w:cs="Times New Roman"/>
          <w:sz w:val="24"/>
          <w:szCs w:val="24"/>
        </w:rPr>
        <w:t>Research Institute of Subtropical Forestry, Chinese Academy of Forestry, Hangzhou</w:t>
      </w:r>
    </w:p>
    <w:p w14:paraId="57C4D5CD" w14:textId="77777777" w:rsidR="006731D8" w:rsidRPr="00655BD2" w:rsidRDefault="006731D8" w:rsidP="006731D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>311400, China</w:t>
      </w:r>
    </w:p>
    <w:p w14:paraId="354AF6AF" w14:textId="77777777" w:rsidR="00981628" w:rsidRPr="00655BD2" w:rsidRDefault="006731D8" w:rsidP="00981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/>
          <w:sz w:val="24"/>
          <w:szCs w:val="24"/>
          <w:vertAlign w:val="superscript"/>
        </w:rPr>
        <w:t>c</w:t>
      </w:r>
      <w:r w:rsidR="00981628" w:rsidRPr="00655BD2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981628" w:rsidRPr="00655BD2">
        <w:rPr>
          <w:rFonts w:ascii="Times New Roman" w:hAnsi="Times New Roman" w:cs="Times New Roman"/>
          <w:sz w:val="24"/>
          <w:szCs w:val="24"/>
        </w:rPr>
        <w:t xml:space="preserve">College of Life Sciences, China </w:t>
      </w:r>
      <w:proofErr w:type="spellStart"/>
      <w:r w:rsidR="00981628" w:rsidRPr="00655BD2">
        <w:rPr>
          <w:rFonts w:ascii="Times New Roman" w:hAnsi="Times New Roman" w:cs="Times New Roman"/>
          <w:sz w:val="24"/>
          <w:szCs w:val="24"/>
        </w:rPr>
        <w:t>Jiliang</w:t>
      </w:r>
      <w:proofErr w:type="spellEnd"/>
      <w:r w:rsidR="00981628" w:rsidRPr="00655BD2">
        <w:rPr>
          <w:rFonts w:ascii="Times New Roman" w:hAnsi="Times New Roman" w:cs="Times New Roman"/>
          <w:sz w:val="24"/>
          <w:szCs w:val="24"/>
        </w:rPr>
        <w:t xml:space="preserve"> University, Hangzhou, 310018, China</w:t>
      </w:r>
    </w:p>
    <w:p w14:paraId="17E66FEB" w14:textId="77777777" w:rsidR="00981628" w:rsidRPr="00655BD2" w:rsidRDefault="006731D8" w:rsidP="00981628">
      <w:pPr>
        <w:spacing w:line="360" w:lineRule="auto"/>
        <w:rPr>
          <w:rFonts w:ascii="Times New Roman" w:hAnsi="Times New Roman"/>
          <w:sz w:val="24"/>
          <w:szCs w:val="24"/>
        </w:rPr>
      </w:pPr>
      <w:r w:rsidRPr="00655BD2">
        <w:rPr>
          <w:rFonts w:ascii="Times New Roman" w:hAnsi="Times New Roman"/>
          <w:sz w:val="24"/>
          <w:szCs w:val="24"/>
          <w:vertAlign w:val="superscript"/>
        </w:rPr>
        <w:t>d</w:t>
      </w:r>
      <w:r w:rsidR="00981628" w:rsidRPr="00655BD2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981628" w:rsidRPr="00655BD2">
        <w:rPr>
          <w:rFonts w:ascii="Times New Roman" w:hAnsi="Times New Roman"/>
          <w:sz w:val="24"/>
          <w:szCs w:val="24"/>
        </w:rPr>
        <w:t>Department of Materials Science and Engineering, Zhejiang University, Hangzhou 310027, China</w:t>
      </w:r>
    </w:p>
    <w:p w14:paraId="7E6043C3" w14:textId="77777777" w:rsidR="00041A0C" w:rsidRPr="00655BD2" w:rsidRDefault="00041A0C" w:rsidP="00041A0C">
      <w:pPr>
        <w:spacing w:line="360" w:lineRule="auto"/>
        <w:rPr>
          <w:rFonts w:ascii="Times New Roman" w:hAnsi="Times New Roman"/>
          <w:szCs w:val="21"/>
        </w:rPr>
      </w:pPr>
      <w:r w:rsidRPr="00655BD2">
        <w:rPr>
          <w:rStyle w:val="FootnoteReference"/>
        </w:rPr>
        <w:t>*</w:t>
      </w:r>
      <w:r w:rsidRPr="00655BD2">
        <w:rPr>
          <w:rFonts w:ascii="Times New Roman" w:hAnsi="Times New Roman"/>
          <w:szCs w:val="21"/>
        </w:rPr>
        <w:t>The corresponding author</w:t>
      </w:r>
      <w:r w:rsidRPr="00655BD2">
        <w:rPr>
          <w:rFonts w:ascii="Times New Roman" w:hAnsi="Times New Roman" w:hint="eastAsia"/>
          <w:szCs w:val="21"/>
        </w:rPr>
        <w:t xml:space="preserve">s, E-mail: </w:t>
      </w:r>
      <w:hyperlink r:id="rId7" w:history="1">
        <w:r w:rsidRPr="00655BD2">
          <w:rPr>
            <w:rStyle w:val="Hyperlink"/>
            <w:rFonts w:ascii="Times New Roman" w:hAnsi="Times New Roman" w:hint="eastAsia"/>
            <w:color w:val="auto"/>
            <w:szCs w:val="21"/>
          </w:rPr>
          <w:t>yirongguo</w:t>
        </w:r>
        <w:r w:rsidRPr="00655BD2">
          <w:rPr>
            <w:rStyle w:val="Hyperlink"/>
            <w:rFonts w:ascii="Times New Roman" w:hAnsi="Times New Roman"/>
            <w:color w:val="auto"/>
            <w:szCs w:val="21"/>
          </w:rPr>
          <w:t>@zju.edu.cn</w:t>
        </w:r>
      </w:hyperlink>
      <w:r w:rsidRPr="00655BD2">
        <w:rPr>
          <w:rFonts w:ascii="Times New Roman" w:hAnsi="Times New Roman" w:hint="eastAsia"/>
          <w:szCs w:val="21"/>
        </w:rPr>
        <w:t xml:space="preserve">; </w:t>
      </w:r>
      <w:hyperlink r:id="rId8" w:history="1">
        <w:r w:rsidRPr="00655BD2">
          <w:rPr>
            <w:rStyle w:val="Hyperlink"/>
            <w:rFonts w:ascii="Times New Roman" w:hAnsi="Times New Roman" w:hint="eastAsia"/>
            <w:color w:val="auto"/>
            <w:szCs w:val="21"/>
          </w:rPr>
          <w:t>liuyihua</w:t>
        </w:r>
        <w:r w:rsidRPr="00655BD2">
          <w:rPr>
            <w:rStyle w:val="Hyperlink"/>
            <w:rFonts w:ascii="Times New Roman" w:hAnsi="Times New Roman"/>
            <w:color w:val="auto"/>
            <w:szCs w:val="21"/>
          </w:rPr>
          <w:t>@zju.edu.cn</w:t>
        </w:r>
      </w:hyperlink>
      <w:r w:rsidRPr="00655BD2">
        <w:rPr>
          <w:rFonts w:ascii="Times New Roman" w:hAnsi="Times New Roman" w:hint="eastAsia"/>
          <w:szCs w:val="21"/>
        </w:rPr>
        <w:t>.</w:t>
      </w:r>
    </w:p>
    <w:p w14:paraId="4E149549" w14:textId="77777777" w:rsidR="006731D8" w:rsidRPr="00655BD2" w:rsidRDefault="006731D8" w:rsidP="009816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AFFEB2" w14:textId="77777777" w:rsidR="00B901AB" w:rsidRPr="00655BD2" w:rsidRDefault="00B901AB" w:rsidP="00B901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BD2">
        <w:rPr>
          <w:rFonts w:ascii="Times New Roman" w:hAnsi="Times New Roman" w:cs="Times New Roman"/>
          <w:b/>
          <w:sz w:val="24"/>
          <w:szCs w:val="24"/>
        </w:rPr>
        <w:t>1 Optimization of UCNPs-LFIC assay parameters</w:t>
      </w:r>
    </w:p>
    <w:p w14:paraId="28CA98BB" w14:textId="77777777" w:rsidR="00B901AB" w:rsidRPr="00655BD2" w:rsidRDefault="00B901AB" w:rsidP="00B901AB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55BD2">
        <w:rPr>
          <w:rFonts w:ascii="Times New Roman" w:hAnsi="Times New Roman" w:cs="Times New Roman"/>
          <w:b/>
          <w:bCs/>
          <w:sz w:val="24"/>
          <w:szCs w:val="24"/>
        </w:rPr>
        <w:t>1.1 Working</w:t>
      </w:r>
      <w:r w:rsidRPr="00655BD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concentration of immuno</w:t>
      </w:r>
      <w:r w:rsidRPr="00655B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55BD2">
        <w:rPr>
          <w:rFonts w:ascii="Times New Roman" w:hAnsi="Times New Roman" w:cs="Times New Roman" w:hint="eastAsia"/>
          <w:b/>
          <w:bCs/>
          <w:sz w:val="24"/>
          <w:szCs w:val="24"/>
        </w:rPr>
        <w:t>reagent</w:t>
      </w:r>
      <w:r w:rsidR="007E5125" w:rsidRPr="00655BD2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</w:p>
    <w:p w14:paraId="7F51FBE5" w14:textId="77777777" w:rsidR="00B901AB" w:rsidRPr="00655BD2" w:rsidRDefault="00F33A37" w:rsidP="006731D8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>Different concentrations of antibody (</w:t>
      </w:r>
      <w:r w:rsidRPr="00655BD2">
        <w:rPr>
          <w:rFonts w:ascii="Times New Roman" w:hAnsi="Times New Roman" w:cs="Times New Roman"/>
          <w:bCs/>
          <w:sz w:val="24"/>
          <w:szCs w:val="24"/>
        </w:rPr>
        <w:t xml:space="preserve">20, 40, 60 and 80 </w:t>
      </w:r>
      <w:proofErr w:type="spellStart"/>
      <w:r w:rsidRPr="00655BD2">
        <w:rPr>
          <w:rFonts w:ascii="Times New Roman" w:hAnsi="Times New Roman" w:cs="Times New Roman"/>
          <w:bCs/>
          <w:sz w:val="24"/>
          <w:szCs w:val="24"/>
        </w:rPr>
        <w:t>μg</w:t>
      </w:r>
      <w:proofErr w:type="spellEnd"/>
      <w:r w:rsidRPr="00655BD2">
        <w:rPr>
          <w:rFonts w:ascii="Times New Roman" w:hAnsi="Times New Roman" w:cs="Times New Roman"/>
          <w:bCs/>
          <w:sz w:val="24"/>
          <w:szCs w:val="24"/>
        </w:rPr>
        <w:t xml:space="preserve">/mL) were prepared. </w:t>
      </w:r>
      <w:r w:rsidR="006731D8" w:rsidRPr="00655BD2">
        <w:rPr>
          <w:rFonts w:ascii="Times New Roman" w:hAnsi="Times New Roman" w:cs="Times New Roman"/>
          <w:bCs/>
          <w:sz w:val="24"/>
          <w:szCs w:val="24"/>
        </w:rPr>
        <w:t>F</w:t>
      </w:r>
      <w:r w:rsidR="00B901AB" w:rsidRPr="00655BD2">
        <w:rPr>
          <w:rFonts w:ascii="Times New Roman" w:hAnsi="Times New Roman" w:cs="Times New Roman"/>
          <w:bCs/>
          <w:sz w:val="24"/>
          <w:szCs w:val="24"/>
        </w:rPr>
        <w:t>luorescence intensity and sensitivity were compared under different immobilized concentration in the test and control line</w:t>
      </w:r>
      <w:r w:rsidR="000976FB" w:rsidRPr="00655BD2">
        <w:rPr>
          <w:rFonts w:ascii="Times New Roman" w:hAnsi="Times New Roman" w:cs="Times New Roman"/>
          <w:bCs/>
          <w:sz w:val="24"/>
          <w:szCs w:val="24"/>
        </w:rPr>
        <w:t>s</w:t>
      </w:r>
      <w:r w:rsidR="00B901AB" w:rsidRPr="00655BD2">
        <w:rPr>
          <w:rFonts w:ascii="Times New Roman" w:hAnsi="Times New Roman" w:cs="Times New Roman"/>
          <w:bCs/>
          <w:sz w:val="24"/>
          <w:szCs w:val="24"/>
        </w:rPr>
        <w:t xml:space="preserve">, respectively. </w:t>
      </w:r>
    </w:p>
    <w:p w14:paraId="073988B7" w14:textId="77777777" w:rsidR="007E5125" w:rsidRPr="00655BD2" w:rsidRDefault="00B901AB" w:rsidP="007E5125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655BD2">
        <w:rPr>
          <w:rFonts w:ascii="Times New Roman" w:hAnsi="Times New Roman" w:cs="Times New Roman"/>
          <w:bCs/>
          <w:sz w:val="24"/>
          <w:szCs w:val="24"/>
        </w:rPr>
        <w:t>As show</w:t>
      </w:r>
      <w:r w:rsidR="000976FB" w:rsidRPr="00655BD2">
        <w:rPr>
          <w:rFonts w:ascii="Times New Roman" w:hAnsi="Times New Roman" w:cs="Times New Roman"/>
          <w:bCs/>
          <w:sz w:val="24"/>
          <w:szCs w:val="24"/>
        </w:rPr>
        <w:t>n in Figure 2</w:t>
      </w:r>
      <w:r w:rsidR="007E5125" w:rsidRPr="00655BD2">
        <w:rPr>
          <w:rFonts w:ascii="Times New Roman" w:hAnsi="Times New Roman" w:cs="Times New Roman" w:hint="eastAsia"/>
          <w:bCs/>
          <w:sz w:val="24"/>
          <w:szCs w:val="24"/>
        </w:rPr>
        <w:t>a</w:t>
      </w:r>
      <w:r w:rsidRPr="00655BD2">
        <w:rPr>
          <w:rFonts w:ascii="Times New Roman" w:hAnsi="Times New Roman" w:cs="Times New Roman"/>
          <w:bCs/>
          <w:sz w:val="24"/>
          <w:szCs w:val="24"/>
        </w:rPr>
        <w:t xml:space="preserve">, the fluorescence intensity of the probe increased with the antibody within proper concentration. It </w:t>
      </w:r>
      <w:r w:rsidR="000976FB" w:rsidRPr="00655BD2">
        <w:rPr>
          <w:rFonts w:ascii="Times New Roman" w:hAnsi="Times New Roman" w:cs="Times New Roman"/>
          <w:bCs/>
          <w:sz w:val="24"/>
          <w:szCs w:val="24"/>
        </w:rPr>
        <w:t>was</w:t>
      </w:r>
      <w:r w:rsidRPr="00655BD2">
        <w:rPr>
          <w:rFonts w:ascii="Times New Roman" w:hAnsi="Times New Roman" w:cs="Times New Roman"/>
          <w:bCs/>
          <w:sz w:val="24"/>
          <w:szCs w:val="24"/>
        </w:rPr>
        <w:t xml:space="preserve"> speculated that the interesting result might be caused by various weight of complex possess</w:t>
      </w:r>
      <w:r w:rsidR="000976FB" w:rsidRPr="00655BD2">
        <w:rPr>
          <w:rFonts w:ascii="Times New Roman" w:hAnsi="Times New Roman" w:cs="Times New Roman"/>
          <w:bCs/>
          <w:sz w:val="24"/>
          <w:szCs w:val="24"/>
        </w:rPr>
        <w:t>ing</w:t>
      </w:r>
      <w:r w:rsidRPr="00655BD2">
        <w:rPr>
          <w:rFonts w:ascii="Times New Roman" w:hAnsi="Times New Roman" w:cs="Times New Roman"/>
          <w:bCs/>
          <w:sz w:val="24"/>
          <w:szCs w:val="24"/>
        </w:rPr>
        <w:t xml:space="preserve"> different centrifugal elution. </w:t>
      </w:r>
      <w:r w:rsidR="007E5125" w:rsidRPr="00655BD2">
        <w:rPr>
          <w:rFonts w:ascii="Times New Roman" w:hAnsi="Times New Roman" w:cs="Times New Roman" w:hint="eastAsia"/>
          <w:bCs/>
          <w:sz w:val="24"/>
          <w:szCs w:val="24"/>
        </w:rPr>
        <w:t xml:space="preserve">To ensure the </w:t>
      </w:r>
      <w:r w:rsidR="007E5125" w:rsidRPr="00655BD2">
        <w:rPr>
          <w:rFonts w:ascii="Times New Roman" w:hAnsi="Times New Roman" w:cs="Times New Roman"/>
          <w:bCs/>
          <w:sz w:val="24"/>
          <w:szCs w:val="24"/>
        </w:rPr>
        <w:t>fluorescence intensity</w:t>
      </w:r>
      <w:r w:rsidR="007E5125" w:rsidRPr="00655BD2">
        <w:rPr>
          <w:rFonts w:ascii="Times New Roman" w:hAnsi="Times New Roman" w:cs="Times New Roman" w:hint="eastAsia"/>
          <w:bCs/>
          <w:sz w:val="24"/>
          <w:szCs w:val="24"/>
        </w:rPr>
        <w:t>,</w:t>
      </w:r>
      <w:r w:rsidR="007E5125" w:rsidRPr="00655BD2">
        <w:rPr>
          <w:rFonts w:ascii="Times New Roman" w:hAnsi="Times New Roman" w:cs="Times New Roman"/>
          <w:bCs/>
          <w:sz w:val="24"/>
          <w:szCs w:val="24"/>
        </w:rPr>
        <w:t xml:space="preserve"> 80 </w:t>
      </w:r>
      <w:proofErr w:type="spellStart"/>
      <w:r w:rsidR="007E5125" w:rsidRPr="00655BD2">
        <w:rPr>
          <w:rFonts w:ascii="Times New Roman" w:hAnsi="Times New Roman" w:cs="Times New Roman"/>
          <w:bCs/>
          <w:sz w:val="24"/>
          <w:szCs w:val="24"/>
        </w:rPr>
        <w:t>μg</w:t>
      </w:r>
      <w:proofErr w:type="spellEnd"/>
      <w:r w:rsidR="007E5125" w:rsidRPr="00655BD2">
        <w:rPr>
          <w:rFonts w:ascii="Times New Roman" w:hAnsi="Times New Roman" w:cs="Times New Roman"/>
          <w:bCs/>
          <w:sz w:val="24"/>
          <w:szCs w:val="24"/>
        </w:rPr>
        <w:t xml:space="preserve">/mL of </w:t>
      </w:r>
      <w:proofErr w:type="spellStart"/>
      <w:r w:rsidR="007E5125" w:rsidRPr="00655BD2">
        <w:rPr>
          <w:rFonts w:ascii="Times New Roman" w:hAnsi="Times New Roman" w:cs="Times New Roman"/>
          <w:bCs/>
          <w:sz w:val="24"/>
          <w:szCs w:val="24"/>
        </w:rPr>
        <w:t>mAb</w:t>
      </w:r>
      <w:proofErr w:type="spellEnd"/>
      <w:r w:rsidR="007E5125" w:rsidRPr="00655BD2">
        <w:rPr>
          <w:rFonts w:ascii="Times New Roman" w:hAnsi="Times New Roman" w:cs="Times New Roman"/>
          <w:bCs/>
          <w:sz w:val="24"/>
          <w:szCs w:val="24"/>
        </w:rPr>
        <w:t xml:space="preserve"> was labeled with UCNPs to prepare probes.</w:t>
      </w:r>
    </w:p>
    <w:p w14:paraId="453E8628" w14:textId="77777777" w:rsidR="00B901AB" w:rsidRPr="00655BD2" w:rsidRDefault="003C0D0A" w:rsidP="00B901AB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655B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Based on the checkerboard titration method, the </w:t>
      </w:r>
      <w:proofErr w:type="gramStart"/>
      <w:r w:rsidRPr="00655BD2">
        <w:rPr>
          <w:rFonts w:ascii="Times New Roman" w:hAnsi="Times New Roman" w:cs="Times New Roman"/>
          <w:bCs/>
          <w:sz w:val="24"/>
          <w:szCs w:val="24"/>
        </w:rPr>
        <w:t>amount</w:t>
      </w:r>
      <w:proofErr w:type="gramEnd"/>
      <w:r w:rsidRPr="00655BD2">
        <w:rPr>
          <w:rFonts w:ascii="Times New Roman" w:hAnsi="Times New Roman" w:cs="Times New Roman"/>
          <w:bCs/>
          <w:sz w:val="24"/>
          <w:szCs w:val="24"/>
        </w:rPr>
        <w:t xml:space="preserve"> of biological reagents on the test strips and the antibody coupling to the probes were adjusted. Then, </w:t>
      </w:r>
      <w:r w:rsidR="00821A80" w:rsidRPr="00655BD2">
        <w:rPr>
          <w:rFonts w:ascii="Times New Roman" w:hAnsi="Times New Roman" w:cs="Times New Roman"/>
          <w:bCs/>
          <w:sz w:val="24"/>
          <w:szCs w:val="24"/>
        </w:rPr>
        <w:t>s</w:t>
      </w:r>
      <w:r w:rsidR="00B901AB" w:rsidRPr="00655BD2">
        <w:rPr>
          <w:rFonts w:ascii="Times New Roman" w:hAnsi="Times New Roman" w:cs="Times New Roman"/>
          <w:bCs/>
          <w:sz w:val="24"/>
          <w:szCs w:val="24"/>
        </w:rPr>
        <w:t xml:space="preserve">tandard curves were established respectively. After systematic optimization, PA0304-OVA (3 mg/mL) and goat anti-mouse IgG (0.3 mg/mL) were immobilized on the test and control lines, respectively. </w:t>
      </w:r>
    </w:p>
    <w:p w14:paraId="0AAD96C8" w14:textId="77777777" w:rsidR="00B901AB" w:rsidRPr="00655BD2" w:rsidRDefault="00B901AB" w:rsidP="00B901AB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55BD2">
        <w:rPr>
          <w:rFonts w:ascii="Times New Roman" w:hAnsi="Times New Roman" w:cs="Times New Roman"/>
          <w:b/>
          <w:bCs/>
          <w:sz w:val="24"/>
          <w:szCs w:val="24"/>
        </w:rPr>
        <w:t>1.2 Reaction time</w:t>
      </w:r>
    </w:p>
    <w:p w14:paraId="407E3FDD" w14:textId="77777777" w:rsidR="00B901AB" w:rsidRPr="00655BD2" w:rsidRDefault="00B901AB" w:rsidP="00B901A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As a paper phase model, 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the migration of the fluorescent </w:t>
      </w:r>
      <w:r w:rsidR="00821A80" w:rsidRPr="00655BD2">
        <w:rPr>
          <w:rFonts w:ascii="Times New Roman" w:hAnsi="Times New Roman" w:cs="Times New Roman"/>
          <w:sz w:val="24"/>
          <w:szCs w:val="24"/>
        </w:rPr>
        <w:t>probes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 in</w:t>
      </w:r>
      <w:r w:rsidR="00821A80" w:rsidRPr="00655BD2">
        <w:rPr>
          <w:rFonts w:ascii="Times New Roman" w:hAnsi="Times New Roman" w:cs="Times New Roman"/>
          <w:sz w:val="24"/>
          <w:szCs w:val="24"/>
        </w:rPr>
        <w:t xml:space="preserve"> the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 liquid</w:t>
      </w:r>
      <w:r w:rsidR="00821A80"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="003C0D0A" w:rsidRPr="00655BD2">
        <w:rPr>
          <w:rFonts w:ascii="Times New Roman" w:hAnsi="Times New Roman" w:cs="Times New Roman"/>
          <w:sz w:val="24"/>
          <w:szCs w:val="24"/>
        </w:rPr>
        <w:t>depends on capillary force.</w:t>
      </w:r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="00821A80" w:rsidRPr="00655BD2">
        <w:rPr>
          <w:rFonts w:ascii="Times New Roman" w:hAnsi="Times New Roman" w:cs="Times New Roman"/>
          <w:sz w:val="24"/>
          <w:szCs w:val="24"/>
        </w:rPr>
        <w:t>In addition</w:t>
      </w:r>
      <w:r w:rsidRPr="00655BD2">
        <w:rPr>
          <w:rFonts w:ascii="Times New Roman" w:hAnsi="Times New Roman" w:cs="Times New Roman"/>
          <w:sz w:val="24"/>
          <w:szCs w:val="24"/>
        </w:rPr>
        <w:t xml:space="preserve">, the material amount of the test region is limited. The signal value will tend to stabilize after a period of reaction. 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Meanwhile, the size and homogeneity of probes in solution are </w:t>
      </w:r>
      <w:r w:rsidR="009823C6" w:rsidRPr="00655BD2">
        <w:rPr>
          <w:rFonts w:ascii="Times New Roman" w:hAnsi="Times New Roman" w:cs="Times New Roman"/>
          <w:sz w:val="24"/>
          <w:szCs w:val="24"/>
        </w:rPr>
        <w:t>important</w:t>
      </w:r>
      <w:r w:rsidRPr="00655BD2">
        <w:rPr>
          <w:rFonts w:ascii="Times New Roman" w:hAnsi="Times New Roman" w:cs="Times New Roman"/>
          <w:sz w:val="24"/>
          <w:szCs w:val="24"/>
        </w:rPr>
        <w:t>. With small-sized and good dispersity, the detection object</w:t>
      </w:r>
      <w:r w:rsidR="004F3A7D" w:rsidRPr="00655BD2">
        <w:rPr>
          <w:rFonts w:ascii="Times New Roman" w:hAnsi="Times New Roman" w:cs="Times New Roman"/>
          <w:sz w:val="24"/>
          <w:szCs w:val="24"/>
        </w:rPr>
        <w:t>s</w:t>
      </w:r>
      <w:r w:rsidRPr="00655BD2">
        <w:rPr>
          <w:rFonts w:ascii="Times New Roman" w:hAnsi="Times New Roman" w:cs="Times New Roman"/>
          <w:sz w:val="24"/>
          <w:szCs w:val="24"/>
        </w:rPr>
        <w:t xml:space="preserve"> exhibit a </w:t>
      </w:r>
      <w:r w:rsidR="004F3A7D" w:rsidRPr="00655BD2">
        <w:rPr>
          <w:rFonts w:ascii="Times New Roman" w:hAnsi="Times New Roman" w:cs="Times New Roman"/>
          <w:sz w:val="24"/>
          <w:szCs w:val="24"/>
        </w:rPr>
        <w:t>faster migration rate which has</w:t>
      </w:r>
      <w:r w:rsidRPr="00655BD2">
        <w:rPr>
          <w:rFonts w:ascii="Times New Roman" w:hAnsi="Times New Roman" w:cs="Times New Roman"/>
          <w:sz w:val="24"/>
          <w:szCs w:val="24"/>
        </w:rPr>
        <w:t xml:space="preserve"> an impact on the immunological reaction on the strips </w:t>
      </w:r>
      <w:r w:rsidRPr="00655BD2">
        <w:rPr>
          <w:rFonts w:ascii="Times New Roman" w:hAnsi="Times New Roman" w:cs="Times New Roman" w:hint="eastAsia"/>
          <w:sz w:val="24"/>
          <w:szCs w:val="24"/>
          <w:vertAlign w:val="superscript"/>
        </w:rPr>
        <w:t>[</w:t>
      </w:r>
      <w:r w:rsidRPr="00655B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5BD2">
        <w:rPr>
          <w:rFonts w:ascii="Times New Roman" w:hAnsi="Times New Roman" w:cs="Times New Roman" w:hint="eastAsia"/>
          <w:sz w:val="24"/>
          <w:szCs w:val="24"/>
          <w:vertAlign w:val="superscript"/>
        </w:rPr>
        <w:t>]</w:t>
      </w:r>
      <w:r w:rsidRPr="00655BD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655BD2">
        <w:rPr>
          <w:rFonts w:ascii="Times New Roman" w:hAnsi="Times New Roman" w:cs="Times New Roman"/>
          <w:sz w:val="24"/>
          <w:szCs w:val="24"/>
        </w:rPr>
        <w:t xml:space="preserve">Hence, </w:t>
      </w:r>
      <w:proofErr w:type="gramStart"/>
      <w:r w:rsidRPr="00655BD2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="00913BC3" w:rsidRPr="00655BD2">
        <w:rPr>
          <w:rFonts w:ascii="Times New Roman" w:hAnsi="Times New Roman" w:cs="Times New Roman"/>
          <w:sz w:val="24"/>
          <w:szCs w:val="24"/>
        </w:rPr>
        <w:t>reaction</w:t>
      </w:r>
      <w:r w:rsidRPr="00655BD2">
        <w:rPr>
          <w:rFonts w:ascii="Times New Roman" w:hAnsi="Times New Roman" w:cs="Times New Roman"/>
          <w:sz w:val="24"/>
          <w:szCs w:val="24"/>
        </w:rPr>
        <w:t xml:space="preserve"> time is necessary.</w:t>
      </w:r>
    </w:p>
    <w:p w14:paraId="4664C685" w14:textId="77777777" w:rsidR="00B901AB" w:rsidRPr="00655BD2" w:rsidRDefault="00821A80" w:rsidP="00B901A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 xml:space="preserve">According to the color indication of the pH test paper, </w:t>
      </w:r>
      <w:r w:rsidR="00C36F62" w:rsidRPr="00655BD2">
        <w:rPr>
          <w:rFonts w:ascii="Times New Roman" w:hAnsi="Times New Roman" w:cs="Times New Roman"/>
          <w:sz w:val="24"/>
          <w:szCs w:val="24"/>
        </w:rPr>
        <w:t>it</w:t>
      </w:r>
      <w:r w:rsidRPr="00655BD2">
        <w:rPr>
          <w:rFonts w:ascii="Times New Roman" w:hAnsi="Times New Roman" w:cs="Times New Roman"/>
          <w:sz w:val="24"/>
          <w:szCs w:val="24"/>
        </w:rPr>
        <w:t xml:space="preserve"> needs at least 15 mins</w:t>
      </w:r>
      <w:r w:rsidR="00C36F62" w:rsidRPr="00655BD2">
        <w:rPr>
          <w:rFonts w:ascii="Times New Roman" w:hAnsi="Times New Roman" w:cs="Times New Roman"/>
          <w:sz w:val="24"/>
          <w:szCs w:val="24"/>
        </w:rPr>
        <w:t>’</w:t>
      </w:r>
      <w:r w:rsidRPr="00655BD2">
        <w:rPr>
          <w:rFonts w:ascii="Times New Roman" w:hAnsi="Times New Roman" w:cs="Times New Roman"/>
          <w:sz w:val="24"/>
          <w:szCs w:val="24"/>
        </w:rPr>
        <w:t xml:space="preserve"> incubation for the fluid upwelled to endpoint. In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 the immunological kinetics analysis</w:t>
      </w:r>
      <w:r w:rsidRPr="00655BD2">
        <w:rPr>
          <w:rFonts w:ascii="Times New Roman" w:hAnsi="Times New Roman" w:cs="Times New Roman"/>
          <w:sz w:val="24"/>
          <w:szCs w:val="24"/>
        </w:rPr>
        <w:t xml:space="preserve">, the fluorescent </w:t>
      </w:r>
      <w:r w:rsidR="00905BBD" w:rsidRPr="00655BD2">
        <w:rPr>
          <w:rFonts w:ascii="Times New Roman" w:hAnsi="Times New Roman" w:cs="Times New Roman"/>
          <w:sz w:val="24"/>
          <w:szCs w:val="24"/>
        </w:rPr>
        <w:t xml:space="preserve">intensity </w:t>
      </w:r>
      <w:r w:rsidRPr="00655BD2">
        <w:rPr>
          <w:rFonts w:ascii="Times New Roman" w:hAnsi="Times New Roman" w:cs="Times New Roman"/>
          <w:sz w:val="24"/>
          <w:szCs w:val="24"/>
        </w:rPr>
        <w:t>of test line</w:t>
      </w:r>
      <w:r w:rsidR="00905BBD" w:rsidRPr="00655BD2">
        <w:rPr>
          <w:rFonts w:ascii="Times New Roman" w:hAnsi="Times New Roman" w:cs="Times New Roman"/>
          <w:sz w:val="24"/>
          <w:szCs w:val="24"/>
        </w:rPr>
        <w:t xml:space="preserve"> (FI</w:t>
      </w:r>
      <w:r w:rsidR="00905BBD" w:rsidRPr="00655BD2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905BBD" w:rsidRPr="00655BD2">
        <w:rPr>
          <w:rFonts w:ascii="Times New Roman" w:hAnsi="Times New Roman" w:cs="Times New Roman"/>
          <w:sz w:val="24"/>
          <w:szCs w:val="24"/>
        </w:rPr>
        <w:t>)</w:t>
      </w:r>
      <w:r w:rsidRPr="00655BD2">
        <w:rPr>
          <w:rFonts w:ascii="Times New Roman" w:hAnsi="Times New Roman" w:cs="Times New Roman"/>
          <w:sz w:val="24"/>
          <w:szCs w:val="24"/>
        </w:rPr>
        <w:t xml:space="preserve"> and control line</w:t>
      </w:r>
      <w:r w:rsidR="00905BBD" w:rsidRPr="00655BD2">
        <w:rPr>
          <w:rFonts w:ascii="Times New Roman" w:hAnsi="Times New Roman" w:cs="Times New Roman"/>
          <w:sz w:val="24"/>
          <w:szCs w:val="24"/>
        </w:rPr>
        <w:t xml:space="preserve"> (FI</w:t>
      </w:r>
      <w:r w:rsidR="00905BBD" w:rsidRPr="00655BD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905BBD" w:rsidRPr="00655BD2">
        <w:rPr>
          <w:rFonts w:ascii="Times New Roman" w:hAnsi="Times New Roman" w:cs="Times New Roman"/>
          <w:sz w:val="24"/>
          <w:szCs w:val="24"/>
        </w:rPr>
        <w:t>)</w:t>
      </w:r>
      <w:r w:rsidRPr="00655BD2">
        <w:rPr>
          <w:rFonts w:ascii="Times New Roman" w:hAnsi="Times New Roman" w:cs="Times New Roman"/>
          <w:sz w:val="24"/>
          <w:szCs w:val="24"/>
        </w:rPr>
        <w:t xml:space="preserve"> were recorded every 5 min in 1 h. 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The kinetics curve </w:t>
      </w:r>
      <w:r w:rsidR="00C36F62" w:rsidRPr="00655BD2">
        <w:rPr>
          <w:rFonts w:ascii="Times New Roman" w:hAnsi="Times New Roman" w:cs="Times New Roman"/>
          <w:sz w:val="24"/>
          <w:szCs w:val="24"/>
        </w:rPr>
        <w:t>was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 fitted by plotting both FI</w:t>
      </w:r>
      <w:r w:rsidR="003C0D0A" w:rsidRPr="00655BD2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 and FI</w:t>
      </w:r>
      <w:r w:rsidR="003C0D0A" w:rsidRPr="00655BD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 against time.</w:t>
      </w:r>
      <w:r w:rsidR="00B901AB" w:rsidRPr="00655BD2">
        <w:rPr>
          <w:rFonts w:ascii="Times New Roman" w:hAnsi="Times New Roman" w:cs="Times New Roman"/>
          <w:sz w:val="24"/>
          <w:szCs w:val="24"/>
        </w:rPr>
        <w:t xml:space="preserve"> As demonstrated in Figure 2, the FI</w:t>
      </w:r>
      <w:r w:rsidR="00B901AB" w:rsidRPr="00655BD2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 w:rsidR="00B81767" w:rsidRPr="00655BD2">
        <w:rPr>
          <w:rFonts w:ascii="Times New Roman" w:hAnsi="Times New Roman" w:cs="Times New Roman"/>
          <w:sz w:val="24"/>
          <w:szCs w:val="24"/>
        </w:rPr>
        <w:t>is c</w:t>
      </w:r>
      <w:r w:rsidR="00B901AB" w:rsidRPr="00655BD2">
        <w:rPr>
          <w:rFonts w:ascii="Times New Roman" w:hAnsi="Times New Roman" w:cs="Times New Roman"/>
          <w:sz w:val="24"/>
          <w:szCs w:val="24"/>
        </w:rPr>
        <w:t>orrelated with time positively, presenting the continuous increase trend over preset time. However, FI</w:t>
      </w:r>
      <w:r w:rsidR="00B901AB" w:rsidRPr="00655BD2">
        <w:rPr>
          <w:rFonts w:ascii="Times New Roman" w:hAnsi="Times New Roman" w:cs="Times New Roman"/>
          <w:sz w:val="24"/>
          <w:szCs w:val="24"/>
          <w:vertAlign w:val="subscript"/>
        </w:rPr>
        <w:t xml:space="preserve">T </w:t>
      </w:r>
      <w:r w:rsidR="00B901AB" w:rsidRPr="00655BD2">
        <w:rPr>
          <w:rFonts w:ascii="Times New Roman" w:hAnsi="Times New Roman" w:cs="Times New Roman"/>
          <w:sz w:val="24"/>
          <w:szCs w:val="24"/>
        </w:rPr>
        <w:t xml:space="preserve">tends to 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maintain balance </w:t>
      </w:r>
      <w:r w:rsidR="00B901AB" w:rsidRPr="00655BD2">
        <w:rPr>
          <w:rFonts w:ascii="Times New Roman" w:hAnsi="Times New Roman" w:cs="Times New Roman"/>
          <w:sz w:val="24"/>
          <w:szCs w:val="24"/>
        </w:rPr>
        <w:t>and the FI</w:t>
      </w:r>
      <w:r w:rsidR="00B901AB" w:rsidRPr="00655BD2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B901AB" w:rsidRPr="00655BD2">
        <w:rPr>
          <w:rFonts w:ascii="Times New Roman" w:hAnsi="Times New Roman" w:cs="Times New Roman"/>
          <w:sz w:val="24"/>
          <w:szCs w:val="24"/>
        </w:rPr>
        <w:t>/ FI</w:t>
      </w:r>
      <w:r w:rsidR="00B901AB" w:rsidRPr="00655BD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B901AB" w:rsidRPr="00655BD2">
        <w:rPr>
          <w:rFonts w:ascii="Times New Roman" w:hAnsi="Times New Roman" w:cs="Times New Roman"/>
          <w:sz w:val="24"/>
          <w:szCs w:val="24"/>
        </w:rPr>
        <w:t xml:space="preserve"> value</w:t>
      </w:r>
      <w:r w:rsidR="00B901AB" w:rsidRPr="00655B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901AB" w:rsidRPr="00655BD2">
        <w:rPr>
          <w:rFonts w:ascii="Times New Roman" w:hAnsi="Times New Roman" w:cs="Times New Roman"/>
          <w:sz w:val="24"/>
          <w:szCs w:val="24"/>
        </w:rPr>
        <w:t xml:space="preserve">is close to 1:1 in approximately 40 min. Thus, 40 min was </w:t>
      </w:r>
      <w:proofErr w:type="gramStart"/>
      <w:r w:rsidR="00B901AB" w:rsidRPr="00655BD2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="00B901AB" w:rsidRPr="00655BD2">
        <w:rPr>
          <w:rFonts w:ascii="Times New Roman" w:hAnsi="Times New Roman" w:cs="Times New Roman"/>
          <w:sz w:val="24"/>
          <w:szCs w:val="24"/>
        </w:rPr>
        <w:t xml:space="preserve"> for immunological reaction.</w:t>
      </w:r>
    </w:p>
    <w:p w14:paraId="2320AFDD" w14:textId="77777777" w:rsidR="00B901AB" w:rsidRPr="00655BD2" w:rsidRDefault="00B901AB" w:rsidP="00B901AB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655BD2">
        <w:rPr>
          <w:rFonts w:ascii="Times New Roman" w:hAnsi="Times New Roman" w:cs="Times New Roman"/>
          <w:b/>
          <w:bCs/>
          <w:sz w:val="24"/>
          <w:szCs w:val="24"/>
        </w:rPr>
        <w:t xml:space="preserve">1.3 Concentration of </w:t>
      </w:r>
      <w:r w:rsidRPr="00655BD2">
        <w:rPr>
          <w:rFonts w:ascii="Times New Roman" w:hAnsi="Times New Roman" w:cs="Times New Roman" w:hint="eastAsia"/>
          <w:b/>
          <w:bCs/>
          <w:sz w:val="24"/>
          <w:szCs w:val="24"/>
        </w:rPr>
        <w:t>meth</w:t>
      </w:r>
      <w:r w:rsidRPr="00655B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5BD2">
        <w:rPr>
          <w:rFonts w:ascii="Times New Roman" w:hAnsi="Times New Roman" w:cs="Times New Roman" w:hint="eastAsia"/>
          <w:b/>
          <w:bCs/>
          <w:sz w:val="24"/>
          <w:szCs w:val="24"/>
        </w:rPr>
        <w:t>nol</w:t>
      </w:r>
      <w:r w:rsidRPr="00655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BD2">
        <w:rPr>
          <w:rFonts w:ascii="Times New Roman" w:hAnsi="Times New Roman" w:cs="Times New Roman" w:hint="eastAsia"/>
          <w:b/>
          <w:bCs/>
          <w:sz w:val="24"/>
          <w:szCs w:val="24"/>
        </w:rPr>
        <w:t>in working buffer</w:t>
      </w:r>
    </w:p>
    <w:p w14:paraId="38077911" w14:textId="77777777" w:rsidR="00B901AB" w:rsidRPr="00655BD2" w:rsidRDefault="00B901AB" w:rsidP="00B901A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55BD2">
        <w:rPr>
          <w:rFonts w:ascii="Times New Roman" w:hAnsi="Times New Roman" w:cs="Times New Roman"/>
          <w:sz w:val="24"/>
          <w:szCs w:val="24"/>
        </w:rPr>
        <w:t>In previous study</w:t>
      </w:r>
      <w:r w:rsidRPr="00655BD2">
        <w:rPr>
          <w:rFonts w:ascii="Times New Roman" w:hAnsi="Times New Roman" w:cs="Times New Roman" w:hint="eastAsia"/>
          <w:sz w:val="24"/>
          <w:szCs w:val="24"/>
        </w:rPr>
        <w:t>,</w:t>
      </w:r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="00B81767" w:rsidRPr="00655BD2">
        <w:rPr>
          <w:rFonts w:ascii="Times New Roman" w:hAnsi="Times New Roman" w:cs="Times New Roman"/>
          <w:sz w:val="24"/>
          <w:szCs w:val="24"/>
        </w:rPr>
        <w:t>a</w:t>
      </w:r>
      <w:r w:rsidRPr="00655BD2">
        <w:rPr>
          <w:rFonts w:ascii="Times New Roman" w:hAnsi="Times New Roman" w:cs="Times New Roman"/>
          <w:sz w:val="24"/>
          <w:szCs w:val="24"/>
        </w:rPr>
        <w:t xml:space="preserve"> certain volume of </w:t>
      </w:r>
      <w:r w:rsidRPr="00655BD2">
        <w:rPr>
          <w:rFonts w:ascii="Times New Roman" w:hAnsi="Times New Roman" w:cs="Times New Roman" w:hint="eastAsia"/>
          <w:sz w:val="24"/>
          <w:szCs w:val="24"/>
        </w:rPr>
        <w:t>organic solvent</w:t>
      </w:r>
      <w:r w:rsidRPr="00655BD2">
        <w:rPr>
          <w:rFonts w:ascii="Times New Roman" w:hAnsi="Times New Roman" w:cs="Times New Roman"/>
          <w:sz w:val="24"/>
          <w:szCs w:val="24"/>
        </w:rPr>
        <w:t xml:space="preserve"> in buffer favored the sensitivity 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has </w:t>
      </w:r>
      <w:r w:rsidRPr="00655BD2">
        <w:rPr>
          <w:rFonts w:ascii="Times New Roman" w:hAnsi="Times New Roman" w:cs="Times New Roman"/>
          <w:sz w:val="24"/>
          <w:szCs w:val="24"/>
        </w:rPr>
        <w:t xml:space="preserve">been proved </w:t>
      </w:r>
      <w:r w:rsidRPr="00655BD2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655BD2">
        <w:rPr>
          <w:rFonts w:ascii="Times New Roman" w:hAnsi="Times New Roman" w:cs="Times New Roman"/>
          <w:sz w:val="24"/>
          <w:szCs w:val="24"/>
        </w:rPr>
        <w:t>. However, the immunoreaction between antigen and antibody was disturbed accessibly under high concentration</w:t>
      </w:r>
      <w:r w:rsidR="00B81767" w:rsidRPr="00655BD2">
        <w:rPr>
          <w:rFonts w:ascii="Times New Roman" w:hAnsi="Times New Roman" w:cs="Times New Roman"/>
          <w:sz w:val="24"/>
          <w:szCs w:val="24"/>
        </w:rPr>
        <w:t xml:space="preserve"> of </w:t>
      </w:r>
      <w:r w:rsidR="00B81767" w:rsidRPr="00655BD2">
        <w:rPr>
          <w:rFonts w:ascii="Times New Roman" w:hAnsi="Times New Roman" w:cs="Times New Roman" w:hint="eastAsia"/>
          <w:sz w:val="24"/>
          <w:szCs w:val="24"/>
        </w:rPr>
        <w:t>organic solvent</w:t>
      </w:r>
      <w:r w:rsidRPr="00655BD2">
        <w:rPr>
          <w:rFonts w:ascii="Times New Roman" w:hAnsi="Times New Roman" w:cs="Times New Roman"/>
          <w:sz w:val="24"/>
          <w:szCs w:val="24"/>
        </w:rPr>
        <w:t xml:space="preserve">. To evaluate the effects of methanol contents on the </w:t>
      </w:r>
      <w:r w:rsidR="00B81767" w:rsidRPr="00655BD2">
        <w:rPr>
          <w:rFonts w:ascii="Times New Roman" w:hAnsi="Times New Roman" w:cs="Times New Roman"/>
          <w:sz w:val="24"/>
          <w:szCs w:val="24"/>
        </w:rPr>
        <w:t xml:space="preserve">assay </w:t>
      </w:r>
      <w:r w:rsidRPr="00655BD2">
        <w:rPr>
          <w:rFonts w:ascii="Times New Roman" w:hAnsi="Times New Roman" w:cs="Times New Roman"/>
          <w:sz w:val="24"/>
          <w:szCs w:val="24"/>
        </w:rPr>
        <w:t>performance, we diluted the pesticide standard solution with PBS buffer (0.</w:t>
      </w:r>
      <w:r w:rsidR="00B81767" w:rsidRPr="00655BD2">
        <w:rPr>
          <w:rFonts w:ascii="Times New Roman" w:hAnsi="Times New Roman" w:cs="Times New Roman"/>
          <w:sz w:val="24"/>
          <w:szCs w:val="24"/>
        </w:rPr>
        <w:t>0</w:t>
      </w:r>
      <w:r w:rsidR="00905BBD" w:rsidRPr="00655BD2">
        <w:rPr>
          <w:rFonts w:ascii="Times New Roman" w:hAnsi="Times New Roman" w:cs="Times New Roman"/>
          <w:sz w:val="24"/>
          <w:szCs w:val="24"/>
        </w:rPr>
        <w:t>1 mol/L</w:t>
      </w:r>
      <w:r w:rsidRPr="00655BD2">
        <w:rPr>
          <w:rFonts w:ascii="Times New Roman" w:hAnsi="Times New Roman" w:cs="Times New Roman" w:hint="eastAsia"/>
          <w:sz w:val="24"/>
          <w:szCs w:val="24"/>
        </w:rPr>
        <w:t>, pH 7.4</w:t>
      </w:r>
      <w:r w:rsidRPr="00655BD2">
        <w:rPr>
          <w:rFonts w:ascii="Times New Roman" w:hAnsi="Times New Roman" w:cs="Times New Roman"/>
          <w:sz w:val="24"/>
          <w:szCs w:val="24"/>
        </w:rPr>
        <w:t xml:space="preserve">) containing </w:t>
      </w:r>
      <w:r w:rsidR="00B81767" w:rsidRPr="00655BD2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655BD2">
        <w:rPr>
          <w:rFonts w:ascii="Times New Roman" w:hAnsi="Times New Roman" w:cs="Times New Roman"/>
          <w:sz w:val="24"/>
          <w:szCs w:val="24"/>
        </w:rPr>
        <w:t>volume</w:t>
      </w:r>
      <w:r w:rsidR="00B81767" w:rsidRPr="00655BD2">
        <w:rPr>
          <w:rFonts w:ascii="Times New Roman" w:hAnsi="Times New Roman" w:cs="Times New Roman"/>
          <w:sz w:val="24"/>
          <w:szCs w:val="24"/>
        </w:rPr>
        <w:t>s of methanol</w:t>
      </w:r>
      <w:r w:rsidR="00905BBD" w:rsidRPr="00655BD2">
        <w:rPr>
          <w:rFonts w:ascii="Times New Roman" w:hAnsi="Times New Roman" w:cs="Times New Roman"/>
          <w:sz w:val="24"/>
          <w:szCs w:val="24"/>
        </w:rPr>
        <w:t xml:space="preserve">. </w:t>
      </w:r>
      <w:r w:rsidR="003C0D0A" w:rsidRPr="00655BD2">
        <w:rPr>
          <w:rFonts w:ascii="Times New Roman" w:hAnsi="Times New Roman" w:cs="Times New Roman"/>
          <w:sz w:val="24"/>
          <w:szCs w:val="24"/>
        </w:rPr>
        <w:t>The final concentration of methanol in the reaction buffer</w:t>
      </w:r>
      <w:r w:rsidR="00905BBD"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t>was from 0% to 30% (v/v). Figure 2</w:t>
      </w:r>
      <w:r w:rsidR="00905BBD" w:rsidRPr="00655BD2">
        <w:rPr>
          <w:rFonts w:ascii="Times New Roman" w:hAnsi="Times New Roman" w:cs="Times New Roman"/>
          <w:sz w:val="24"/>
          <w:szCs w:val="24"/>
        </w:rPr>
        <w:t xml:space="preserve"> demonstrates that</w:t>
      </w:r>
      <w:r w:rsidRPr="00655BD2">
        <w:rPr>
          <w:rFonts w:ascii="Times New Roman" w:hAnsi="Times New Roman" w:cs="Times New Roman"/>
          <w:sz w:val="24"/>
          <w:szCs w:val="24"/>
        </w:rPr>
        <w:t xml:space="preserve"> FI</w:t>
      </w:r>
      <w:r w:rsidRPr="00655BD2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 w:rsidRPr="00655BD2">
        <w:rPr>
          <w:rFonts w:ascii="Times New Roman" w:hAnsi="Times New Roman" w:cs="Times New Roman"/>
          <w:sz w:val="24"/>
          <w:szCs w:val="24"/>
        </w:rPr>
        <w:t>tends to be stable with the increase of methanol concentration</w:t>
      </w:r>
      <w:r w:rsidR="00905BBD" w:rsidRPr="00655BD2">
        <w:rPr>
          <w:rFonts w:ascii="Times New Roman" w:hAnsi="Times New Roman" w:cs="Times New Roman"/>
          <w:sz w:val="24"/>
          <w:szCs w:val="24"/>
        </w:rPr>
        <w:t>.</w:t>
      </w:r>
      <w:r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We speculated that goat anti-mouse IgG can </w:t>
      </w:r>
      <w:r w:rsidR="003C0D0A" w:rsidRPr="00655BD2">
        <w:rPr>
          <w:rFonts w:ascii="Times New Roman" w:hAnsi="Times New Roman" w:cs="Times New Roman"/>
          <w:sz w:val="24"/>
          <w:szCs w:val="24"/>
        </w:rPr>
        <w:lastRenderedPageBreak/>
        <w:t>tolerate the series of organic solvent concentration.</w:t>
      </w:r>
      <w:r w:rsidRPr="00655BD2">
        <w:rPr>
          <w:rFonts w:ascii="Times New Roman" w:hAnsi="Times New Roman" w:cs="Times New Roman"/>
          <w:sz w:val="24"/>
          <w:szCs w:val="24"/>
        </w:rPr>
        <w:t xml:space="preserve"> However, FI</w:t>
      </w:r>
      <w:r w:rsidRPr="00655BD2">
        <w:rPr>
          <w:rFonts w:ascii="Times New Roman" w:hAnsi="Times New Roman" w:cs="Times New Roman"/>
          <w:sz w:val="24"/>
          <w:szCs w:val="24"/>
          <w:vertAlign w:val="subscript"/>
        </w:rPr>
        <w:t xml:space="preserve">T </w:t>
      </w:r>
      <w:r w:rsidRPr="00655BD2">
        <w:rPr>
          <w:rFonts w:ascii="Times New Roman" w:hAnsi="Times New Roman" w:cs="Times New Roman"/>
          <w:sz w:val="24"/>
          <w:szCs w:val="24"/>
        </w:rPr>
        <w:t xml:space="preserve">showed a rapid increase from 0% </w:t>
      </w:r>
      <w:r w:rsidRPr="00655BD2">
        <w:rPr>
          <w:rFonts w:ascii="Times New Roman" w:hAnsi="Times New Roman" w:cs="Times New Roman" w:hint="eastAsia"/>
          <w:sz w:val="24"/>
          <w:szCs w:val="24"/>
        </w:rPr>
        <w:t>to 2.5%</w:t>
      </w:r>
      <w:r w:rsidRPr="00655BD2">
        <w:rPr>
          <w:rFonts w:ascii="Times New Roman" w:hAnsi="Times New Roman" w:cs="Times New Roman"/>
          <w:sz w:val="24"/>
          <w:szCs w:val="24"/>
        </w:rPr>
        <w:t xml:space="preserve">, and then </w:t>
      </w:r>
      <w:r w:rsidR="00DF09E0" w:rsidRPr="00655BD2">
        <w:rPr>
          <w:rFonts w:ascii="Times New Roman" w:hAnsi="Times New Roman" w:cs="Times New Roman"/>
          <w:sz w:val="24"/>
          <w:szCs w:val="24"/>
        </w:rPr>
        <w:t>ke</w:t>
      </w:r>
      <w:r w:rsidR="003C0D0A" w:rsidRPr="00655BD2">
        <w:rPr>
          <w:rFonts w:ascii="Times New Roman" w:hAnsi="Times New Roman" w:cs="Times New Roman"/>
          <w:sz w:val="24"/>
          <w:szCs w:val="24"/>
        </w:rPr>
        <w:t>p</w:t>
      </w:r>
      <w:r w:rsidR="00DF09E0" w:rsidRPr="00655BD2">
        <w:rPr>
          <w:rFonts w:ascii="Times New Roman" w:hAnsi="Times New Roman" w:cs="Times New Roman"/>
          <w:sz w:val="24"/>
          <w:szCs w:val="24"/>
        </w:rPr>
        <w:t>t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 a balance</w:t>
      </w:r>
      <w:r w:rsidRPr="00655BD2">
        <w:rPr>
          <w:rFonts w:ascii="Times New Roman" w:hAnsi="Times New Roman" w:cs="Times New Roman"/>
          <w:sz w:val="24"/>
          <w:szCs w:val="24"/>
        </w:rPr>
        <w:t xml:space="preserve"> at</w:t>
      </w:r>
      <w:r w:rsidR="003C0D0A" w:rsidRPr="00655BD2">
        <w:rPr>
          <w:rFonts w:ascii="Times New Roman" w:hAnsi="Times New Roman" w:cs="Times New Roman"/>
          <w:sz w:val="24"/>
          <w:szCs w:val="24"/>
        </w:rPr>
        <w:t xml:space="preserve"> a concentration</w:t>
      </w:r>
      <w:r w:rsidRPr="00655BD2">
        <w:rPr>
          <w:rFonts w:ascii="Times New Roman" w:hAnsi="Times New Roman" w:cs="Times New Roman"/>
          <w:sz w:val="24"/>
          <w:szCs w:val="24"/>
        </w:rPr>
        <w:t xml:space="preserve"> between 2.5% and 20%. Finally, the signal tends to decrease gradually with the concentration over 20% to 30%. FI</w:t>
      </w:r>
      <w:r w:rsidRPr="00655BD2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655BD2">
        <w:rPr>
          <w:rFonts w:ascii="Times New Roman" w:hAnsi="Times New Roman" w:cs="Times New Roman"/>
          <w:sz w:val="24"/>
          <w:szCs w:val="24"/>
        </w:rPr>
        <w:t>/ FI</w:t>
      </w:r>
      <w:r w:rsidRPr="00655BD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655BD2">
        <w:rPr>
          <w:rFonts w:ascii="Times New Roman" w:hAnsi="Times New Roman" w:cs="Times New Roman"/>
          <w:sz w:val="24"/>
          <w:szCs w:val="24"/>
        </w:rPr>
        <w:t xml:space="preserve"> value shows a nearly same trend</w:t>
      </w:r>
      <w:r w:rsidR="00F102D2"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="003C0D0A" w:rsidRPr="00655BD2">
        <w:rPr>
          <w:rFonts w:ascii="Times New Roman" w:hAnsi="Times New Roman" w:cs="Times New Roman"/>
          <w:sz w:val="24"/>
          <w:szCs w:val="24"/>
        </w:rPr>
        <w:t>and reached a peak</w:t>
      </w:r>
      <w:r w:rsidRPr="00655BD2">
        <w:rPr>
          <w:rFonts w:ascii="Times New Roman" w:hAnsi="Times New Roman" w:cs="Times New Roman"/>
          <w:sz w:val="24"/>
          <w:szCs w:val="24"/>
        </w:rPr>
        <w:t xml:space="preserve"> at 5% (Figure 2). Thus, we selected PBS buffer (0.</w:t>
      </w:r>
      <w:r w:rsidR="00B81767" w:rsidRPr="00655BD2">
        <w:rPr>
          <w:rFonts w:ascii="Times New Roman" w:hAnsi="Times New Roman" w:cs="Times New Roman"/>
          <w:sz w:val="24"/>
          <w:szCs w:val="24"/>
        </w:rPr>
        <w:t>0</w:t>
      </w:r>
      <w:r w:rsidR="00F102D2" w:rsidRPr="00655BD2">
        <w:rPr>
          <w:rFonts w:ascii="Times New Roman" w:hAnsi="Times New Roman" w:cs="Times New Roman"/>
          <w:sz w:val="24"/>
          <w:szCs w:val="24"/>
        </w:rPr>
        <w:t>1 mol/L</w:t>
      </w:r>
      <w:r w:rsidRPr="00655BD2">
        <w:rPr>
          <w:rFonts w:ascii="Times New Roman" w:hAnsi="Times New Roman" w:cs="Times New Roman" w:hint="eastAsia"/>
          <w:sz w:val="24"/>
          <w:szCs w:val="24"/>
        </w:rPr>
        <w:t>, pH 7.4</w:t>
      </w:r>
      <w:r w:rsidRPr="00655BD2">
        <w:rPr>
          <w:rFonts w:ascii="Times New Roman" w:hAnsi="Times New Roman" w:cs="Times New Roman"/>
          <w:sz w:val="24"/>
          <w:szCs w:val="24"/>
        </w:rPr>
        <w:t xml:space="preserve">) with final methanol concentration of 10% as dilute and extract solution </w:t>
      </w:r>
      <w:r w:rsidR="003C0D0A" w:rsidRPr="00655BD2">
        <w:rPr>
          <w:rFonts w:ascii="Times New Roman" w:hAnsi="Times New Roman" w:cs="Times New Roman"/>
          <w:sz w:val="24"/>
          <w:szCs w:val="24"/>
        </w:rPr>
        <w:t>for</w:t>
      </w:r>
      <w:r w:rsidR="00F102D2" w:rsidRPr="00655BD2">
        <w:rPr>
          <w:rFonts w:ascii="Times New Roman" w:hAnsi="Times New Roman" w:cs="Times New Roman"/>
          <w:sz w:val="24"/>
          <w:szCs w:val="24"/>
        </w:rPr>
        <w:t xml:space="preserve"> </w:t>
      </w:r>
      <w:r w:rsidRPr="00655BD2">
        <w:rPr>
          <w:rFonts w:ascii="Times New Roman" w:hAnsi="Times New Roman" w:cs="Times New Roman"/>
          <w:sz w:val="24"/>
          <w:szCs w:val="24"/>
        </w:rPr>
        <w:t>real sample.</w:t>
      </w:r>
    </w:p>
    <w:p w14:paraId="11BC5B78" w14:textId="77777777" w:rsidR="00B901AB" w:rsidRDefault="00B901AB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0DB95A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8C725B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C03E6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FE5C2E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233172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2CA900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5C1C86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BF0B03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162CC2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FF0EE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8ACE39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652E6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771480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5A4F44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F923B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B9D9EB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E9E935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A4721E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BAB6E6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0772C4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CAA18C" w14:textId="77777777" w:rsidR="00DD5891" w:rsidRDefault="00DD5891" w:rsidP="00B9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A43141" w14:textId="77777777" w:rsidR="00B901AB" w:rsidRPr="008B3380" w:rsidRDefault="00B901AB" w:rsidP="00B90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380">
        <w:rPr>
          <w:rFonts w:ascii="Times New Roman" w:hAnsi="Times New Roman" w:cs="Times New Roman"/>
          <w:b/>
          <w:sz w:val="28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8"/>
          <w:szCs w:val="24"/>
        </w:rPr>
        <w:t>References</w:t>
      </w:r>
    </w:p>
    <w:p w14:paraId="260269B3" w14:textId="77777777" w:rsidR="00B901AB" w:rsidRDefault="00B901AB" w:rsidP="00B901AB">
      <w:pPr>
        <w:pStyle w:val="EndnoteText"/>
        <w:spacing w:line="440" w:lineRule="exact"/>
        <w:jc w:val="both"/>
        <w:rPr>
          <w:szCs w:val="21"/>
        </w:rPr>
      </w:pPr>
      <w:r>
        <w:rPr>
          <w:szCs w:val="21"/>
        </w:rPr>
        <w:lastRenderedPageBreak/>
        <w:t xml:space="preserve">[1] </w:t>
      </w:r>
      <w:proofErr w:type="spellStart"/>
      <w:r>
        <w:rPr>
          <w:szCs w:val="21"/>
        </w:rPr>
        <w:t>Duan</w:t>
      </w:r>
      <w:proofErr w:type="spellEnd"/>
      <w:r w:rsidRPr="001D7835">
        <w:rPr>
          <w:szCs w:val="21"/>
        </w:rPr>
        <w:t>,</w:t>
      </w:r>
      <w:r>
        <w:rPr>
          <w:szCs w:val="21"/>
        </w:rPr>
        <w:t xml:space="preserve"> H., </w:t>
      </w:r>
      <w:r w:rsidRPr="001D7835">
        <w:rPr>
          <w:szCs w:val="21"/>
        </w:rPr>
        <w:t>Huang</w:t>
      </w:r>
      <w:r>
        <w:rPr>
          <w:szCs w:val="21"/>
        </w:rPr>
        <w:t>,</w:t>
      </w:r>
      <w:r w:rsidRPr="001D7835">
        <w:rPr>
          <w:szCs w:val="21"/>
        </w:rPr>
        <w:t xml:space="preserve"> X</w:t>
      </w:r>
      <w:r>
        <w:rPr>
          <w:szCs w:val="21"/>
        </w:rPr>
        <w:t>. L.</w:t>
      </w:r>
      <w:r w:rsidRPr="001D7835">
        <w:rPr>
          <w:szCs w:val="21"/>
        </w:rPr>
        <w:t>, Shao</w:t>
      </w:r>
      <w:r>
        <w:rPr>
          <w:szCs w:val="21"/>
        </w:rPr>
        <w:t>,</w:t>
      </w:r>
      <w:r w:rsidRPr="001D7835">
        <w:rPr>
          <w:szCs w:val="21"/>
        </w:rPr>
        <w:t xml:space="preserve"> Y</w:t>
      </w:r>
      <w:r>
        <w:rPr>
          <w:szCs w:val="21"/>
        </w:rPr>
        <w:t>. N.</w:t>
      </w:r>
      <w:r w:rsidRPr="001D7835">
        <w:rPr>
          <w:szCs w:val="21"/>
        </w:rPr>
        <w:t>,</w:t>
      </w:r>
      <w:r>
        <w:rPr>
          <w:szCs w:val="21"/>
        </w:rPr>
        <w:t xml:space="preserve"> Zheng, L. Y., Guo, L., </w:t>
      </w:r>
      <w:proofErr w:type="spellStart"/>
      <w:r>
        <w:rPr>
          <w:szCs w:val="21"/>
        </w:rPr>
        <w:t>Xiong</w:t>
      </w:r>
      <w:proofErr w:type="spellEnd"/>
      <w:r>
        <w:rPr>
          <w:szCs w:val="21"/>
        </w:rPr>
        <w:t>, Y. H. (2017).</w:t>
      </w:r>
      <w:r w:rsidRPr="001D7835">
        <w:rPr>
          <w:szCs w:val="21"/>
        </w:rPr>
        <w:t xml:space="preserve"> Size-dependent Immunochromatographic Assay with Quantum Dot Nanobeads for Sensitive and Quantitative Detection of Ochratoxin A in Corn</w:t>
      </w:r>
      <w:r>
        <w:rPr>
          <w:szCs w:val="21"/>
        </w:rPr>
        <w:t xml:space="preserve">. </w:t>
      </w:r>
      <w:r w:rsidRPr="001D7835">
        <w:rPr>
          <w:szCs w:val="21"/>
        </w:rPr>
        <w:t>Analytical Chemistry</w:t>
      </w:r>
      <w:r>
        <w:rPr>
          <w:szCs w:val="21"/>
        </w:rPr>
        <w:t xml:space="preserve"> </w:t>
      </w:r>
      <w:r w:rsidRPr="001D7835">
        <w:rPr>
          <w:szCs w:val="21"/>
        </w:rPr>
        <w:t>89</w:t>
      </w:r>
      <w:r>
        <w:rPr>
          <w:szCs w:val="21"/>
        </w:rPr>
        <w:t>: 7062-7068.</w:t>
      </w:r>
    </w:p>
    <w:p w14:paraId="459DBEC2" w14:textId="77777777" w:rsidR="001A53E9" w:rsidRDefault="00B901AB" w:rsidP="001A53E9">
      <w:pPr>
        <w:pStyle w:val="EndnoteText"/>
        <w:spacing w:line="440" w:lineRule="exact"/>
        <w:jc w:val="both"/>
        <w:rPr>
          <w:szCs w:val="21"/>
        </w:rPr>
      </w:pPr>
      <w:r w:rsidRPr="00655BD2">
        <w:rPr>
          <w:szCs w:val="21"/>
          <w:lang w:val="nb-NO"/>
        </w:rPr>
        <w:t xml:space="preserve">[2] Taheri, N., Lan, M. J., Wei, P., Liu, R., Gui, W. J., Guo, Y. R., et al. </w:t>
      </w:r>
      <w:bookmarkStart w:id="1" w:name="OLE_LINK73"/>
      <w:bookmarkStart w:id="2" w:name="OLE_LINK74"/>
      <w:r>
        <w:rPr>
          <w:szCs w:val="21"/>
        </w:rPr>
        <w:t xml:space="preserve">(2016). </w:t>
      </w:r>
      <w:r w:rsidRPr="001D7835">
        <w:rPr>
          <w:szCs w:val="21"/>
        </w:rPr>
        <w:t>Chemiluminescent Enzyme Immunoassay for Rapid Detection of Three α-</w:t>
      </w:r>
      <w:proofErr w:type="spellStart"/>
      <w:r w:rsidRPr="001D7835">
        <w:rPr>
          <w:szCs w:val="21"/>
        </w:rPr>
        <w:t>Cyano</w:t>
      </w:r>
      <w:proofErr w:type="spellEnd"/>
      <w:r w:rsidRPr="001D7835">
        <w:rPr>
          <w:szCs w:val="21"/>
        </w:rPr>
        <w:t xml:space="preserve"> Pyrethroid Residues in Agricultural Products</w:t>
      </w:r>
      <w:bookmarkEnd w:id="1"/>
      <w:bookmarkEnd w:id="2"/>
      <w:r>
        <w:rPr>
          <w:szCs w:val="21"/>
        </w:rPr>
        <w:t xml:space="preserve">. </w:t>
      </w:r>
      <w:r w:rsidRPr="001D7835">
        <w:rPr>
          <w:szCs w:val="21"/>
        </w:rPr>
        <w:t>Food Analytical Methods</w:t>
      </w:r>
      <w:r>
        <w:rPr>
          <w:szCs w:val="21"/>
        </w:rPr>
        <w:t xml:space="preserve"> </w:t>
      </w:r>
      <w:r w:rsidRPr="001D7835">
        <w:rPr>
          <w:szCs w:val="21"/>
        </w:rPr>
        <w:t>9</w:t>
      </w:r>
      <w:r>
        <w:rPr>
          <w:szCs w:val="21"/>
        </w:rPr>
        <w:t xml:space="preserve">, </w:t>
      </w:r>
      <w:r w:rsidRPr="001D7835">
        <w:rPr>
          <w:szCs w:val="21"/>
        </w:rPr>
        <w:t>1-10.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doi</w:t>
      </w:r>
      <w:proofErr w:type="spellEnd"/>
      <w:r>
        <w:rPr>
          <w:szCs w:val="21"/>
        </w:rPr>
        <w:t>:</w:t>
      </w:r>
      <w:r>
        <w:t xml:space="preserve"> </w:t>
      </w:r>
      <w:r w:rsidRPr="007028EF">
        <w:rPr>
          <w:szCs w:val="21"/>
        </w:rPr>
        <w:t>10.1007/s12161-016-0482-x</w:t>
      </w:r>
    </w:p>
    <w:p w14:paraId="4FAC044C" w14:textId="77777777" w:rsidR="00DD5891" w:rsidRPr="001A53E9" w:rsidRDefault="00DD5891" w:rsidP="001A53E9">
      <w:pPr>
        <w:pStyle w:val="EndnoteText"/>
        <w:spacing w:line="440" w:lineRule="exact"/>
        <w:jc w:val="both"/>
        <w:rPr>
          <w:szCs w:val="21"/>
        </w:rPr>
      </w:pPr>
    </w:p>
    <w:p w14:paraId="152DC010" w14:textId="77777777" w:rsidR="00B901AB" w:rsidRPr="004D1F8E" w:rsidRDefault="00B901AB" w:rsidP="00B901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380">
        <w:rPr>
          <w:rFonts w:ascii="Times New Roman" w:hAnsi="Times New Roman" w:cs="Times New Roman"/>
          <w:b/>
          <w:sz w:val="28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8"/>
          <w:szCs w:val="24"/>
        </w:rPr>
        <w:t>Figure</w:t>
      </w:r>
      <w:r w:rsidRPr="008B3380">
        <w:rPr>
          <w:rFonts w:ascii="Times New Roman" w:hAnsi="Times New Roman" w:cs="Times New Roman"/>
          <w:b/>
          <w:sz w:val="28"/>
          <w:szCs w:val="24"/>
        </w:rPr>
        <w:t>s</w:t>
      </w:r>
    </w:p>
    <w:p w14:paraId="172DE13C" w14:textId="77777777" w:rsidR="00B901AB" w:rsidRDefault="00B901AB" w:rsidP="00B901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9DA263" wp14:editId="096B7F8B">
            <wp:extent cx="3751161" cy="4095298"/>
            <wp:effectExtent l="0" t="0" r="1905" b="635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47" cy="41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6FD8" w14:textId="77777777" w:rsidR="00001028" w:rsidRPr="004547C6" w:rsidRDefault="00B901AB" w:rsidP="004547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D5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S1. Sample detection in GC-MS (</w:t>
      </w:r>
      <w:r w:rsidRPr="00DA043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043E">
        <w:rPr>
          <w:rFonts w:ascii="Times New Roman" w:hAnsi="Times New Roman" w:cs="Times New Roman"/>
          <w:sz w:val="24"/>
          <w:szCs w:val="24"/>
        </w:rPr>
        <w:t xml:space="preserve">tandard solution; b. OPs-free orange sample verification before recovery test; c.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043E">
        <w:rPr>
          <w:rFonts w:ascii="Times New Roman" w:hAnsi="Times New Roman" w:cs="Times New Roman" w:hint="eastAsia"/>
          <w:sz w:val="24"/>
          <w:szCs w:val="24"/>
        </w:rPr>
        <w:t>piked</w:t>
      </w:r>
      <w:r w:rsidRPr="00DA043E">
        <w:rPr>
          <w:rFonts w:ascii="Times New Roman" w:hAnsi="Times New Roman" w:cs="Times New Roman"/>
          <w:sz w:val="24"/>
          <w:szCs w:val="24"/>
        </w:rPr>
        <w:t xml:space="preserve"> orange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53E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01028" w:rsidRPr="004547C6" w:rsidSect="00A6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EEE7" w14:textId="77777777" w:rsidR="00EA20B5" w:rsidRDefault="00EA20B5" w:rsidP="00B901AB">
      <w:r>
        <w:separator/>
      </w:r>
    </w:p>
  </w:endnote>
  <w:endnote w:type="continuationSeparator" w:id="0">
    <w:p w14:paraId="329D7979" w14:textId="77777777" w:rsidR="00EA20B5" w:rsidRDefault="00EA20B5" w:rsidP="00B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659E6" w14:textId="77777777" w:rsidR="00EA20B5" w:rsidRDefault="00EA20B5" w:rsidP="00B901AB">
      <w:r>
        <w:separator/>
      </w:r>
    </w:p>
  </w:footnote>
  <w:footnote w:type="continuationSeparator" w:id="0">
    <w:p w14:paraId="4CBB6BC0" w14:textId="77777777" w:rsidR="00EA20B5" w:rsidRDefault="00EA20B5" w:rsidP="00B9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DF2"/>
    <w:multiLevelType w:val="hybridMultilevel"/>
    <w:tmpl w:val="C2466972"/>
    <w:lvl w:ilvl="0" w:tplc="C6B493E2">
      <w:start w:val="5"/>
      <w:numFmt w:val="bullet"/>
      <w:lvlText w:val="＊"/>
      <w:lvlJc w:val="left"/>
      <w:pPr>
        <w:ind w:left="502" w:hanging="360"/>
      </w:pPr>
      <w:rPr>
        <w:rFonts w:ascii="SimSun" w:eastAsia="SimSun" w:hAnsi="SimSun" w:cstheme="minorBidi" w:hint="eastAsia"/>
        <w:color w:val="3A5CD9"/>
        <w:sz w:val="24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CEB"/>
    <w:rsid w:val="00001028"/>
    <w:rsid w:val="0002505F"/>
    <w:rsid w:val="00037E94"/>
    <w:rsid w:val="00041A0C"/>
    <w:rsid w:val="00057F76"/>
    <w:rsid w:val="000976FB"/>
    <w:rsid w:val="001004EA"/>
    <w:rsid w:val="00156AF0"/>
    <w:rsid w:val="00184BD9"/>
    <w:rsid w:val="001A53E9"/>
    <w:rsid w:val="001D0A91"/>
    <w:rsid w:val="00237FDF"/>
    <w:rsid w:val="00261BA1"/>
    <w:rsid w:val="003C0D0A"/>
    <w:rsid w:val="004547C6"/>
    <w:rsid w:val="00455CEB"/>
    <w:rsid w:val="00483448"/>
    <w:rsid w:val="00496B1A"/>
    <w:rsid w:val="004E0576"/>
    <w:rsid w:val="004F3A7D"/>
    <w:rsid w:val="00543793"/>
    <w:rsid w:val="005E3947"/>
    <w:rsid w:val="00633C1C"/>
    <w:rsid w:val="00655BD2"/>
    <w:rsid w:val="006731D8"/>
    <w:rsid w:val="00697698"/>
    <w:rsid w:val="006F372A"/>
    <w:rsid w:val="00754922"/>
    <w:rsid w:val="007A7669"/>
    <w:rsid w:val="007E5125"/>
    <w:rsid w:val="00821A80"/>
    <w:rsid w:val="00886182"/>
    <w:rsid w:val="00905BBD"/>
    <w:rsid w:val="009064A0"/>
    <w:rsid w:val="00913BC3"/>
    <w:rsid w:val="00942BD6"/>
    <w:rsid w:val="00981628"/>
    <w:rsid w:val="009823C6"/>
    <w:rsid w:val="00A13A2B"/>
    <w:rsid w:val="00A64703"/>
    <w:rsid w:val="00AA2827"/>
    <w:rsid w:val="00B81767"/>
    <w:rsid w:val="00B86299"/>
    <w:rsid w:val="00B901AB"/>
    <w:rsid w:val="00C36F62"/>
    <w:rsid w:val="00D10626"/>
    <w:rsid w:val="00D96149"/>
    <w:rsid w:val="00DD5891"/>
    <w:rsid w:val="00DF09E0"/>
    <w:rsid w:val="00E204E6"/>
    <w:rsid w:val="00EA20B5"/>
    <w:rsid w:val="00EC2ED6"/>
    <w:rsid w:val="00F102D2"/>
    <w:rsid w:val="00F33A37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648FC4"/>
  <w15:docId w15:val="{3491AFF4-F4EE-4091-AC92-D8FD0658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1A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locked/>
    <w:rsid w:val="00455CEB"/>
    <w:rPr>
      <w:rFonts w:ascii="Times New Roman" w:eastAsia="SimSu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455CEB"/>
    <w:pPr>
      <w:snapToGrid w:val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har1">
    <w:name w:val="尾注文本 Char1"/>
    <w:basedOn w:val="DefaultParagraphFont"/>
    <w:uiPriority w:val="99"/>
    <w:semiHidden/>
    <w:rsid w:val="00455CEB"/>
  </w:style>
  <w:style w:type="paragraph" w:styleId="Header">
    <w:name w:val="header"/>
    <w:basedOn w:val="Normal"/>
    <w:link w:val="HeaderChar"/>
    <w:uiPriority w:val="99"/>
    <w:unhideWhenUsed/>
    <w:rsid w:val="00B9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01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01A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901AB"/>
  </w:style>
  <w:style w:type="paragraph" w:styleId="BalloonText">
    <w:name w:val="Balloon Text"/>
    <w:basedOn w:val="Normal"/>
    <w:link w:val="BalloonTextChar"/>
    <w:uiPriority w:val="99"/>
    <w:semiHidden/>
    <w:unhideWhenUsed/>
    <w:rsid w:val="00D961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49"/>
    <w:rPr>
      <w:sz w:val="18"/>
      <w:szCs w:val="18"/>
    </w:rPr>
  </w:style>
  <w:style w:type="character" w:styleId="CommentReference">
    <w:name w:val="annotation reference"/>
    <w:rsid w:val="00981628"/>
    <w:rPr>
      <w:rFonts w:cs="Times New Roman"/>
      <w:sz w:val="21"/>
      <w:szCs w:val="21"/>
    </w:rPr>
  </w:style>
  <w:style w:type="character" w:styleId="Hyperlink">
    <w:name w:val="Hyperlink"/>
    <w:basedOn w:val="DefaultParagraphFont"/>
    <w:qFormat/>
    <w:rsid w:val="00981628"/>
    <w:rPr>
      <w:color w:val="005CD9"/>
      <w:u w:val="none"/>
    </w:rPr>
  </w:style>
  <w:style w:type="character" w:styleId="FootnoteReference">
    <w:name w:val="footnote reference"/>
    <w:basedOn w:val="DefaultParagraphFont"/>
    <w:rsid w:val="00981628"/>
    <w:rPr>
      <w:vertAlign w:val="superscript"/>
    </w:rPr>
  </w:style>
  <w:style w:type="paragraph" w:styleId="FootnoteText">
    <w:name w:val="footnote text"/>
    <w:basedOn w:val="Normal"/>
    <w:link w:val="FootnoteTextChar"/>
    <w:rsid w:val="00981628"/>
    <w:pPr>
      <w:snapToGrid w:val="0"/>
      <w:jc w:val="left"/>
    </w:pPr>
    <w:rPr>
      <w:rFonts w:ascii="Calibri" w:eastAsia="SimSun" w:hAnsi="Calibri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981628"/>
    <w:rPr>
      <w:rFonts w:ascii="Calibri" w:eastAsia="SimSun" w:hAnsi="Calibri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041A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ihua@z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irongguo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Gillian Attard</cp:lastModifiedBy>
  <cp:revision>18</cp:revision>
  <dcterms:created xsi:type="dcterms:W3CDTF">2018-12-30T07:30:00Z</dcterms:created>
  <dcterms:modified xsi:type="dcterms:W3CDTF">2019-01-29T10:10:00Z</dcterms:modified>
</cp:coreProperties>
</file>