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B9" w:rsidRPr="001664A8" w:rsidRDefault="00854178" w:rsidP="00B54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B54DB9" w:rsidRPr="001664A8">
        <w:rPr>
          <w:rFonts w:ascii="Times New Roman" w:hAnsi="Times New Roman" w:cs="Times New Roman"/>
        </w:rPr>
        <w:t xml:space="preserve">Table S2. Accession ID and forward </w:t>
      </w:r>
      <w:r w:rsidR="00B54DB9">
        <w:rPr>
          <w:rFonts w:ascii="Times New Roman" w:hAnsi="Times New Roman" w:cs="Times New Roman"/>
        </w:rPr>
        <w:t>(</w:t>
      </w:r>
      <w:proofErr w:type="spellStart"/>
      <w:r w:rsidR="00B54DB9">
        <w:rPr>
          <w:rFonts w:ascii="Times New Roman" w:hAnsi="Times New Roman" w:cs="Times New Roman"/>
        </w:rPr>
        <w:t>Fw</w:t>
      </w:r>
      <w:proofErr w:type="spellEnd"/>
      <w:r w:rsidR="00B54DB9">
        <w:rPr>
          <w:rFonts w:ascii="Times New Roman" w:hAnsi="Times New Roman" w:cs="Times New Roman"/>
        </w:rPr>
        <w:t xml:space="preserve">) </w:t>
      </w:r>
      <w:r w:rsidR="00B54DB9" w:rsidRPr="001664A8">
        <w:rPr>
          <w:rFonts w:ascii="Times New Roman" w:hAnsi="Times New Roman" w:cs="Times New Roman"/>
        </w:rPr>
        <w:t xml:space="preserve">and reverse </w:t>
      </w:r>
      <w:r w:rsidR="00B54DB9">
        <w:rPr>
          <w:rFonts w:ascii="Times New Roman" w:hAnsi="Times New Roman" w:cs="Times New Roman"/>
        </w:rPr>
        <w:t xml:space="preserve">(Rev) </w:t>
      </w:r>
      <w:r w:rsidR="00B54DB9" w:rsidRPr="001664A8">
        <w:rPr>
          <w:rFonts w:ascii="Times New Roman" w:hAnsi="Times New Roman" w:cs="Times New Roman"/>
        </w:rPr>
        <w:t>primer sequences of the housekeeping internal control EF1-α and of the three marker genes</w:t>
      </w:r>
      <w:r w:rsidR="00B54DB9">
        <w:rPr>
          <w:rFonts w:ascii="Times New Roman" w:hAnsi="Times New Roman" w:cs="Times New Roman"/>
        </w:rPr>
        <w:t xml:space="preserve"> considered in this study</w:t>
      </w:r>
      <w:r w:rsidR="00B54DB9" w:rsidRPr="001664A8">
        <w:rPr>
          <w:rFonts w:ascii="Times New Roman" w:hAnsi="Times New Roman" w:cs="Times New Roman"/>
        </w:rPr>
        <w:t>.</w:t>
      </w:r>
    </w:p>
    <w:tbl>
      <w:tblPr>
        <w:tblStyle w:val="Sfondochiaro1"/>
        <w:tblW w:w="10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50"/>
        <w:gridCol w:w="1917"/>
        <w:gridCol w:w="3894"/>
        <w:gridCol w:w="616"/>
        <w:gridCol w:w="72"/>
        <w:gridCol w:w="1216"/>
      </w:tblGrid>
      <w:tr w:rsidR="00B54DB9" w:rsidRPr="001664A8" w:rsidTr="0073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54DB9" w:rsidRPr="00C375C5" w:rsidRDefault="00B54DB9" w:rsidP="00731E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Align w:val="center"/>
          </w:tcPr>
          <w:p w:rsidR="00B54DB9" w:rsidRPr="001664A8" w:rsidRDefault="00B54DB9" w:rsidP="00731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917" w:type="dxa"/>
            <w:vAlign w:val="center"/>
          </w:tcPr>
          <w:p w:rsidR="00B54DB9" w:rsidRPr="001664A8" w:rsidRDefault="00B54DB9" w:rsidP="00731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Accession ID</w:t>
            </w:r>
          </w:p>
        </w:tc>
        <w:tc>
          <w:tcPr>
            <w:tcW w:w="3894" w:type="dxa"/>
            <w:vAlign w:val="center"/>
          </w:tcPr>
          <w:p w:rsidR="00B54DB9" w:rsidRPr="001664A8" w:rsidRDefault="00B54DB9" w:rsidP="00731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Primer sequence (5’–3’)</w:t>
            </w:r>
          </w:p>
        </w:tc>
        <w:tc>
          <w:tcPr>
            <w:tcW w:w="688" w:type="dxa"/>
            <w:gridSpan w:val="2"/>
            <w:vAlign w:val="center"/>
          </w:tcPr>
          <w:p w:rsidR="00B54DB9" w:rsidRPr="001664A8" w:rsidRDefault="00B54DB9" w:rsidP="00731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Size (pb)</w:t>
            </w:r>
          </w:p>
        </w:tc>
        <w:tc>
          <w:tcPr>
            <w:tcW w:w="1216" w:type="dxa"/>
            <w:vAlign w:val="center"/>
          </w:tcPr>
          <w:p w:rsidR="00B54DB9" w:rsidRPr="001664A8" w:rsidRDefault="00B54DB9" w:rsidP="00731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B54DB9" w:rsidRPr="001664A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Housekeeping internal control</w:t>
            </w:r>
          </w:p>
        </w:tc>
        <w:tc>
          <w:tcPr>
            <w:tcW w:w="11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EF1-α</w:t>
            </w:r>
          </w:p>
        </w:tc>
        <w:tc>
          <w:tcPr>
            <w:tcW w:w="1917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NM_001112117</w:t>
            </w:r>
          </w:p>
        </w:tc>
        <w:tc>
          <w:tcPr>
            <w:tcW w:w="38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: TGGGCCTACTGGTCTTACTACTGA</w:t>
            </w: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et al. (2014)</w:t>
            </w:r>
          </w:p>
        </w:tc>
      </w:tr>
      <w:tr w:rsidR="00B54DB9" w:rsidRPr="001664A8" w:rsidTr="007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Rev: ACATACCCACGCTTCAGATCCT</w:t>
            </w: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B9" w:rsidRPr="001664A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Marker genes tested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AOX1A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GRMZM2G125669</w:t>
            </w:r>
          </w:p>
        </w:tc>
        <w:tc>
          <w:tcPr>
            <w:tcW w:w="38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: AGTCGCTGCGCTTCCCCA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Campbell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et al. (2015)</w:t>
            </w:r>
          </w:p>
        </w:tc>
      </w:tr>
      <w:tr w:rsidR="00B54DB9" w:rsidRPr="001664A8" w:rsidTr="007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Rev: CGACGCGGTGCGCGAACT</w:t>
            </w: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B9" w:rsidRPr="001664A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CYP81D8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GRMZM2G087875</w:t>
            </w:r>
          </w:p>
        </w:tc>
        <w:tc>
          <w:tcPr>
            <w:tcW w:w="38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: GTGCGGCCAACCTGTGGA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B9" w:rsidRPr="001664A8" w:rsidTr="007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Rev: GTTAAGCAAGAGCGACATTGC</w:t>
            </w: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B9" w:rsidRPr="001664A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PFP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TCONS_00005048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: GCGATTATGGCTACGTTCTTGG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B54DB9" w:rsidRPr="001664A8" w:rsidRDefault="00B54DB9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B9" w:rsidRPr="001664A8" w:rsidTr="007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FF" w:themeFill="background1"/>
          </w:tcPr>
          <w:p w:rsidR="00B54DB9" w:rsidRPr="001664A8" w:rsidRDefault="00B54DB9" w:rsidP="00731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shd w:val="clear" w:color="auto" w:fill="FFFFFF" w:themeFill="background1"/>
          </w:tcPr>
          <w:p w:rsidR="00B54DB9" w:rsidRPr="001664A8" w:rsidRDefault="00B54DB9" w:rsidP="00731EC5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B54DB9" w:rsidRPr="001664A8" w:rsidRDefault="00B54DB9" w:rsidP="00731E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B54DB9" w:rsidRPr="001664A8" w:rsidRDefault="00B54DB9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664A8">
              <w:rPr>
                <w:rFonts w:ascii="Times New Roman" w:hAnsi="Times New Roman" w:cs="Times New Roman"/>
                <w:sz w:val="20"/>
              </w:rPr>
              <w:t>Rev: CCATGTGGACAGCAGGCTTA</w:t>
            </w:r>
          </w:p>
        </w:tc>
        <w:tc>
          <w:tcPr>
            <w:tcW w:w="616" w:type="dxa"/>
            <w:vMerge/>
            <w:shd w:val="clear" w:color="auto" w:fill="FFFFFF" w:themeFill="background1"/>
          </w:tcPr>
          <w:p w:rsidR="00B54DB9" w:rsidRPr="001664A8" w:rsidRDefault="00B54DB9" w:rsidP="00731E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B54DB9" w:rsidRPr="001664A8" w:rsidRDefault="00B54DB9" w:rsidP="00731E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54DB9" w:rsidRPr="002964D3" w:rsidRDefault="00B54DB9" w:rsidP="00B54DB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2E7E" w:rsidRDefault="00762E7E">
      <w:bookmarkStart w:id="0" w:name="_GoBack"/>
      <w:bookmarkEnd w:id="0"/>
    </w:p>
    <w:sectPr w:rsidR="00762E7E" w:rsidSect="002B4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CB"/>
    <w:rsid w:val="002B461B"/>
    <w:rsid w:val="006E76CB"/>
    <w:rsid w:val="00762E7E"/>
    <w:rsid w:val="00854178"/>
    <w:rsid w:val="00B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3C3FCF-F0D2-4B97-8B29-1C6B643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DB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1">
    <w:name w:val="Sfondo chiaro1"/>
    <w:basedOn w:val="TableNormal"/>
    <w:next w:val="LightShading"/>
    <w:uiPriority w:val="60"/>
    <w:rsid w:val="00B5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B5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Università degli Studi di Padova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Teofilo</dc:creator>
  <cp:keywords/>
  <dc:description/>
  <cp:lastModifiedBy>Ana Parra Munoz</cp:lastModifiedBy>
  <cp:revision>4</cp:revision>
  <dcterms:created xsi:type="dcterms:W3CDTF">2019-01-23T20:14:00Z</dcterms:created>
  <dcterms:modified xsi:type="dcterms:W3CDTF">2019-01-25T08:19:00Z</dcterms:modified>
</cp:coreProperties>
</file>