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736DB" w14:textId="4EF3B852" w:rsidR="00851C37" w:rsidRPr="00851C37" w:rsidRDefault="00851C37">
      <w:pPr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851C37">
        <w:rPr>
          <w:rFonts w:ascii="Times New Roman" w:hAnsi="Times New Roman" w:cs="Times New Roman"/>
          <w:b/>
          <w:sz w:val="32"/>
          <w:szCs w:val="24"/>
          <w:u w:val="single"/>
        </w:rPr>
        <w:t>Supplementary figures:</w:t>
      </w:r>
    </w:p>
    <w:p w14:paraId="75D8EC27" w14:textId="37D9301A" w:rsidR="00B8297D" w:rsidRPr="00851C37" w:rsidRDefault="0044022F">
      <w:pPr>
        <w:rPr>
          <w:rFonts w:ascii="Times New Roman" w:hAnsi="Times New Roman" w:cs="Times New Roman"/>
          <w:sz w:val="24"/>
          <w:szCs w:val="24"/>
        </w:rPr>
      </w:pPr>
      <w:r w:rsidRPr="00851C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ABB682" wp14:editId="5FBB59D1">
            <wp:extent cx="5731510" cy="426777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A5B59" w14:textId="1E014140" w:rsidR="0044022F" w:rsidRPr="00851C37" w:rsidRDefault="0044022F">
      <w:pPr>
        <w:rPr>
          <w:rFonts w:ascii="Times New Roman" w:hAnsi="Times New Roman" w:cs="Times New Roman"/>
          <w:sz w:val="24"/>
          <w:szCs w:val="24"/>
        </w:rPr>
      </w:pPr>
      <w:r w:rsidRPr="00851C37"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="00851C37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0" w:name="_Hlk528325959"/>
      <w:r w:rsidR="003E21A2" w:rsidRPr="00851C37">
        <w:rPr>
          <w:rFonts w:ascii="Times New Roman" w:hAnsi="Times New Roman" w:cs="Times New Roman"/>
          <w:sz w:val="24"/>
          <w:szCs w:val="24"/>
        </w:rPr>
        <w:t>PCA score plot showing the variation among metabolite profiles (LC-MS ESI</w:t>
      </w:r>
      <w:r w:rsidR="003E21A2" w:rsidRPr="00851C3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3E21A2" w:rsidRPr="00851C37">
        <w:rPr>
          <w:rFonts w:ascii="Times New Roman" w:hAnsi="Times New Roman" w:cs="Times New Roman"/>
          <w:sz w:val="24"/>
          <w:szCs w:val="24"/>
        </w:rPr>
        <w:t xml:space="preserve"> mode) of </w:t>
      </w:r>
      <w:r w:rsidR="003E21A2" w:rsidRPr="00851C37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="003E21A2" w:rsidRPr="00851C37">
        <w:rPr>
          <w:rFonts w:ascii="Times New Roman" w:hAnsi="Times New Roman" w:cs="Times New Roman"/>
          <w:i/>
          <w:sz w:val="24"/>
          <w:szCs w:val="24"/>
        </w:rPr>
        <w:t>grandis</w:t>
      </w:r>
      <w:proofErr w:type="spellEnd"/>
      <w:r w:rsidR="003E21A2" w:rsidRPr="00851C37">
        <w:rPr>
          <w:rFonts w:ascii="Times New Roman" w:hAnsi="Times New Roman" w:cs="Times New Roman"/>
          <w:sz w:val="24"/>
          <w:szCs w:val="24"/>
        </w:rPr>
        <w:t xml:space="preserve"> root tips after 24 h pre-symbiosis with different microbes. The color and shape of symbols represent the species and the lifestyles of the interacting microbes. </w:t>
      </w:r>
      <w:bookmarkEnd w:id="0"/>
      <w:proofErr w:type="spellStart"/>
      <w:r w:rsidR="00A60863" w:rsidRPr="00851C37">
        <w:rPr>
          <w:rFonts w:ascii="Times New Roman" w:hAnsi="Times New Roman" w:cs="Times New Roman"/>
          <w:sz w:val="24"/>
          <w:szCs w:val="24"/>
        </w:rPr>
        <w:t>armi</w:t>
      </w:r>
      <w:proofErr w:type="spellEnd"/>
      <w:r w:rsidR="00A60863" w:rsidRPr="00851C37">
        <w:rPr>
          <w:rFonts w:ascii="Times New Roman" w:hAnsi="Times New Roman" w:cs="Times New Roman"/>
          <w:sz w:val="24"/>
          <w:szCs w:val="24"/>
        </w:rPr>
        <w:t xml:space="preserve"> = </w:t>
      </w:r>
      <w:r w:rsidR="00A60863" w:rsidRPr="006E55CC">
        <w:rPr>
          <w:rFonts w:ascii="Times New Roman" w:hAnsi="Times New Roman" w:cs="Times New Roman"/>
          <w:i/>
          <w:sz w:val="24"/>
          <w:szCs w:val="24"/>
        </w:rPr>
        <w:t xml:space="preserve">Armillaria </w:t>
      </w:r>
      <w:proofErr w:type="spellStart"/>
      <w:proofErr w:type="gramStart"/>
      <w:r w:rsidR="00A60863" w:rsidRPr="006E55CC">
        <w:rPr>
          <w:rFonts w:ascii="Times New Roman" w:hAnsi="Times New Roman" w:cs="Times New Roman"/>
          <w:i/>
          <w:sz w:val="24"/>
          <w:szCs w:val="24"/>
        </w:rPr>
        <w:t>luteobubalin</w:t>
      </w:r>
      <w:r w:rsidR="00A60863" w:rsidRPr="00851C37">
        <w:rPr>
          <w:rFonts w:ascii="Times New Roman" w:hAnsi="Times New Roman" w:cs="Times New Roman"/>
          <w:i/>
          <w:sz w:val="24"/>
          <w:szCs w:val="24"/>
        </w:rPr>
        <w:t>a</w:t>
      </w:r>
      <w:proofErr w:type="spellEnd"/>
      <w:r w:rsidR="00A60863" w:rsidRPr="00851C37">
        <w:rPr>
          <w:rFonts w:ascii="Times New Roman" w:hAnsi="Times New Roman" w:cs="Times New Roman"/>
          <w:sz w:val="24"/>
          <w:szCs w:val="24"/>
        </w:rPr>
        <w:t xml:space="preserve"> </w:t>
      </w:r>
      <w:r w:rsidR="00A60863" w:rsidRPr="006E55CC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A60863" w:rsidRPr="006E55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863" w:rsidRPr="006E55CC">
        <w:rPr>
          <w:rFonts w:ascii="Times New Roman" w:hAnsi="Times New Roman" w:cs="Times New Roman"/>
          <w:sz w:val="24"/>
          <w:szCs w:val="24"/>
        </w:rPr>
        <w:t>piso</w:t>
      </w:r>
      <w:proofErr w:type="spellEnd"/>
      <w:r w:rsidR="00A60863" w:rsidRPr="006E55CC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="00A60863" w:rsidRPr="006E55CC">
        <w:rPr>
          <w:rFonts w:ascii="Times New Roman" w:hAnsi="Times New Roman" w:cs="Times New Roman"/>
          <w:i/>
          <w:sz w:val="24"/>
          <w:szCs w:val="24"/>
        </w:rPr>
        <w:t>Pisolithus</w:t>
      </w:r>
      <w:proofErr w:type="spellEnd"/>
      <w:r w:rsidR="00A60863" w:rsidRPr="006E55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60863" w:rsidRPr="006E55CC">
        <w:rPr>
          <w:rFonts w:ascii="Times New Roman" w:hAnsi="Times New Roman" w:cs="Times New Roman"/>
          <w:i/>
          <w:sz w:val="24"/>
          <w:szCs w:val="24"/>
        </w:rPr>
        <w:t>microcarpus</w:t>
      </w:r>
      <w:proofErr w:type="spellEnd"/>
      <w:r w:rsidR="00A60863" w:rsidRPr="006E55C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A60863" w:rsidRPr="006E55CC">
        <w:rPr>
          <w:rFonts w:ascii="Times New Roman" w:hAnsi="Times New Roman" w:cs="Times New Roman"/>
          <w:sz w:val="24"/>
          <w:szCs w:val="24"/>
        </w:rPr>
        <w:t>suil</w:t>
      </w:r>
      <w:proofErr w:type="spellEnd"/>
      <w:r w:rsidR="00A60863" w:rsidRPr="006E55CC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="00A60863" w:rsidRPr="006E55CC">
        <w:rPr>
          <w:rFonts w:ascii="Times New Roman" w:hAnsi="Times New Roman" w:cs="Times New Roman"/>
          <w:i/>
          <w:sz w:val="24"/>
          <w:szCs w:val="24"/>
        </w:rPr>
        <w:t>Suil</w:t>
      </w:r>
      <w:r w:rsidR="00A60863" w:rsidRPr="00851C37">
        <w:rPr>
          <w:rFonts w:ascii="Times New Roman" w:hAnsi="Times New Roman" w:cs="Times New Roman"/>
          <w:i/>
          <w:sz w:val="24"/>
          <w:szCs w:val="24"/>
        </w:rPr>
        <w:t>l</w:t>
      </w:r>
      <w:r w:rsidR="00A60863" w:rsidRPr="006E55CC">
        <w:rPr>
          <w:rFonts w:ascii="Times New Roman" w:hAnsi="Times New Roman" w:cs="Times New Roman"/>
          <w:i/>
          <w:sz w:val="24"/>
          <w:szCs w:val="24"/>
        </w:rPr>
        <w:t>us</w:t>
      </w:r>
      <w:proofErr w:type="spellEnd"/>
      <w:r w:rsidR="00A60863" w:rsidRPr="006E55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60863" w:rsidRPr="006E55CC">
        <w:rPr>
          <w:rFonts w:ascii="Times New Roman" w:hAnsi="Times New Roman" w:cs="Times New Roman"/>
          <w:i/>
          <w:sz w:val="24"/>
          <w:szCs w:val="24"/>
        </w:rPr>
        <w:t>granulatus</w:t>
      </w:r>
      <w:proofErr w:type="spellEnd"/>
      <w:r w:rsidR="00A60863" w:rsidRPr="006E55C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A60863" w:rsidRPr="006E55CC">
        <w:rPr>
          <w:rFonts w:ascii="Times New Roman" w:hAnsi="Times New Roman" w:cs="Times New Roman"/>
          <w:sz w:val="24"/>
          <w:szCs w:val="24"/>
        </w:rPr>
        <w:t>phyt</w:t>
      </w:r>
      <w:proofErr w:type="spellEnd"/>
      <w:r w:rsidR="00A60863" w:rsidRPr="006E55CC">
        <w:rPr>
          <w:rFonts w:ascii="Times New Roman" w:hAnsi="Times New Roman" w:cs="Times New Roman"/>
          <w:sz w:val="24"/>
          <w:szCs w:val="24"/>
        </w:rPr>
        <w:t xml:space="preserve"> = </w:t>
      </w:r>
      <w:r w:rsidR="00A60863" w:rsidRPr="006E55CC">
        <w:rPr>
          <w:rFonts w:ascii="Times New Roman" w:hAnsi="Times New Roman" w:cs="Times New Roman"/>
          <w:i/>
          <w:sz w:val="24"/>
          <w:szCs w:val="24"/>
        </w:rPr>
        <w:t xml:space="preserve">Phytophthora </w:t>
      </w:r>
      <w:proofErr w:type="spellStart"/>
      <w:r w:rsidR="00A60863" w:rsidRPr="006E55CC">
        <w:rPr>
          <w:rFonts w:ascii="Times New Roman" w:hAnsi="Times New Roman" w:cs="Times New Roman"/>
          <w:i/>
          <w:sz w:val="24"/>
          <w:szCs w:val="24"/>
        </w:rPr>
        <w:t>cinnamomi</w:t>
      </w:r>
      <w:proofErr w:type="spellEnd"/>
      <w:r w:rsidR="00A60863" w:rsidRPr="00851C37">
        <w:rPr>
          <w:rFonts w:ascii="Times New Roman" w:hAnsi="Times New Roman" w:cs="Times New Roman"/>
          <w:sz w:val="24"/>
          <w:szCs w:val="24"/>
        </w:rPr>
        <w:t xml:space="preserve">; ctrl = uninfected control </w:t>
      </w:r>
      <w:r w:rsidRPr="00851C37">
        <w:rPr>
          <w:rFonts w:ascii="Times New Roman" w:hAnsi="Times New Roman" w:cs="Times New Roman"/>
          <w:sz w:val="24"/>
          <w:szCs w:val="24"/>
        </w:rPr>
        <w:br w:type="page"/>
      </w:r>
    </w:p>
    <w:p w14:paraId="0CFE888B" w14:textId="61CB6A8A" w:rsidR="008A4FB6" w:rsidRPr="00851C37" w:rsidRDefault="008A4FB6">
      <w:pPr>
        <w:rPr>
          <w:rFonts w:ascii="Times New Roman" w:hAnsi="Times New Roman" w:cs="Times New Roman"/>
          <w:sz w:val="24"/>
          <w:szCs w:val="24"/>
        </w:rPr>
      </w:pPr>
      <w:r w:rsidRPr="00851C37">
        <w:rPr>
          <w:noProof/>
          <w:sz w:val="24"/>
          <w:szCs w:val="24"/>
        </w:rPr>
        <w:lastRenderedPageBreak/>
        <w:drawing>
          <wp:inline distT="0" distB="0" distL="0" distR="0" wp14:anchorId="2EFD007B" wp14:editId="50D3B712">
            <wp:extent cx="2899410" cy="5960853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4"/>
                    <a:stretch/>
                  </pic:blipFill>
                  <pic:spPr bwMode="auto">
                    <a:xfrm>
                      <a:off x="0" y="0"/>
                      <a:ext cx="2902446" cy="596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DF6B5" w14:textId="4D211DA5" w:rsidR="0044022F" w:rsidRPr="00851C37" w:rsidRDefault="0044022F">
      <w:pPr>
        <w:rPr>
          <w:rFonts w:ascii="Times New Roman" w:hAnsi="Times New Roman" w:cs="Times New Roman"/>
          <w:b/>
          <w:sz w:val="24"/>
          <w:szCs w:val="24"/>
        </w:rPr>
      </w:pPr>
      <w:r w:rsidRPr="00851C37">
        <w:rPr>
          <w:rFonts w:ascii="Times New Roman" w:hAnsi="Times New Roman" w:cs="Times New Roman"/>
          <w:b/>
          <w:sz w:val="24"/>
          <w:szCs w:val="24"/>
        </w:rPr>
        <w:t>Supplementary figure 2</w:t>
      </w:r>
      <w:bookmarkStart w:id="1" w:name="_Hlk528326019"/>
      <w:r w:rsidR="00851C3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E21A2" w:rsidRPr="00851C37">
        <w:rPr>
          <w:rFonts w:ascii="Times New Roman" w:hAnsi="Times New Roman" w:cs="Times New Roman"/>
          <w:sz w:val="24"/>
          <w:szCs w:val="24"/>
        </w:rPr>
        <w:t>Venn diagrams showing the significantly enriched and suppressed molecular features amongst different microbe-treated roots in comparison to the untreated control. Student t-test was performed for each pair of comparison between the control and the microbes-treated root tips. Significantly regulated molecular features profiled with ESI</w:t>
      </w:r>
      <w:r w:rsidR="003E21A2" w:rsidRPr="00851C3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3E21A2" w:rsidRPr="00851C37">
        <w:rPr>
          <w:rFonts w:ascii="Times New Roman" w:hAnsi="Times New Roman" w:cs="Times New Roman"/>
          <w:sz w:val="24"/>
          <w:szCs w:val="24"/>
        </w:rPr>
        <w:t xml:space="preserve"> mode that exhibit more than five-fold of intensity change and with </w:t>
      </w:r>
      <w:r w:rsidR="003E21A2" w:rsidRPr="00851C37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="003E21A2" w:rsidRPr="00851C37">
        <w:rPr>
          <w:rFonts w:ascii="Times New Roman" w:hAnsi="Times New Roman" w:cs="Times New Roman"/>
          <w:sz w:val="24"/>
          <w:szCs w:val="24"/>
        </w:rPr>
        <w:t xml:space="preserve">&lt; 0.05 are shown in the Venn diagram. </w:t>
      </w:r>
      <w:bookmarkEnd w:id="1"/>
      <w:r w:rsidRPr="00851C37">
        <w:rPr>
          <w:rFonts w:ascii="Times New Roman" w:hAnsi="Times New Roman" w:cs="Times New Roman"/>
          <w:sz w:val="24"/>
          <w:szCs w:val="24"/>
        </w:rPr>
        <w:br w:type="page"/>
      </w:r>
    </w:p>
    <w:p w14:paraId="611C3A86" w14:textId="2D71119F" w:rsidR="0044022F" w:rsidRPr="00851C37" w:rsidRDefault="0044022F">
      <w:pPr>
        <w:rPr>
          <w:rFonts w:ascii="Times New Roman" w:hAnsi="Times New Roman" w:cs="Times New Roman"/>
          <w:sz w:val="24"/>
          <w:szCs w:val="24"/>
        </w:rPr>
      </w:pPr>
      <w:r w:rsidRPr="00851C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2323C9" wp14:editId="73ADD7D9">
            <wp:extent cx="5731510" cy="3026237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D54FE" w14:textId="408D8CC6" w:rsidR="0044022F" w:rsidRPr="00851C37" w:rsidRDefault="0044022F">
      <w:pPr>
        <w:rPr>
          <w:rFonts w:ascii="Times New Roman" w:hAnsi="Times New Roman" w:cs="Times New Roman"/>
          <w:sz w:val="24"/>
          <w:szCs w:val="24"/>
        </w:rPr>
      </w:pPr>
      <w:r w:rsidRPr="00851C37">
        <w:rPr>
          <w:rFonts w:ascii="Times New Roman" w:hAnsi="Times New Roman" w:cs="Times New Roman"/>
          <w:b/>
          <w:sz w:val="24"/>
          <w:szCs w:val="24"/>
        </w:rPr>
        <w:t>Supplementary figure 3</w:t>
      </w:r>
      <w:bookmarkStart w:id="2" w:name="_Hlk528326060"/>
      <w:r w:rsidR="00851C3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E21A2" w:rsidRPr="00851C37">
        <w:rPr>
          <w:rFonts w:ascii="Times New Roman" w:hAnsi="Times New Roman" w:cs="Times New Roman"/>
          <w:sz w:val="24"/>
          <w:szCs w:val="24"/>
        </w:rPr>
        <w:t>The scatter plot showing distribution of the significantly regulated metabolites (</w:t>
      </w:r>
      <w:r w:rsidR="003E21A2" w:rsidRPr="00851C37">
        <w:rPr>
          <w:rFonts w:ascii="Times New Roman" w:hAnsi="Times New Roman" w:cs="Times New Roman"/>
          <w:i/>
          <w:sz w:val="24"/>
          <w:szCs w:val="24"/>
        </w:rPr>
        <w:t>p</w:t>
      </w:r>
      <w:r w:rsidR="003E21A2" w:rsidRPr="00851C37">
        <w:rPr>
          <w:rFonts w:ascii="Times New Roman" w:hAnsi="Times New Roman" w:cs="Times New Roman"/>
          <w:sz w:val="24"/>
          <w:szCs w:val="24"/>
        </w:rPr>
        <w:t xml:space="preserve"> &lt; 0.05) across the span of retention time of metabolite profiling in root tips after pre-symbiotic interaction with microbes of different species that are captured in LC-MS (ESI</w:t>
      </w:r>
      <w:r w:rsidR="003E21A2" w:rsidRPr="00851C3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3E21A2" w:rsidRPr="00851C37">
        <w:rPr>
          <w:rFonts w:ascii="Times New Roman" w:hAnsi="Times New Roman" w:cs="Times New Roman"/>
          <w:sz w:val="24"/>
          <w:szCs w:val="24"/>
        </w:rPr>
        <w:t>).</w:t>
      </w:r>
      <w:bookmarkEnd w:id="2"/>
      <w:r w:rsidR="00425558" w:rsidRPr="00851C37">
        <w:rPr>
          <w:rFonts w:ascii="Times New Roman" w:hAnsi="Times New Roman"/>
          <w:b/>
          <w:sz w:val="24"/>
          <w:szCs w:val="24"/>
        </w:rPr>
        <w:t xml:space="preserve"> </w:t>
      </w:r>
      <w:bookmarkStart w:id="3" w:name="_Hlk528326631"/>
      <w:proofErr w:type="spellStart"/>
      <w:r w:rsidR="00425558" w:rsidRPr="00851C37">
        <w:rPr>
          <w:rFonts w:ascii="Times New Roman" w:hAnsi="Times New Roman" w:cs="Times New Roman"/>
          <w:sz w:val="24"/>
          <w:szCs w:val="24"/>
        </w:rPr>
        <w:t>armi</w:t>
      </w:r>
      <w:proofErr w:type="spellEnd"/>
      <w:r w:rsidR="00425558" w:rsidRPr="00851C37">
        <w:rPr>
          <w:rFonts w:ascii="Times New Roman" w:hAnsi="Times New Roman" w:cs="Times New Roman"/>
          <w:sz w:val="24"/>
          <w:szCs w:val="24"/>
        </w:rPr>
        <w:t xml:space="preserve"> = </w:t>
      </w:r>
      <w:r w:rsidR="00425558" w:rsidRPr="006E55CC">
        <w:rPr>
          <w:rFonts w:ascii="Times New Roman" w:hAnsi="Times New Roman" w:cs="Times New Roman"/>
          <w:i/>
          <w:sz w:val="24"/>
          <w:szCs w:val="24"/>
        </w:rPr>
        <w:t xml:space="preserve">Armillaria </w:t>
      </w:r>
      <w:proofErr w:type="spellStart"/>
      <w:proofErr w:type="gramStart"/>
      <w:r w:rsidR="00425558" w:rsidRPr="006E55CC">
        <w:rPr>
          <w:rFonts w:ascii="Times New Roman" w:hAnsi="Times New Roman" w:cs="Times New Roman"/>
          <w:i/>
          <w:sz w:val="24"/>
          <w:szCs w:val="24"/>
        </w:rPr>
        <w:t>luteobubalin</w:t>
      </w:r>
      <w:r w:rsidR="00425558" w:rsidRPr="00851C37">
        <w:rPr>
          <w:rFonts w:ascii="Times New Roman" w:hAnsi="Times New Roman" w:cs="Times New Roman"/>
          <w:i/>
          <w:sz w:val="24"/>
          <w:szCs w:val="24"/>
        </w:rPr>
        <w:t>a</w:t>
      </w:r>
      <w:proofErr w:type="spellEnd"/>
      <w:r w:rsidR="00425558" w:rsidRPr="00851C37">
        <w:rPr>
          <w:rFonts w:ascii="Times New Roman" w:hAnsi="Times New Roman" w:cs="Times New Roman"/>
          <w:sz w:val="24"/>
          <w:szCs w:val="24"/>
        </w:rPr>
        <w:t xml:space="preserve"> </w:t>
      </w:r>
      <w:r w:rsidR="00425558" w:rsidRPr="006E55CC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425558" w:rsidRPr="006E55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5558" w:rsidRPr="006E55CC">
        <w:rPr>
          <w:rFonts w:ascii="Times New Roman" w:hAnsi="Times New Roman" w:cs="Times New Roman"/>
          <w:sz w:val="24"/>
          <w:szCs w:val="24"/>
        </w:rPr>
        <w:t>piso</w:t>
      </w:r>
      <w:proofErr w:type="spellEnd"/>
      <w:r w:rsidR="00425558" w:rsidRPr="006E55CC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="00425558" w:rsidRPr="006E55CC">
        <w:rPr>
          <w:rFonts w:ascii="Times New Roman" w:hAnsi="Times New Roman" w:cs="Times New Roman"/>
          <w:i/>
          <w:sz w:val="24"/>
          <w:szCs w:val="24"/>
        </w:rPr>
        <w:t>Pisolithus</w:t>
      </w:r>
      <w:proofErr w:type="spellEnd"/>
      <w:r w:rsidR="00425558" w:rsidRPr="006E55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25558" w:rsidRPr="006E55CC">
        <w:rPr>
          <w:rFonts w:ascii="Times New Roman" w:hAnsi="Times New Roman" w:cs="Times New Roman"/>
          <w:i/>
          <w:sz w:val="24"/>
          <w:szCs w:val="24"/>
        </w:rPr>
        <w:t>microcarpus</w:t>
      </w:r>
      <w:proofErr w:type="spellEnd"/>
      <w:r w:rsidR="00425558" w:rsidRPr="006E55C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425558" w:rsidRPr="006E55CC">
        <w:rPr>
          <w:rFonts w:ascii="Times New Roman" w:hAnsi="Times New Roman" w:cs="Times New Roman"/>
          <w:sz w:val="24"/>
          <w:szCs w:val="24"/>
        </w:rPr>
        <w:t>suil</w:t>
      </w:r>
      <w:proofErr w:type="spellEnd"/>
      <w:r w:rsidR="00425558" w:rsidRPr="006E55CC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="00425558" w:rsidRPr="006E55CC">
        <w:rPr>
          <w:rFonts w:ascii="Times New Roman" w:hAnsi="Times New Roman" w:cs="Times New Roman"/>
          <w:i/>
          <w:sz w:val="24"/>
          <w:szCs w:val="24"/>
        </w:rPr>
        <w:t>Suil</w:t>
      </w:r>
      <w:r w:rsidR="00425558" w:rsidRPr="00851C37">
        <w:rPr>
          <w:rFonts w:ascii="Times New Roman" w:hAnsi="Times New Roman" w:cs="Times New Roman"/>
          <w:i/>
          <w:sz w:val="24"/>
          <w:szCs w:val="24"/>
        </w:rPr>
        <w:t>l</w:t>
      </w:r>
      <w:r w:rsidR="00425558" w:rsidRPr="006E55CC">
        <w:rPr>
          <w:rFonts w:ascii="Times New Roman" w:hAnsi="Times New Roman" w:cs="Times New Roman"/>
          <w:i/>
          <w:sz w:val="24"/>
          <w:szCs w:val="24"/>
        </w:rPr>
        <w:t>us</w:t>
      </w:r>
      <w:proofErr w:type="spellEnd"/>
      <w:r w:rsidR="00425558" w:rsidRPr="006E55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25558" w:rsidRPr="006E55CC">
        <w:rPr>
          <w:rFonts w:ascii="Times New Roman" w:hAnsi="Times New Roman" w:cs="Times New Roman"/>
          <w:i/>
          <w:sz w:val="24"/>
          <w:szCs w:val="24"/>
        </w:rPr>
        <w:t>granulatus</w:t>
      </w:r>
      <w:proofErr w:type="spellEnd"/>
      <w:r w:rsidR="00425558" w:rsidRPr="006E55C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425558" w:rsidRPr="006E55CC">
        <w:rPr>
          <w:rFonts w:ascii="Times New Roman" w:hAnsi="Times New Roman" w:cs="Times New Roman"/>
          <w:sz w:val="24"/>
          <w:szCs w:val="24"/>
        </w:rPr>
        <w:t>phyt</w:t>
      </w:r>
      <w:proofErr w:type="spellEnd"/>
      <w:r w:rsidR="00425558" w:rsidRPr="006E55CC">
        <w:rPr>
          <w:rFonts w:ascii="Times New Roman" w:hAnsi="Times New Roman" w:cs="Times New Roman"/>
          <w:sz w:val="24"/>
          <w:szCs w:val="24"/>
        </w:rPr>
        <w:t xml:space="preserve"> = </w:t>
      </w:r>
      <w:r w:rsidR="00425558" w:rsidRPr="006E55CC">
        <w:rPr>
          <w:rFonts w:ascii="Times New Roman" w:hAnsi="Times New Roman" w:cs="Times New Roman"/>
          <w:i/>
          <w:sz w:val="24"/>
          <w:szCs w:val="24"/>
        </w:rPr>
        <w:t xml:space="preserve">Phytophthora </w:t>
      </w:r>
      <w:proofErr w:type="spellStart"/>
      <w:r w:rsidR="00425558" w:rsidRPr="006E55CC">
        <w:rPr>
          <w:rFonts w:ascii="Times New Roman" w:hAnsi="Times New Roman" w:cs="Times New Roman"/>
          <w:i/>
          <w:sz w:val="24"/>
          <w:szCs w:val="24"/>
        </w:rPr>
        <w:t>cinnamomi</w:t>
      </w:r>
      <w:proofErr w:type="spellEnd"/>
      <w:r w:rsidR="00425558" w:rsidRPr="00851C37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3"/>
      <w:r w:rsidRPr="00851C37">
        <w:rPr>
          <w:rFonts w:ascii="Times New Roman" w:hAnsi="Times New Roman" w:cs="Times New Roman"/>
          <w:sz w:val="24"/>
          <w:szCs w:val="24"/>
        </w:rPr>
        <w:br w:type="page"/>
      </w:r>
    </w:p>
    <w:p w14:paraId="0822CB3B" w14:textId="39BE2215" w:rsidR="0044022F" w:rsidRPr="00851C37" w:rsidRDefault="0044022F">
      <w:pPr>
        <w:rPr>
          <w:rFonts w:ascii="Times New Roman" w:hAnsi="Times New Roman" w:cs="Times New Roman"/>
          <w:b/>
          <w:sz w:val="24"/>
          <w:szCs w:val="24"/>
        </w:rPr>
      </w:pPr>
      <w:r w:rsidRPr="00851C37">
        <w:rPr>
          <w:noProof/>
          <w:sz w:val="24"/>
          <w:szCs w:val="24"/>
        </w:rPr>
        <w:lastRenderedPageBreak/>
        <w:drawing>
          <wp:inline distT="0" distB="0" distL="0" distR="0" wp14:anchorId="6C7BE6C7" wp14:editId="6498BAB7">
            <wp:extent cx="5731510" cy="518775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8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C37">
        <w:rPr>
          <w:rFonts w:ascii="Times New Roman" w:hAnsi="Times New Roman" w:cs="Times New Roman"/>
          <w:b/>
          <w:sz w:val="24"/>
          <w:szCs w:val="24"/>
        </w:rPr>
        <w:t>Supplementary figure 4</w:t>
      </w:r>
      <w:bookmarkStart w:id="4" w:name="_Hlk528326152"/>
      <w:r w:rsidR="00851C3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E21A2" w:rsidRPr="00851C37">
        <w:rPr>
          <w:rFonts w:ascii="Times New Roman" w:hAnsi="Times New Roman" w:cs="Times New Roman"/>
          <w:sz w:val="24"/>
          <w:szCs w:val="24"/>
        </w:rPr>
        <w:t xml:space="preserve">Volcano plot showing the varied molecular features in </w:t>
      </w:r>
      <w:r w:rsidR="003E21A2" w:rsidRPr="00851C37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="003E21A2" w:rsidRPr="00851C37">
        <w:rPr>
          <w:rFonts w:ascii="Times New Roman" w:hAnsi="Times New Roman" w:cs="Times New Roman"/>
          <w:i/>
          <w:sz w:val="24"/>
          <w:szCs w:val="24"/>
        </w:rPr>
        <w:t>grandis</w:t>
      </w:r>
      <w:proofErr w:type="spellEnd"/>
      <w:r w:rsidR="003E21A2" w:rsidRPr="00851C37">
        <w:rPr>
          <w:rFonts w:ascii="Times New Roman" w:hAnsi="Times New Roman" w:cs="Times New Roman"/>
          <w:sz w:val="24"/>
          <w:szCs w:val="24"/>
        </w:rPr>
        <w:t xml:space="preserve"> root tips after pre-symbiosis with </w:t>
      </w:r>
      <w:r w:rsidR="003E21A2" w:rsidRPr="00851C37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="003E21A2" w:rsidRPr="00851C37">
        <w:rPr>
          <w:rFonts w:ascii="Times New Roman" w:hAnsi="Times New Roman" w:cs="Times New Roman"/>
          <w:i/>
          <w:sz w:val="24"/>
          <w:szCs w:val="24"/>
        </w:rPr>
        <w:t>microcarpus</w:t>
      </w:r>
      <w:proofErr w:type="spellEnd"/>
      <w:r w:rsidR="003E21A2" w:rsidRPr="00851C37">
        <w:rPr>
          <w:rFonts w:ascii="Times New Roman" w:hAnsi="Times New Roman" w:cs="Times New Roman"/>
          <w:sz w:val="24"/>
          <w:szCs w:val="24"/>
        </w:rPr>
        <w:t xml:space="preserve"> (n = 24) for 24 h in comparison to control root tips (n = 4). The metabolite profiles are derived from LC-MS (ESI</w:t>
      </w:r>
      <w:r w:rsidR="003E21A2" w:rsidRPr="00851C3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3E21A2" w:rsidRPr="00851C37">
        <w:rPr>
          <w:rFonts w:ascii="Times New Roman" w:hAnsi="Times New Roman" w:cs="Times New Roman"/>
          <w:sz w:val="24"/>
          <w:szCs w:val="24"/>
        </w:rPr>
        <w:t xml:space="preserve"> mode). The y-axis and x-axis correspond to the mean fold change of </w:t>
      </w:r>
      <w:proofErr w:type="spellStart"/>
      <w:r w:rsidR="003E21A2" w:rsidRPr="00851C37">
        <w:rPr>
          <w:rFonts w:ascii="Times New Roman" w:hAnsi="Times New Roman" w:cs="Times New Roman"/>
          <w:i/>
          <w:sz w:val="24"/>
          <w:szCs w:val="24"/>
        </w:rPr>
        <w:t>Pisolithus</w:t>
      </w:r>
      <w:proofErr w:type="spellEnd"/>
      <w:r w:rsidR="003E21A2" w:rsidRPr="00851C37">
        <w:rPr>
          <w:rFonts w:ascii="Times New Roman" w:hAnsi="Times New Roman" w:cs="Times New Roman"/>
          <w:sz w:val="24"/>
          <w:szCs w:val="24"/>
        </w:rPr>
        <w:t xml:space="preserve">-interacting root tips in comparison to control, and the significance value in terms of </w:t>
      </w:r>
      <w:r w:rsidR="003E21A2" w:rsidRPr="00851C37">
        <w:rPr>
          <w:rFonts w:ascii="Times New Roman" w:hAnsi="Times New Roman" w:cs="Times New Roman"/>
          <w:i/>
          <w:sz w:val="24"/>
          <w:szCs w:val="24"/>
        </w:rPr>
        <w:t>p</w:t>
      </w:r>
      <w:r w:rsidR="003E21A2" w:rsidRPr="00851C37">
        <w:rPr>
          <w:rFonts w:ascii="Times New Roman" w:hAnsi="Times New Roman" w:cs="Times New Roman"/>
          <w:sz w:val="24"/>
          <w:szCs w:val="24"/>
        </w:rPr>
        <w:t xml:space="preserve">-value (adjusted by Bonferroni-method). Red = </w:t>
      </w:r>
      <w:r w:rsidR="003E21A2" w:rsidRPr="00851C37">
        <w:rPr>
          <w:rFonts w:ascii="Times New Roman" w:hAnsi="Times New Roman" w:cs="Times New Roman"/>
          <w:i/>
          <w:sz w:val="24"/>
          <w:szCs w:val="24"/>
        </w:rPr>
        <w:t>p</w:t>
      </w:r>
      <w:r w:rsidR="003E21A2" w:rsidRPr="00851C37">
        <w:rPr>
          <w:rFonts w:ascii="Times New Roman" w:hAnsi="Times New Roman" w:cs="Times New Roman"/>
          <w:sz w:val="24"/>
          <w:szCs w:val="24"/>
        </w:rPr>
        <w:t xml:space="preserve"> &lt; 0.05; Orange = Fold Change &gt; 2; Green = </w:t>
      </w:r>
      <w:r w:rsidR="003E21A2" w:rsidRPr="00851C37">
        <w:rPr>
          <w:rFonts w:ascii="Times New Roman" w:hAnsi="Times New Roman" w:cs="Times New Roman"/>
          <w:i/>
          <w:sz w:val="24"/>
          <w:szCs w:val="24"/>
        </w:rPr>
        <w:t>p</w:t>
      </w:r>
      <w:r w:rsidR="003E21A2" w:rsidRPr="00851C37">
        <w:rPr>
          <w:rFonts w:ascii="Times New Roman" w:hAnsi="Times New Roman" w:cs="Times New Roman"/>
          <w:sz w:val="24"/>
          <w:szCs w:val="24"/>
        </w:rPr>
        <w:t xml:space="preserve"> &lt; 0.05 and Intensity fold change &gt;2.</w:t>
      </w:r>
      <w:bookmarkEnd w:id="4"/>
      <w:r w:rsidRPr="00851C37">
        <w:rPr>
          <w:rFonts w:ascii="Times New Roman" w:hAnsi="Times New Roman" w:cs="Times New Roman"/>
          <w:sz w:val="24"/>
          <w:szCs w:val="24"/>
        </w:rPr>
        <w:br w:type="page"/>
      </w:r>
    </w:p>
    <w:p w14:paraId="64E1BD41" w14:textId="77777777" w:rsidR="003821B0" w:rsidRPr="00851C37" w:rsidRDefault="003821B0">
      <w:pPr>
        <w:rPr>
          <w:rFonts w:ascii="Times New Roman" w:hAnsi="Times New Roman" w:cs="Times New Roman"/>
          <w:sz w:val="24"/>
          <w:szCs w:val="24"/>
        </w:rPr>
      </w:pPr>
      <w:r w:rsidRPr="00851C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10BA4B" wp14:editId="392D2A81">
            <wp:extent cx="5727700" cy="51816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1B991" w14:textId="437B1F46" w:rsidR="003821B0" w:rsidRPr="00851C37" w:rsidRDefault="003821B0">
      <w:pPr>
        <w:rPr>
          <w:rFonts w:ascii="Times New Roman" w:hAnsi="Times New Roman" w:cs="Times New Roman"/>
          <w:b/>
          <w:sz w:val="24"/>
          <w:szCs w:val="24"/>
        </w:rPr>
      </w:pPr>
      <w:r w:rsidRPr="00851C37">
        <w:rPr>
          <w:rFonts w:ascii="Times New Roman" w:hAnsi="Times New Roman" w:cs="Times New Roman"/>
          <w:b/>
          <w:sz w:val="24"/>
          <w:szCs w:val="24"/>
        </w:rPr>
        <w:t>Supplementary figure 5</w:t>
      </w:r>
      <w:bookmarkStart w:id="5" w:name="_Hlk528326228"/>
      <w:r w:rsidR="00851C3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5707A" w:rsidRPr="00851C37">
        <w:rPr>
          <w:rFonts w:ascii="Times New Roman" w:hAnsi="Times New Roman" w:cs="Times New Roman"/>
          <w:sz w:val="24"/>
          <w:szCs w:val="24"/>
        </w:rPr>
        <w:t xml:space="preserve">PCA score plot showing the multivariate-variation among </w:t>
      </w:r>
      <w:proofErr w:type="spellStart"/>
      <w:r w:rsidR="00B5707A" w:rsidRPr="00851C37">
        <w:rPr>
          <w:rFonts w:ascii="Times New Roman" w:hAnsi="Times New Roman" w:cs="Times New Roman"/>
          <w:i/>
          <w:sz w:val="24"/>
          <w:szCs w:val="24"/>
        </w:rPr>
        <w:t>Pisolithus</w:t>
      </w:r>
      <w:proofErr w:type="spellEnd"/>
      <w:r w:rsidR="00B5707A" w:rsidRPr="00851C37">
        <w:rPr>
          <w:rFonts w:ascii="Times New Roman" w:hAnsi="Times New Roman" w:cs="Times New Roman"/>
          <w:sz w:val="24"/>
          <w:szCs w:val="24"/>
        </w:rPr>
        <w:t>-</w:t>
      </w:r>
      <w:r w:rsidR="003E21A2" w:rsidRPr="00851C37">
        <w:rPr>
          <w:rFonts w:ascii="Times New Roman" w:hAnsi="Times New Roman" w:cs="Times New Roman"/>
          <w:sz w:val="24"/>
          <w:szCs w:val="24"/>
        </w:rPr>
        <w:t>interacting</w:t>
      </w:r>
      <w:r w:rsidR="00B5707A" w:rsidRPr="00851C37">
        <w:rPr>
          <w:rFonts w:ascii="Times New Roman" w:hAnsi="Times New Roman" w:cs="Times New Roman"/>
          <w:sz w:val="24"/>
          <w:szCs w:val="24"/>
        </w:rPr>
        <w:t xml:space="preserve"> root tips samples in terms of metabolite profiles derived from the ESI</w:t>
      </w:r>
      <w:r w:rsidR="00B5707A" w:rsidRPr="00851C3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B5707A" w:rsidRPr="00851C37">
        <w:rPr>
          <w:rFonts w:ascii="Times New Roman" w:hAnsi="Times New Roman" w:cs="Times New Roman"/>
          <w:sz w:val="24"/>
          <w:szCs w:val="24"/>
        </w:rPr>
        <w:t xml:space="preserve"> mode, LC-MS. The </w:t>
      </w:r>
      <w:r w:rsidR="003E21A2" w:rsidRPr="00851C37">
        <w:rPr>
          <w:rFonts w:ascii="Times New Roman" w:hAnsi="Times New Roman" w:cs="Times New Roman"/>
          <w:sz w:val="24"/>
          <w:szCs w:val="24"/>
        </w:rPr>
        <w:t>color</w:t>
      </w:r>
      <w:r w:rsidR="00B5707A" w:rsidRPr="00851C37">
        <w:rPr>
          <w:rFonts w:ascii="Times New Roman" w:hAnsi="Times New Roman" w:cs="Times New Roman"/>
          <w:sz w:val="24"/>
          <w:szCs w:val="24"/>
        </w:rPr>
        <w:t xml:space="preserve"> of the symbols represents the geographical origin (geo. origin) of the </w:t>
      </w:r>
      <w:proofErr w:type="spellStart"/>
      <w:r w:rsidR="00B5707A" w:rsidRPr="00851C37">
        <w:rPr>
          <w:rFonts w:ascii="Times New Roman" w:hAnsi="Times New Roman" w:cs="Times New Roman"/>
          <w:i/>
          <w:sz w:val="24"/>
          <w:szCs w:val="24"/>
        </w:rPr>
        <w:t>Pisolithus</w:t>
      </w:r>
      <w:proofErr w:type="spellEnd"/>
      <w:r w:rsidR="00B5707A" w:rsidRPr="00851C37">
        <w:rPr>
          <w:rFonts w:ascii="Times New Roman" w:hAnsi="Times New Roman" w:cs="Times New Roman"/>
          <w:sz w:val="24"/>
          <w:szCs w:val="24"/>
        </w:rPr>
        <w:t xml:space="preserve"> strains, while the shape of the symbols represents the colonization rates (col. rate). Ctrl = un-infected control roots; R = Royal National Park; SI = Sussex Inlet; Wil = Wilberforce.</w:t>
      </w:r>
      <w:bookmarkEnd w:id="5"/>
      <w:r w:rsidR="00B5707A" w:rsidRPr="00851C37">
        <w:rPr>
          <w:rFonts w:ascii="Times New Roman" w:hAnsi="Times New Roman" w:cs="Times New Roman"/>
          <w:sz w:val="24"/>
          <w:szCs w:val="24"/>
        </w:rPr>
        <w:br w:type="page"/>
      </w:r>
    </w:p>
    <w:p w14:paraId="3A1B95D1" w14:textId="0FA5BAF3" w:rsidR="0044022F" w:rsidRPr="00851C37" w:rsidRDefault="0044022F">
      <w:pPr>
        <w:rPr>
          <w:rFonts w:ascii="Times New Roman" w:hAnsi="Times New Roman" w:cs="Times New Roman"/>
          <w:sz w:val="24"/>
          <w:szCs w:val="24"/>
        </w:rPr>
      </w:pPr>
      <w:r w:rsidRPr="00851C37">
        <w:rPr>
          <w:noProof/>
          <w:sz w:val="24"/>
          <w:szCs w:val="24"/>
        </w:rPr>
        <w:lastRenderedPageBreak/>
        <w:drawing>
          <wp:inline distT="0" distB="0" distL="0" distR="0" wp14:anchorId="6560ED3C" wp14:editId="2A8C929B">
            <wp:extent cx="5731510" cy="5156792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5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BB19F" w14:textId="48995A4C" w:rsidR="00B5707A" w:rsidRPr="00851C37" w:rsidRDefault="0044022F" w:rsidP="00B5707A">
      <w:pPr>
        <w:rPr>
          <w:rFonts w:ascii="Times New Roman" w:hAnsi="Times New Roman" w:cs="Times New Roman"/>
          <w:b/>
          <w:sz w:val="24"/>
          <w:szCs w:val="24"/>
        </w:rPr>
      </w:pPr>
      <w:r w:rsidRPr="00851C37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3821B0" w:rsidRPr="00851C37">
        <w:rPr>
          <w:rFonts w:ascii="Times New Roman" w:hAnsi="Times New Roman" w:cs="Times New Roman"/>
          <w:b/>
          <w:sz w:val="24"/>
          <w:szCs w:val="24"/>
        </w:rPr>
        <w:t>6</w:t>
      </w:r>
      <w:r w:rsidR="00851C3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5707A" w:rsidRPr="00851C37">
        <w:rPr>
          <w:rFonts w:ascii="Times New Roman" w:hAnsi="Times New Roman" w:cs="Times New Roman"/>
          <w:sz w:val="24"/>
          <w:szCs w:val="24"/>
        </w:rPr>
        <w:t xml:space="preserve">PLS-DA score plot showing the first two components of the supervised classification model that separates metabolite profiles of </w:t>
      </w:r>
      <w:proofErr w:type="spellStart"/>
      <w:r w:rsidR="00B5707A" w:rsidRPr="00851C37">
        <w:rPr>
          <w:rFonts w:ascii="Times New Roman" w:hAnsi="Times New Roman" w:cs="Times New Roman"/>
          <w:i/>
          <w:sz w:val="24"/>
          <w:szCs w:val="24"/>
        </w:rPr>
        <w:t>Pisolithus</w:t>
      </w:r>
      <w:proofErr w:type="spellEnd"/>
      <w:r w:rsidR="00B5707A" w:rsidRPr="00851C37">
        <w:rPr>
          <w:rFonts w:ascii="Times New Roman" w:hAnsi="Times New Roman" w:cs="Times New Roman"/>
          <w:sz w:val="24"/>
          <w:szCs w:val="24"/>
        </w:rPr>
        <w:t>-</w:t>
      </w:r>
      <w:r w:rsidR="003E21A2" w:rsidRPr="00851C37">
        <w:rPr>
          <w:rFonts w:ascii="Times New Roman" w:hAnsi="Times New Roman" w:cs="Times New Roman"/>
          <w:sz w:val="24"/>
          <w:szCs w:val="24"/>
        </w:rPr>
        <w:t>interacting</w:t>
      </w:r>
      <w:r w:rsidR="00B5707A" w:rsidRPr="00851C37">
        <w:rPr>
          <w:rFonts w:ascii="Times New Roman" w:hAnsi="Times New Roman" w:cs="Times New Roman"/>
          <w:sz w:val="24"/>
          <w:szCs w:val="24"/>
        </w:rPr>
        <w:t xml:space="preserve"> root tips samples (LC-MS ES</w:t>
      </w:r>
      <w:r w:rsidR="00CA2321" w:rsidRPr="00851C37">
        <w:rPr>
          <w:rFonts w:ascii="Times New Roman" w:hAnsi="Times New Roman" w:cs="Times New Roman"/>
          <w:sz w:val="24"/>
          <w:szCs w:val="24"/>
        </w:rPr>
        <w:t>I</w:t>
      </w:r>
      <w:r w:rsidR="00B5707A" w:rsidRPr="00851C3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B5707A" w:rsidRPr="00851C37">
        <w:rPr>
          <w:rFonts w:ascii="Times New Roman" w:hAnsi="Times New Roman" w:cs="Times New Roman"/>
          <w:sz w:val="24"/>
          <w:szCs w:val="24"/>
        </w:rPr>
        <w:t xml:space="preserve"> mode) in terms of colonization rate. The </w:t>
      </w:r>
      <w:r w:rsidR="003E21A2" w:rsidRPr="00851C37">
        <w:rPr>
          <w:rFonts w:ascii="Times New Roman" w:hAnsi="Times New Roman" w:cs="Times New Roman"/>
          <w:sz w:val="24"/>
          <w:szCs w:val="24"/>
        </w:rPr>
        <w:t>color</w:t>
      </w:r>
      <w:r w:rsidR="00B5707A" w:rsidRPr="00851C37">
        <w:rPr>
          <w:rFonts w:ascii="Times New Roman" w:hAnsi="Times New Roman" w:cs="Times New Roman"/>
          <w:sz w:val="24"/>
          <w:szCs w:val="24"/>
        </w:rPr>
        <w:t xml:space="preserve"> of the symbols represents the geographical origin (geo. origin) of the </w:t>
      </w:r>
      <w:proofErr w:type="spellStart"/>
      <w:r w:rsidR="00B5707A" w:rsidRPr="00851C37">
        <w:rPr>
          <w:rFonts w:ascii="Times New Roman" w:hAnsi="Times New Roman" w:cs="Times New Roman"/>
          <w:i/>
          <w:sz w:val="24"/>
          <w:szCs w:val="24"/>
        </w:rPr>
        <w:t>Pisolithus</w:t>
      </w:r>
      <w:proofErr w:type="spellEnd"/>
      <w:r w:rsidR="00B5707A" w:rsidRPr="00851C37">
        <w:rPr>
          <w:rFonts w:ascii="Times New Roman" w:hAnsi="Times New Roman" w:cs="Times New Roman"/>
          <w:sz w:val="24"/>
          <w:szCs w:val="24"/>
        </w:rPr>
        <w:t xml:space="preserve"> </w:t>
      </w:r>
      <w:r w:rsidR="003E21A2" w:rsidRPr="00851C37">
        <w:rPr>
          <w:rFonts w:ascii="Times New Roman" w:hAnsi="Times New Roman" w:cs="Times New Roman"/>
          <w:sz w:val="24"/>
          <w:szCs w:val="24"/>
        </w:rPr>
        <w:t>isolates</w:t>
      </w:r>
      <w:r w:rsidR="00B5707A" w:rsidRPr="00851C37">
        <w:rPr>
          <w:rFonts w:ascii="Times New Roman" w:hAnsi="Times New Roman" w:cs="Times New Roman"/>
          <w:sz w:val="24"/>
          <w:szCs w:val="24"/>
        </w:rPr>
        <w:t>, while the shape of the symbols represents the colonization rates (col. rate). Ctrl = un-infected control roots; R = Royal National Park; SI = Sussex Inlet; Wil = Wilberforce.</w:t>
      </w:r>
      <w:r w:rsidR="00B5707A" w:rsidRPr="00851C37">
        <w:rPr>
          <w:rFonts w:ascii="Times New Roman" w:hAnsi="Times New Roman" w:cs="Times New Roman"/>
          <w:sz w:val="24"/>
          <w:szCs w:val="24"/>
        </w:rPr>
        <w:br w:type="page"/>
      </w:r>
    </w:p>
    <w:p w14:paraId="0CC5455D" w14:textId="4551E38B" w:rsidR="003821B0" w:rsidRPr="00851C37" w:rsidRDefault="00906D24">
      <w:pPr>
        <w:rPr>
          <w:rFonts w:ascii="Times New Roman" w:hAnsi="Times New Roman" w:cs="Times New Roman"/>
          <w:sz w:val="24"/>
          <w:szCs w:val="24"/>
        </w:rPr>
      </w:pPr>
      <w:r w:rsidRPr="00851C37">
        <w:rPr>
          <w:noProof/>
          <w:sz w:val="24"/>
          <w:szCs w:val="24"/>
        </w:rPr>
        <w:lastRenderedPageBreak/>
        <w:drawing>
          <wp:inline distT="0" distB="0" distL="0" distR="0" wp14:anchorId="19EEAEF0" wp14:editId="6E28C032">
            <wp:extent cx="5731510" cy="2547998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C31B7" w14:textId="0E165C36" w:rsidR="00EB17FB" w:rsidRDefault="003821B0">
      <w:pPr>
        <w:rPr>
          <w:rFonts w:ascii="Times New Roman" w:hAnsi="Times New Roman" w:cs="Times New Roman"/>
          <w:sz w:val="24"/>
          <w:szCs w:val="24"/>
        </w:rPr>
      </w:pPr>
      <w:r w:rsidRPr="00851C37">
        <w:rPr>
          <w:rFonts w:ascii="Times New Roman" w:hAnsi="Times New Roman" w:cs="Times New Roman"/>
          <w:b/>
          <w:sz w:val="24"/>
          <w:szCs w:val="24"/>
        </w:rPr>
        <w:t>Supplementary figure 7</w:t>
      </w:r>
      <w:r w:rsidR="00851C3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5707A" w:rsidRPr="00851C37">
        <w:rPr>
          <w:rFonts w:ascii="Times New Roman" w:hAnsi="Times New Roman" w:cs="Times New Roman"/>
          <w:sz w:val="24"/>
          <w:szCs w:val="24"/>
        </w:rPr>
        <w:t xml:space="preserve">(Left) Scatter plot showing the abundance of </w:t>
      </w:r>
      <w:r w:rsidR="00B5707A" w:rsidRPr="00851C3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B5707A" w:rsidRPr="00851C37">
        <w:rPr>
          <w:rFonts w:ascii="Times New Roman" w:hAnsi="Times New Roman" w:cs="Times New Roman"/>
          <w:sz w:val="24"/>
          <w:szCs w:val="24"/>
        </w:rPr>
        <w:t xml:space="preserve">C-labeled compounds in </w:t>
      </w:r>
      <w:proofErr w:type="spellStart"/>
      <w:r w:rsidR="00B5707A" w:rsidRPr="00851C37">
        <w:rPr>
          <w:rFonts w:ascii="Times New Roman" w:hAnsi="Times New Roman" w:cs="Times New Roman"/>
          <w:i/>
          <w:sz w:val="24"/>
          <w:szCs w:val="24"/>
        </w:rPr>
        <w:t>Pisolithus</w:t>
      </w:r>
      <w:proofErr w:type="spellEnd"/>
      <w:r w:rsidR="00B5707A" w:rsidRPr="00851C37">
        <w:rPr>
          <w:rFonts w:ascii="Times New Roman" w:hAnsi="Times New Roman" w:cs="Times New Roman"/>
          <w:sz w:val="24"/>
          <w:szCs w:val="24"/>
        </w:rPr>
        <w:t>-treated root tips in labeled setup in relation to unlabeled setup, across the retention time span of LC-MS ESI</w:t>
      </w:r>
      <w:r w:rsidR="00B5707A" w:rsidRPr="00851C3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B5707A" w:rsidRPr="00851C37">
        <w:rPr>
          <w:rFonts w:ascii="Times New Roman" w:hAnsi="Times New Roman" w:cs="Times New Roman"/>
          <w:sz w:val="24"/>
          <w:szCs w:val="24"/>
        </w:rPr>
        <w:t xml:space="preserve"> mode metabolite profiling. The color of the points showing the absolute intensity of the compound peak detected by the LC-MS. An unlabeled or mis-detected labelled metabolite would have a log (relative abundance) ≤ 0. (right) The violin plot demonstrates the distribution of </w:t>
      </w:r>
      <w:r w:rsidR="00B5707A" w:rsidRPr="00851C3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B5707A" w:rsidRPr="00851C37">
        <w:rPr>
          <w:rFonts w:ascii="Times New Roman" w:hAnsi="Times New Roman" w:cs="Times New Roman"/>
          <w:sz w:val="24"/>
          <w:szCs w:val="24"/>
        </w:rPr>
        <w:t>C-labeled compounds with different relative abundance.</w:t>
      </w:r>
    </w:p>
    <w:p w14:paraId="0ADC2D22" w14:textId="77777777" w:rsidR="00EB17FB" w:rsidRDefault="00EB17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054538F" w14:textId="02E0C42D" w:rsidR="00B5707A" w:rsidRDefault="00B5707A">
      <w:pPr>
        <w:rPr>
          <w:rFonts w:ascii="Times New Roman" w:hAnsi="Times New Roman" w:cs="Times New Roman"/>
          <w:b/>
          <w:sz w:val="24"/>
          <w:szCs w:val="24"/>
        </w:rPr>
      </w:pPr>
    </w:p>
    <w:p w14:paraId="56C9481F" w14:textId="749B3F0A" w:rsidR="00EB17FB" w:rsidRDefault="00EB17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C70B861" wp14:editId="1CEB0AAE">
            <wp:extent cx="5725160" cy="4646930"/>
            <wp:effectExtent l="0" t="0" r="889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8A3DB" w14:textId="4753253E" w:rsidR="005D30EF" w:rsidRDefault="00EB17FB" w:rsidP="00EB17FB">
      <w:pPr>
        <w:rPr>
          <w:rFonts w:ascii="Times New Roman" w:hAnsi="Times New Roman" w:cs="Times New Roman"/>
          <w:sz w:val="24"/>
          <w:szCs w:val="24"/>
        </w:rPr>
      </w:pPr>
      <w:r w:rsidRPr="00851C37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Gene ontology enrichment results for highly-induced genes (log</w:t>
      </w:r>
      <w:r w:rsidR="00AD24F5" w:rsidRPr="00AD24F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(fold change) &gt;5) in </w:t>
      </w:r>
      <w:r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grandis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roots in the pre-symbiotic interaction.</w:t>
      </w:r>
      <w:r w:rsidR="00337675">
        <w:rPr>
          <w:rFonts w:ascii="Times New Roman" w:hAnsi="Times New Roman" w:cs="Times New Roman"/>
          <w:sz w:val="24"/>
          <w:szCs w:val="24"/>
        </w:rPr>
        <w:t xml:space="preserve"> Bar plot represent the number of genes </w:t>
      </w:r>
      <w:r w:rsidR="007918A1">
        <w:rPr>
          <w:rFonts w:ascii="Times New Roman" w:hAnsi="Times New Roman" w:cs="Times New Roman"/>
          <w:sz w:val="24"/>
          <w:szCs w:val="24"/>
        </w:rPr>
        <w:t>involved in a gene-set of the enriched gene ontology term. The darkness of the color of the bar represent the significance (in terms of p-values) of the enriched gene-sets.</w:t>
      </w:r>
      <w:bookmarkStart w:id="6" w:name="_GoBack"/>
      <w:bookmarkEnd w:id="6"/>
    </w:p>
    <w:p w14:paraId="44AD53B7" w14:textId="77777777" w:rsidR="008D0EAE" w:rsidRDefault="008D0E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F206C4A" w14:textId="65F40E74" w:rsidR="0040501F" w:rsidRDefault="008648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DB6FA6" wp14:editId="71A1A733">
            <wp:extent cx="5753100" cy="7359027"/>
            <wp:effectExtent l="0" t="0" r="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364" cy="738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5CAE" w14:textId="5B7EB697" w:rsidR="0040501F" w:rsidRDefault="0040501F" w:rsidP="0040501F">
      <w:pPr>
        <w:rPr>
          <w:rFonts w:ascii="Times New Roman" w:hAnsi="Times New Roman" w:cs="Times New Roman"/>
          <w:sz w:val="24"/>
          <w:szCs w:val="24"/>
        </w:rPr>
      </w:pPr>
      <w:r w:rsidRPr="00851C37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5177DD">
        <w:rPr>
          <w:rFonts w:ascii="Times New Roman" w:hAnsi="Times New Roman" w:cs="Times New Roman"/>
          <w:sz w:val="24"/>
          <w:szCs w:val="24"/>
        </w:rPr>
        <w:t>P</w:t>
      </w:r>
      <w:r w:rsidR="006E55CC">
        <w:rPr>
          <w:rFonts w:ascii="Times New Roman" w:hAnsi="Times New Roman" w:cs="Times New Roman"/>
          <w:sz w:val="24"/>
          <w:szCs w:val="24"/>
        </w:rPr>
        <w:t xml:space="preserve">athway graph </w:t>
      </w:r>
      <w:r w:rsidR="005177DD">
        <w:rPr>
          <w:rFonts w:ascii="Times New Roman" w:hAnsi="Times New Roman" w:cs="Times New Roman"/>
          <w:sz w:val="24"/>
          <w:szCs w:val="24"/>
        </w:rPr>
        <w:t xml:space="preserve">to </w:t>
      </w:r>
      <w:r w:rsidR="006E55CC">
        <w:rPr>
          <w:rFonts w:ascii="Times New Roman" w:hAnsi="Times New Roman" w:cs="Times New Roman"/>
          <w:sz w:val="24"/>
          <w:szCs w:val="24"/>
        </w:rPr>
        <w:t>visualize the</w:t>
      </w:r>
      <w:r w:rsidR="007A34B3">
        <w:rPr>
          <w:rFonts w:ascii="Times New Roman" w:hAnsi="Times New Roman" w:cs="Times New Roman"/>
          <w:sz w:val="24"/>
          <w:szCs w:val="24"/>
        </w:rPr>
        <w:t xml:space="preserve"> genes associated with</w:t>
      </w:r>
      <w:r w:rsidR="006E55CC">
        <w:rPr>
          <w:rFonts w:ascii="Times New Roman" w:hAnsi="Times New Roman" w:cs="Times New Roman"/>
          <w:sz w:val="24"/>
          <w:szCs w:val="24"/>
        </w:rPr>
        <w:t xml:space="preserve"> </w:t>
      </w:r>
      <w:r w:rsidR="005177DD">
        <w:rPr>
          <w:rFonts w:ascii="Times New Roman" w:hAnsi="Times New Roman" w:cs="Times New Roman"/>
          <w:sz w:val="24"/>
          <w:szCs w:val="24"/>
        </w:rPr>
        <w:t xml:space="preserve">the </w:t>
      </w:r>
      <w:r w:rsidR="007A34B3">
        <w:rPr>
          <w:rFonts w:ascii="Times New Roman" w:hAnsi="Times New Roman" w:cs="Times New Roman"/>
          <w:sz w:val="24"/>
          <w:szCs w:val="24"/>
        </w:rPr>
        <w:t xml:space="preserve">terpenoid backbone biosynthesis pathway and their expressions in </w:t>
      </w:r>
      <w:r w:rsidR="005177DD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="005177DD">
        <w:rPr>
          <w:rFonts w:ascii="Times New Roman" w:hAnsi="Times New Roman" w:cs="Times New Roman"/>
          <w:i/>
          <w:sz w:val="24"/>
          <w:szCs w:val="24"/>
        </w:rPr>
        <w:t>grandis</w:t>
      </w:r>
      <w:proofErr w:type="spellEnd"/>
      <w:r w:rsidR="005177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A34B3">
        <w:rPr>
          <w:rFonts w:ascii="Times New Roman" w:hAnsi="Times New Roman" w:cs="Times New Roman"/>
          <w:sz w:val="24"/>
          <w:szCs w:val="24"/>
        </w:rPr>
        <w:t>roots during direct physical interaction (</w:t>
      </w:r>
      <w:r w:rsidR="005177DD">
        <w:rPr>
          <w:rFonts w:ascii="Times New Roman" w:hAnsi="Times New Roman" w:cs="Times New Roman"/>
          <w:sz w:val="24"/>
          <w:szCs w:val="24"/>
        </w:rPr>
        <w:t xml:space="preserve">coloration on </w:t>
      </w:r>
      <w:r w:rsidR="007A34B3">
        <w:rPr>
          <w:rFonts w:ascii="Times New Roman" w:hAnsi="Times New Roman" w:cs="Times New Roman"/>
          <w:sz w:val="24"/>
          <w:szCs w:val="24"/>
        </w:rPr>
        <w:t>left</w:t>
      </w:r>
      <w:r w:rsidR="005177DD">
        <w:rPr>
          <w:rFonts w:ascii="Times New Roman" w:hAnsi="Times New Roman" w:cs="Times New Roman"/>
          <w:sz w:val="24"/>
          <w:szCs w:val="24"/>
        </w:rPr>
        <w:t>-hand side of each enzyme box</w:t>
      </w:r>
      <w:r w:rsidR="007A34B3">
        <w:rPr>
          <w:rFonts w:ascii="Times New Roman" w:hAnsi="Times New Roman" w:cs="Times New Roman"/>
          <w:sz w:val="24"/>
          <w:szCs w:val="24"/>
        </w:rPr>
        <w:t>) and pre-symbiotic interaction (</w:t>
      </w:r>
      <w:r w:rsidR="005177DD">
        <w:rPr>
          <w:rFonts w:ascii="Times New Roman" w:hAnsi="Times New Roman" w:cs="Times New Roman"/>
          <w:sz w:val="24"/>
          <w:szCs w:val="24"/>
        </w:rPr>
        <w:t xml:space="preserve">coloration on the </w:t>
      </w:r>
      <w:r w:rsidR="007A34B3">
        <w:rPr>
          <w:rFonts w:ascii="Times New Roman" w:hAnsi="Times New Roman" w:cs="Times New Roman"/>
          <w:sz w:val="24"/>
          <w:szCs w:val="24"/>
        </w:rPr>
        <w:t>right</w:t>
      </w:r>
      <w:r w:rsidR="005177DD">
        <w:rPr>
          <w:rFonts w:ascii="Times New Roman" w:hAnsi="Times New Roman" w:cs="Times New Roman"/>
          <w:sz w:val="24"/>
          <w:szCs w:val="24"/>
        </w:rPr>
        <w:t>-hand side of each enzyme box</w:t>
      </w:r>
      <w:r w:rsidR="007A34B3">
        <w:rPr>
          <w:rFonts w:ascii="Times New Roman" w:hAnsi="Times New Roman" w:cs="Times New Roman"/>
          <w:sz w:val="24"/>
          <w:szCs w:val="24"/>
        </w:rPr>
        <w:t xml:space="preserve">) with </w:t>
      </w:r>
      <w:proofErr w:type="spellStart"/>
      <w:r w:rsidR="007A34B3">
        <w:rPr>
          <w:rFonts w:ascii="Times New Roman" w:hAnsi="Times New Roman" w:cs="Times New Roman"/>
          <w:i/>
          <w:sz w:val="24"/>
          <w:szCs w:val="24"/>
        </w:rPr>
        <w:t>Pisolithus</w:t>
      </w:r>
      <w:proofErr w:type="spellEnd"/>
      <w:r w:rsidR="007A34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A34B3">
        <w:rPr>
          <w:rFonts w:ascii="Times New Roman" w:hAnsi="Times New Roman" w:cs="Times New Roman"/>
          <w:i/>
          <w:sz w:val="24"/>
          <w:szCs w:val="24"/>
        </w:rPr>
        <w:t>microcarpus</w:t>
      </w:r>
      <w:proofErr w:type="spellEnd"/>
      <w:r w:rsidR="008648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48DF">
        <w:rPr>
          <w:rFonts w:ascii="Times New Roman" w:hAnsi="Times New Roman" w:cs="Times New Roman"/>
          <w:sz w:val="24"/>
          <w:szCs w:val="24"/>
        </w:rPr>
        <w:t>in comparison to uninfected control roots</w:t>
      </w:r>
      <w:r w:rsidR="007A34B3">
        <w:rPr>
          <w:rFonts w:ascii="Times New Roman" w:hAnsi="Times New Roman" w:cs="Times New Roman"/>
          <w:sz w:val="24"/>
          <w:szCs w:val="24"/>
        </w:rPr>
        <w:t xml:space="preserve">. The </w:t>
      </w:r>
      <w:r w:rsidR="007A34B3">
        <w:rPr>
          <w:rFonts w:ascii="Times New Roman" w:hAnsi="Times New Roman" w:cs="Times New Roman"/>
          <w:i/>
          <w:sz w:val="24"/>
          <w:szCs w:val="24"/>
        </w:rPr>
        <w:t xml:space="preserve">Arabidopsis thaliana </w:t>
      </w:r>
      <w:r w:rsidR="007A34B3">
        <w:rPr>
          <w:rFonts w:ascii="Times New Roman" w:hAnsi="Times New Roman" w:cs="Times New Roman"/>
          <w:sz w:val="24"/>
          <w:szCs w:val="24"/>
        </w:rPr>
        <w:t xml:space="preserve">homologs of the </w:t>
      </w:r>
      <w:r w:rsidR="007A34B3">
        <w:rPr>
          <w:rFonts w:ascii="Times New Roman" w:hAnsi="Times New Roman" w:cs="Times New Roman"/>
          <w:i/>
          <w:sz w:val="24"/>
          <w:szCs w:val="24"/>
        </w:rPr>
        <w:t>E</w:t>
      </w:r>
      <w:r w:rsidR="005177DD">
        <w:rPr>
          <w:rFonts w:ascii="Times New Roman" w:hAnsi="Times New Roman" w:cs="Times New Roman"/>
          <w:i/>
          <w:sz w:val="24"/>
          <w:szCs w:val="24"/>
        </w:rPr>
        <w:t>.</w:t>
      </w:r>
      <w:r w:rsidR="007A34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A34B3">
        <w:rPr>
          <w:rFonts w:ascii="Times New Roman" w:hAnsi="Times New Roman" w:cs="Times New Roman"/>
          <w:i/>
          <w:sz w:val="24"/>
          <w:szCs w:val="24"/>
        </w:rPr>
        <w:t>grandis</w:t>
      </w:r>
      <w:proofErr w:type="spellEnd"/>
      <w:r w:rsidR="007A34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A34B3">
        <w:rPr>
          <w:rFonts w:ascii="Times New Roman" w:hAnsi="Times New Roman" w:cs="Times New Roman"/>
          <w:sz w:val="24"/>
          <w:szCs w:val="24"/>
        </w:rPr>
        <w:t xml:space="preserve">genes and their expression were mapped onto the pathway. The color of the boxes </w:t>
      </w:r>
      <w:r w:rsidR="008648DF">
        <w:rPr>
          <w:rFonts w:ascii="Times New Roman" w:hAnsi="Times New Roman" w:cs="Times New Roman"/>
          <w:sz w:val="24"/>
          <w:szCs w:val="24"/>
        </w:rPr>
        <w:t>represents</w:t>
      </w:r>
      <w:r w:rsidR="007A34B3">
        <w:rPr>
          <w:rFonts w:ascii="Times New Roman" w:hAnsi="Times New Roman" w:cs="Times New Roman"/>
          <w:sz w:val="24"/>
          <w:szCs w:val="24"/>
        </w:rPr>
        <w:t xml:space="preserve"> the log</w:t>
      </w:r>
      <w:r w:rsidR="008648DF" w:rsidRPr="008648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A34B3">
        <w:rPr>
          <w:rFonts w:ascii="Times New Roman" w:hAnsi="Times New Roman" w:cs="Times New Roman"/>
          <w:sz w:val="24"/>
          <w:szCs w:val="24"/>
        </w:rPr>
        <w:t xml:space="preserve">(fold change) value of the gene. </w:t>
      </w:r>
    </w:p>
    <w:p w14:paraId="2E0B99F8" w14:textId="77777777" w:rsidR="005D30EF" w:rsidRDefault="005D30EF">
      <w:pPr>
        <w:rPr>
          <w:rFonts w:ascii="Times New Roman" w:hAnsi="Times New Roman" w:cs="Times New Roman"/>
          <w:sz w:val="24"/>
          <w:szCs w:val="24"/>
        </w:rPr>
        <w:sectPr w:rsidR="005D30E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EBE708D" w14:textId="62C35EC2" w:rsidR="005D30EF" w:rsidRDefault="008648DF" w:rsidP="00EB17FB">
      <w:pPr>
        <w:rPr>
          <w:rFonts w:ascii="Times New Roman" w:hAnsi="Times New Roman" w:cs="Times New Roman"/>
          <w:sz w:val="24"/>
          <w:szCs w:val="24"/>
        </w:rPr>
      </w:pPr>
      <w:r w:rsidRPr="008648D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1716A8" wp14:editId="48368F72">
            <wp:extent cx="6609806" cy="4435528"/>
            <wp:effectExtent l="0" t="0" r="0" b="0"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745" cy="445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B0DA" w14:textId="247EA06B" w:rsidR="007A34B3" w:rsidRDefault="0040501F" w:rsidP="007A34B3">
      <w:pPr>
        <w:rPr>
          <w:rFonts w:ascii="Times New Roman" w:hAnsi="Times New Roman" w:cs="Times New Roman"/>
          <w:sz w:val="24"/>
          <w:szCs w:val="24"/>
        </w:rPr>
      </w:pPr>
      <w:r w:rsidRPr="00851C37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5177DD">
        <w:rPr>
          <w:rFonts w:ascii="Times New Roman" w:hAnsi="Times New Roman" w:cs="Times New Roman"/>
          <w:sz w:val="24"/>
          <w:szCs w:val="24"/>
        </w:rPr>
        <w:t xml:space="preserve">Pathway graph to visualize the genes associated with the fatty acid biosynthesis pathway and their expressions in </w:t>
      </w:r>
      <w:r w:rsidR="005177DD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="005177DD">
        <w:rPr>
          <w:rFonts w:ascii="Times New Roman" w:hAnsi="Times New Roman" w:cs="Times New Roman"/>
          <w:i/>
          <w:sz w:val="24"/>
          <w:szCs w:val="24"/>
        </w:rPr>
        <w:t>grandis</w:t>
      </w:r>
      <w:proofErr w:type="spellEnd"/>
      <w:r w:rsidR="005177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177DD">
        <w:rPr>
          <w:rFonts w:ascii="Times New Roman" w:hAnsi="Times New Roman" w:cs="Times New Roman"/>
          <w:sz w:val="24"/>
          <w:szCs w:val="24"/>
        </w:rPr>
        <w:t xml:space="preserve">roots during direct physical interaction (coloration on left-hand side of each enzyme box) and pre-symbiotic interaction (coloration on the right-hand side of each enzyme box) with </w:t>
      </w:r>
      <w:proofErr w:type="spellStart"/>
      <w:r w:rsidR="005177DD">
        <w:rPr>
          <w:rFonts w:ascii="Times New Roman" w:hAnsi="Times New Roman" w:cs="Times New Roman"/>
          <w:i/>
          <w:sz w:val="24"/>
          <w:szCs w:val="24"/>
        </w:rPr>
        <w:t>Pisolithus</w:t>
      </w:r>
      <w:proofErr w:type="spellEnd"/>
      <w:r w:rsidR="005177D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177DD">
        <w:rPr>
          <w:rFonts w:ascii="Times New Roman" w:hAnsi="Times New Roman" w:cs="Times New Roman"/>
          <w:i/>
          <w:sz w:val="24"/>
          <w:szCs w:val="24"/>
        </w:rPr>
        <w:t>microcarpus</w:t>
      </w:r>
      <w:proofErr w:type="spellEnd"/>
      <w:r w:rsidR="005177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177DD">
        <w:rPr>
          <w:rFonts w:ascii="Times New Roman" w:hAnsi="Times New Roman" w:cs="Times New Roman"/>
          <w:sz w:val="24"/>
          <w:szCs w:val="24"/>
        </w:rPr>
        <w:t xml:space="preserve">in comparison to uninfected control roots. The </w:t>
      </w:r>
      <w:r w:rsidR="005177DD">
        <w:rPr>
          <w:rFonts w:ascii="Times New Roman" w:hAnsi="Times New Roman" w:cs="Times New Roman"/>
          <w:i/>
          <w:sz w:val="24"/>
          <w:szCs w:val="24"/>
        </w:rPr>
        <w:t xml:space="preserve">Arabidopsis thaliana </w:t>
      </w:r>
      <w:r w:rsidR="005177DD">
        <w:rPr>
          <w:rFonts w:ascii="Times New Roman" w:hAnsi="Times New Roman" w:cs="Times New Roman"/>
          <w:sz w:val="24"/>
          <w:szCs w:val="24"/>
        </w:rPr>
        <w:t xml:space="preserve">homologs of the </w:t>
      </w:r>
      <w:r w:rsidR="005177DD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="005177DD">
        <w:rPr>
          <w:rFonts w:ascii="Times New Roman" w:hAnsi="Times New Roman" w:cs="Times New Roman"/>
          <w:i/>
          <w:sz w:val="24"/>
          <w:szCs w:val="24"/>
        </w:rPr>
        <w:t>grandis</w:t>
      </w:r>
      <w:proofErr w:type="spellEnd"/>
      <w:r w:rsidR="005177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177DD">
        <w:rPr>
          <w:rFonts w:ascii="Times New Roman" w:hAnsi="Times New Roman" w:cs="Times New Roman"/>
          <w:sz w:val="24"/>
          <w:szCs w:val="24"/>
        </w:rPr>
        <w:t>genes and their expression were mapped onto the pathway. The color of the boxes represents the log</w:t>
      </w:r>
      <w:r w:rsidR="005177DD" w:rsidRPr="008648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7DD">
        <w:rPr>
          <w:rFonts w:ascii="Times New Roman" w:hAnsi="Times New Roman" w:cs="Times New Roman"/>
          <w:sz w:val="24"/>
          <w:szCs w:val="24"/>
        </w:rPr>
        <w:t>(fold change) value of the gene.</w:t>
      </w:r>
    </w:p>
    <w:p w14:paraId="02CE4DB6" w14:textId="0F017BD7" w:rsidR="008D0EAE" w:rsidRDefault="008648DF">
      <w:pPr>
        <w:rPr>
          <w:rFonts w:ascii="Times New Roman" w:hAnsi="Times New Roman" w:cs="Times New Roman"/>
          <w:b/>
          <w:sz w:val="24"/>
          <w:szCs w:val="24"/>
        </w:rPr>
      </w:pPr>
      <w:r w:rsidRPr="008648D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6F88E11" wp14:editId="5C37915A">
            <wp:extent cx="6506113" cy="4476206"/>
            <wp:effectExtent l="0" t="0" r="0" b="0"/>
            <wp:docPr id="15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039" cy="448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E33D" w14:textId="577903A1" w:rsidR="008D0EAE" w:rsidRDefault="0040501F">
      <w:pPr>
        <w:rPr>
          <w:rFonts w:ascii="Times New Roman" w:hAnsi="Times New Roman" w:cs="Times New Roman"/>
          <w:b/>
          <w:sz w:val="24"/>
          <w:szCs w:val="24"/>
        </w:rPr>
      </w:pPr>
      <w:r w:rsidRPr="00851C37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5177DD">
        <w:rPr>
          <w:rFonts w:ascii="Times New Roman" w:hAnsi="Times New Roman" w:cs="Times New Roman"/>
          <w:sz w:val="24"/>
          <w:szCs w:val="24"/>
        </w:rPr>
        <w:t xml:space="preserve">Pathway graph to visualize the genes associated with the diterpenoid biosynthesis pathway and their expressions in </w:t>
      </w:r>
      <w:r w:rsidR="005177DD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="005177DD">
        <w:rPr>
          <w:rFonts w:ascii="Times New Roman" w:hAnsi="Times New Roman" w:cs="Times New Roman"/>
          <w:i/>
          <w:sz w:val="24"/>
          <w:szCs w:val="24"/>
        </w:rPr>
        <w:t>grandis</w:t>
      </w:r>
      <w:proofErr w:type="spellEnd"/>
      <w:r w:rsidR="005177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177DD">
        <w:rPr>
          <w:rFonts w:ascii="Times New Roman" w:hAnsi="Times New Roman" w:cs="Times New Roman"/>
          <w:sz w:val="24"/>
          <w:szCs w:val="24"/>
        </w:rPr>
        <w:t xml:space="preserve">roots during direct physical interaction (coloration on left-hand side of each enzyme box) and pre-symbiotic interaction (coloration on the right-hand side of each enzyme box) with </w:t>
      </w:r>
      <w:proofErr w:type="spellStart"/>
      <w:r w:rsidR="005177DD">
        <w:rPr>
          <w:rFonts w:ascii="Times New Roman" w:hAnsi="Times New Roman" w:cs="Times New Roman"/>
          <w:i/>
          <w:sz w:val="24"/>
          <w:szCs w:val="24"/>
        </w:rPr>
        <w:t>Pisolithus</w:t>
      </w:r>
      <w:proofErr w:type="spellEnd"/>
      <w:r w:rsidR="005177D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177DD">
        <w:rPr>
          <w:rFonts w:ascii="Times New Roman" w:hAnsi="Times New Roman" w:cs="Times New Roman"/>
          <w:i/>
          <w:sz w:val="24"/>
          <w:szCs w:val="24"/>
        </w:rPr>
        <w:t>microcarpus</w:t>
      </w:r>
      <w:proofErr w:type="spellEnd"/>
      <w:r w:rsidR="005177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177DD">
        <w:rPr>
          <w:rFonts w:ascii="Times New Roman" w:hAnsi="Times New Roman" w:cs="Times New Roman"/>
          <w:sz w:val="24"/>
          <w:szCs w:val="24"/>
        </w:rPr>
        <w:t xml:space="preserve">in comparison to uninfected control roots. The </w:t>
      </w:r>
      <w:r w:rsidR="005177DD">
        <w:rPr>
          <w:rFonts w:ascii="Times New Roman" w:hAnsi="Times New Roman" w:cs="Times New Roman"/>
          <w:i/>
          <w:sz w:val="24"/>
          <w:szCs w:val="24"/>
        </w:rPr>
        <w:t xml:space="preserve">Arabidopsis thaliana </w:t>
      </w:r>
      <w:r w:rsidR="005177DD">
        <w:rPr>
          <w:rFonts w:ascii="Times New Roman" w:hAnsi="Times New Roman" w:cs="Times New Roman"/>
          <w:sz w:val="24"/>
          <w:szCs w:val="24"/>
        </w:rPr>
        <w:t xml:space="preserve">homologs of the </w:t>
      </w:r>
      <w:r w:rsidR="005177DD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="005177DD">
        <w:rPr>
          <w:rFonts w:ascii="Times New Roman" w:hAnsi="Times New Roman" w:cs="Times New Roman"/>
          <w:i/>
          <w:sz w:val="24"/>
          <w:szCs w:val="24"/>
        </w:rPr>
        <w:t>grandis</w:t>
      </w:r>
      <w:proofErr w:type="spellEnd"/>
      <w:r w:rsidR="005177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177DD">
        <w:rPr>
          <w:rFonts w:ascii="Times New Roman" w:hAnsi="Times New Roman" w:cs="Times New Roman"/>
          <w:sz w:val="24"/>
          <w:szCs w:val="24"/>
        </w:rPr>
        <w:t>genes and their expression were mapped onto the pathway. The color of the boxes represents the log</w:t>
      </w:r>
      <w:r w:rsidR="005177DD" w:rsidRPr="008648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7DD">
        <w:rPr>
          <w:rFonts w:ascii="Times New Roman" w:hAnsi="Times New Roman" w:cs="Times New Roman"/>
          <w:sz w:val="24"/>
          <w:szCs w:val="24"/>
        </w:rPr>
        <w:t>(fold change) value of the gene.</w:t>
      </w:r>
      <w:r w:rsidR="008D0EA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7EA6B4B" w14:textId="6D8335FD" w:rsidR="00EB17FB" w:rsidRDefault="008648DF">
      <w:pPr>
        <w:rPr>
          <w:rFonts w:ascii="Times New Roman" w:hAnsi="Times New Roman" w:cs="Times New Roman"/>
          <w:b/>
          <w:sz w:val="24"/>
          <w:szCs w:val="24"/>
        </w:rPr>
      </w:pPr>
      <w:r w:rsidRPr="008648D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DBB123C" wp14:editId="4EA826B3">
            <wp:extent cx="6313714" cy="4411328"/>
            <wp:effectExtent l="0" t="0" r="0" b="0"/>
            <wp:docPr id="16" name="Graph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754" cy="442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E482" w14:textId="3EDEAE16" w:rsidR="0040501F" w:rsidRPr="00851C37" w:rsidRDefault="0040501F">
      <w:pPr>
        <w:rPr>
          <w:rFonts w:ascii="Times New Roman" w:hAnsi="Times New Roman" w:cs="Times New Roman"/>
          <w:b/>
          <w:sz w:val="24"/>
          <w:szCs w:val="24"/>
        </w:rPr>
      </w:pPr>
      <w:r w:rsidRPr="00851C37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="005177DD">
        <w:rPr>
          <w:rFonts w:ascii="Times New Roman" w:hAnsi="Times New Roman" w:cs="Times New Roman"/>
          <w:sz w:val="24"/>
          <w:szCs w:val="24"/>
        </w:rPr>
        <w:t xml:space="preserve">Pathway graph to visualize the genes associated with the flavonoid biosynthesis pathway and their expressions in </w:t>
      </w:r>
      <w:r w:rsidR="005177DD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="005177DD">
        <w:rPr>
          <w:rFonts w:ascii="Times New Roman" w:hAnsi="Times New Roman" w:cs="Times New Roman"/>
          <w:i/>
          <w:sz w:val="24"/>
          <w:szCs w:val="24"/>
        </w:rPr>
        <w:t>grandis</w:t>
      </w:r>
      <w:proofErr w:type="spellEnd"/>
      <w:r w:rsidR="005177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177DD">
        <w:rPr>
          <w:rFonts w:ascii="Times New Roman" w:hAnsi="Times New Roman" w:cs="Times New Roman"/>
          <w:sz w:val="24"/>
          <w:szCs w:val="24"/>
        </w:rPr>
        <w:t xml:space="preserve">roots during direct physical interaction (coloration on left-hand side of each enzyme box) and pre-symbiotic interaction (coloration on the right-hand side of each enzyme box) with </w:t>
      </w:r>
      <w:proofErr w:type="spellStart"/>
      <w:r w:rsidR="005177DD">
        <w:rPr>
          <w:rFonts w:ascii="Times New Roman" w:hAnsi="Times New Roman" w:cs="Times New Roman"/>
          <w:i/>
          <w:sz w:val="24"/>
          <w:szCs w:val="24"/>
        </w:rPr>
        <w:t>Pisolithus</w:t>
      </w:r>
      <w:proofErr w:type="spellEnd"/>
      <w:r w:rsidR="005177D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177DD">
        <w:rPr>
          <w:rFonts w:ascii="Times New Roman" w:hAnsi="Times New Roman" w:cs="Times New Roman"/>
          <w:i/>
          <w:sz w:val="24"/>
          <w:szCs w:val="24"/>
        </w:rPr>
        <w:t>microcarpus</w:t>
      </w:r>
      <w:proofErr w:type="spellEnd"/>
      <w:r w:rsidR="005177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177DD">
        <w:rPr>
          <w:rFonts w:ascii="Times New Roman" w:hAnsi="Times New Roman" w:cs="Times New Roman"/>
          <w:sz w:val="24"/>
          <w:szCs w:val="24"/>
        </w:rPr>
        <w:t xml:space="preserve">in comparison to uninfected control roots. The </w:t>
      </w:r>
      <w:r w:rsidR="005177DD">
        <w:rPr>
          <w:rFonts w:ascii="Times New Roman" w:hAnsi="Times New Roman" w:cs="Times New Roman"/>
          <w:i/>
          <w:sz w:val="24"/>
          <w:szCs w:val="24"/>
        </w:rPr>
        <w:t xml:space="preserve">Arabidopsis thaliana </w:t>
      </w:r>
      <w:r w:rsidR="005177DD">
        <w:rPr>
          <w:rFonts w:ascii="Times New Roman" w:hAnsi="Times New Roman" w:cs="Times New Roman"/>
          <w:sz w:val="24"/>
          <w:szCs w:val="24"/>
        </w:rPr>
        <w:t xml:space="preserve">homologs of the </w:t>
      </w:r>
      <w:r w:rsidR="005177DD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="005177DD">
        <w:rPr>
          <w:rFonts w:ascii="Times New Roman" w:hAnsi="Times New Roman" w:cs="Times New Roman"/>
          <w:i/>
          <w:sz w:val="24"/>
          <w:szCs w:val="24"/>
        </w:rPr>
        <w:t>grandis</w:t>
      </w:r>
      <w:proofErr w:type="spellEnd"/>
      <w:r w:rsidR="005177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177DD">
        <w:rPr>
          <w:rFonts w:ascii="Times New Roman" w:hAnsi="Times New Roman" w:cs="Times New Roman"/>
          <w:sz w:val="24"/>
          <w:szCs w:val="24"/>
        </w:rPr>
        <w:t>genes and their expression were mapped onto the pathway. The color of the boxes represents the log</w:t>
      </w:r>
      <w:r w:rsidR="005177DD" w:rsidRPr="008648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7DD">
        <w:rPr>
          <w:rFonts w:ascii="Times New Roman" w:hAnsi="Times New Roman" w:cs="Times New Roman"/>
          <w:sz w:val="24"/>
          <w:szCs w:val="24"/>
        </w:rPr>
        <w:t>(fold change) value of the gene.</w:t>
      </w:r>
    </w:p>
    <w:sectPr w:rsidR="0040501F" w:rsidRPr="00851C37" w:rsidSect="005D30E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22F"/>
    <w:rsid w:val="00202414"/>
    <w:rsid w:val="00337675"/>
    <w:rsid w:val="003821B0"/>
    <w:rsid w:val="003E21A2"/>
    <w:rsid w:val="0040501F"/>
    <w:rsid w:val="00425558"/>
    <w:rsid w:val="0044022F"/>
    <w:rsid w:val="005177DD"/>
    <w:rsid w:val="005A182E"/>
    <w:rsid w:val="005D30EF"/>
    <w:rsid w:val="006E55CC"/>
    <w:rsid w:val="007918A1"/>
    <w:rsid w:val="007A34B3"/>
    <w:rsid w:val="00851C37"/>
    <w:rsid w:val="008648DF"/>
    <w:rsid w:val="008A4FB6"/>
    <w:rsid w:val="008D0EAE"/>
    <w:rsid w:val="008E09DC"/>
    <w:rsid w:val="00906D24"/>
    <w:rsid w:val="00A60863"/>
    <w:rsid w:val="00AD24F5"/>
    <w:rsid w:val="00B5707A"/>
    <w:rsid w:val="00B8297D"/>
    <w:rsid w:val="00C86CDC"/>
    <w:rsid w:val="00C926F7"/>
    <w:rsid w:val="00CA2321"/>
    <w:rsid w:val="00CD5E99"/>
    <w:rsid w:val="00DF7618"/>
    <w:rsid w:val="00EB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D1AF5"/>
  <w15:chartTrackingRefBased/>
  <w15:docId w15:val="{F14047C4-5C55-4375-8F01-88D796D3B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7FB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1765A-8BBB-475A-BC21-C67C1ADE6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918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Wong</dc:creator>
  <cp:keywords/>
  <dc:description/>
  <cp:lastModifiedBy>Johanna Wong</cp:lastModifiedBy>
  <cp:revision>3</cp:revision>
  <dcterms:created xsi:type="dcterms:W3CDTF">2019-01-04T04:39:00Z</dcterms:created>
  <dcterms:modified xsi:type="dcterms:W3CDTF">2019-01-04T04:39:00Z</dcterms:modified>
</cp:coreProperties>
</file>