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BF3A2" w14:textId="17E63BDC" w:rsidR="00FB42E5" w:rsidRDefault="00DF1654" w:rsidP="00FB42E5">
      <w:pPr>
        <w:jc w:val="both"/>
        <w:rPr>
          <w:b/>
        </w:rPr>
      </w:pPr>
      <w:r w:rsidRPr="00CC09E3">
        <w:rPr>
          <w:b/>
        </w:rPr>
        <w:t>Supporting information</w:t>
      </w:r>
    </w:p>
    <w:p w14:paraId="500B5864" w14:textId="77777777" w:rsidR="00FB42E5" w:rsidRPr="00CC09E3" w:rsidRDefault="00FB42E5" w:rsidP="00FB42E5">
      <w:pPr>
        <w:jc w:val="both"/>
        <w:rPr>
          <w:b/>
        </w:rPr>
      </w:pPr>
    </w:p>
    <w:p w14:paraId="7367EDD3" w14:textId="3FB517F5" w:rsidR="00E6587D" w:rsidRPr="00FB42E5" w:rsidRDefault="00E6587D" w:rsidP="00FB42E5">
      <w:pPr>
        <w:jc w:val="both"/>
        <w:rPr>
          <w:b/>
        </w:rPr>
      </w:pPr>
    </w:p>
    <w:p w14:paraId="0872DCF7" w14:textId="09D6C31A" w:rsidR="00FB42E5" w:rsidRDefault="009731BF" w:rsidP="00DF1654">
      <w:pPr>
        <w:jc w:val="both"/>
        <w:rPr>
          <w:b/>
          <w:bCs/>
        </w:rPr>
      </w:pPr>
      <w:r>
        <w:rPr>
          <w:b/>
          <w:bCs/>
          <w:noProof/>
        </w:rPr>
        <w:drawing>
          <wp:inline distT="0" distB="0" distL="0" distR="0" wp14:anchorId="0F076369" wp14:editId="240223C0">
            <wp:extent cx="5486400" cy="6650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S1.tif"/>
                    <pic:cNvPicPr/>
                  </pic:nvPicPr>
                  <pic:blipFill>
                    <a:blip r:embed="rId6">
                      <a:extLst>
                        <a:ext uri="{28A0092B-C50C-407E-A947-70E740481C1C}">
                          <a14:useLocalDpi xmlns:a14="http://schemas.microsoft.com/office/drawing/2010/main" val="0"/>
                        </a:ext>
                      </a:extLst>
                    </a:blip>
                    <a:stretch>
                      <a:fillRect/>
                    </a:stretch>
                  </pic:blipFill>
                  <pic:spPr>
                    <a:xfrm>
                      <a:off x="0" y="0"/>
                      <a:ext cx="5486400" cy="6650990"/>
                    </a:xfrm>
                    <a:prstGeom prst="rect">
                      <a:avLst/>
                    </a:prstGeom>
                  </pic:spPr>
                </pic:pic>
              </a:graphicData>
            </a:graphic>
          </wp:inline>
        </w:drawing>
      </w:r>
    </w:p>
    <w:p w14:paraId="236A09B3" w14:textId="77777777" w:rsidR="00FB42E5" w:rsidRDefault="00FB42E5" w:rsidP="00DF1654">
      <w:pPr>
        <w:jc w:val="both"/>
        <w:rPr>
          <w:b/>
          <w:bCs/>
        </w:rPr>
      </w:pPr>
    </w:p>
    <w:p w14:paraId="3E66189E" w14:textId="54134D66" w:rsidR="00DF1654" w:rsidRPr="00CC09E3" w:rsidRDefault="00DF1654" w:rsidP="00DF1654">
      <w:pPr>
        <w:jc w:val="both"/>
        <w:rPr>
          <w:b/>
        </w:rPr>
      </w:pPr>
      <w:r w:rsidRPr="00CC09E3">
        <w:rPr>
          <w:b/>
          <w:bCs/>
        </w:rPr>
        <w:t xml:space="preserve">Figure S1. Analysis of RNAi and siRNA chaperone knockdown efficiencies in </w:t>
      </w:r>
      <w:r w:rsidRPr="00CC09E3">
        <w:rPr>
          <w:b/>
          <w:bCs/>
          <w:i/>
          <w:iCs/>
        </w:rPr>
        <w:t>C. elegans</w:t>
      </w:r>
      <w:r w:rsidRPr="00CC09E3">
        <w:rPr>
          <w:b/>
          <w:bCs/>
        </w:rPr>
        <w:t xml:space="preserve"> and HEK293 cells</w:t>
      </w:r>
      <w:r w:rsidR="0060176E">
        <w:rPr>
          <w:b/>
          <w:bCs/>
        </w:rPr>
        <w:t xml:space="preserve">, and </w:t>
      </w:r>
      <w:proofErr w:type="gramStart"/>
      <w:r w:rsidR="0060176E">
        <w:rPr>
          <w:b/>
          <w:bCs/>
        </w:rPr>
        <w:t>GFP::</w:t>
      </w:r>
      <w:proofErr w:type="gramEnd"/>
      <w:r w:rsidR="0060176E">
        <w:rPr>
          <w:b/>
          <w:bCs/>
        </w:rPr>
        <w:t>LGG-1 expression pattern upon chaperone depletion and disease models</w:t>
      </w:r>
    </w:p>
    <w:p w14:paraId="27856D02" w14:textId="506510EB" w:rsidR="00DF1654" w:rsidRPr="00FB42E5" w:rsidRDefault="00DF1654" w:rsidP="00FB42E5">
      <w:pPr>
        <w:jc w:val="both"/>
      </w:pPr>
      <w:r w:rsidRPr="00CC09E3">
        <w:lastRenderedPageBreak/>
        <w:t>A-B) Western blot of chaperone levels of day 4 nematodes treated with RNAi against the indicated chaperones. The relative band intensity of each chaperone was normalized to α-tubulin level and then to control RNAi (B). C-D) Chaperone levels of HEK293 cell lysates which were transfected with the indicated siRNA for 48 hours. The relative band intensity of each chaperone was normalized to actin levels and then to control siRNA (D</w:t>
      </w:r>
      <w:r w:rsidRPr="00950CE5">
        <w:t>).</w:t>
      </w:r>
      <w:r w:rsidR="00FB42E5" w:rsidRPr="00950CE5">
        <w:t xml:space="preserve"> E) Fluorescent images of </w:t>
      </w:r>
      <w:proofErr w:type="gramStart"/>
      <w:r w:rsidR="00FB42E5" w:rsidRPr="00950CE5">
        <w:t>GFP::</w:t>
      </w:r>
      <w:proofErr w:type="gramEnd"/>
      <w:r w:rsidR="00FB42E5" w:rsidRPr="00950CE5">
        <w:t>LGG-1 animals (day 6) subjected to</w:t>
      </w:r>
      <w:r w:rsidR="009D210C" w:rsidRPr="00950CE5">
        <w:t xml:space="preserve"> the indicated</w:t>
      </w:r>
      <w:r w:rsidR="00FB42E5" w:rsidRPr="00950CE5">
        <w:t xml:space="preserve"> RNAi </w:t>
      </w:r>
      <w:r w:rsidR="009D210C" w:rsidRPr="00950CE5">
        <w:t xml:space="preserve">(as shown in Figure 1A). </w:t>
      </w:r>
      <w:r w:rsidR="00FB42E5" w:rsidRPr="00950CE5">
        <w:t xml:space="preserve">Scale bars: 50 </w:t>
      </w:r>
      <w:proofErr w:type="spellStart"/>
      <w:r w:rsidR="00FB42E5" w:rsidRPr="00950CE5">
        <w:t>μm</w:t>
      </w:r>
      <w:proofErr w:type="spellEnd"/>
      <w:r w:rsidR="00FB42E5" w:rsidRPr="00950CE5">
        <w:t xml:space="preserve"> (upper) and 5 </w:t>
      </w:r>
      <w:proofErr w:type="spellStart"/>
      <w:r w:rsidR="00FB42E5" w:rsidRPr="00950CE5">
        <w:t>μm</w:t>
      </w:r>
      <w:proofErr w:type="spellEnd"/>
      <w:r w:rsidR="00FB42E5" w:rsidRPr="00950CE5">
        <w:t xml:space="preserve"> (lower panel)</w:t>
      </w:r>
      <w:r w:rsidR="009D210C" w:rsidRPr="00950CE5">
        <w:t xml:space="preserve">. F) Quantification of </w:t>
      </w:r>
      <w:proofErr w:type="gramStart"/>
      <w:r w:rsidR="009D210C" w:rsidRPr="00950CE5">
        <w:t>GFP::</w:t>
      </w:r>
      <w:proofErr w:type="gramEnd"/>
      <w:r w:rsidR="009D210C" w:rsidRPr="00950CE5">
        <w:t>LGG-1 puncta in the intestine region</w:t>
      </w:r>
      <w:r w:rsidR="00F614D4" w:rsidRPr="00950CE5">
        <w:t xml:space="preserve"> posterior to the pharynx</w:t>
      </w:r>
      <w:r w:rsidR="009D210C" w:rsidRPr="00950CE5">
        <w:t xml:space="preserve"> (area depicted in the lower panel of E)) of animals (day 6) subjected to the indicated RNAi. </w:t>
      </w:r>
      <w:r w:rsidR="00746E19" w:rsidRPr="00950CE5">
        <w:t xml:space="preserve">The error bars represent the standard deviation of </w:t>
      </w:r>
      <w:r w:rsidR="00746E19" w:rsidRPr="00950CE5">
        <w:rPr>
          <w:bCs/>
        </w:rPr>
        <w:t>a minimum of</w:t>
      </w:r>
      <w:r w:rsidR="004D6E3A" w:rsidRPr="00950CE5">
        <w:rPr>
          <w:bCs/>
        </w:rPr>
        <w:t xml:space="preserve"> 4 </w:t>
      </w:r>
      <w:r w:rsidR="00746E19" w:rsidRPr="00950CE5">
        <w:rPr>
          <w:bCs/>
        </w:rPr>
        <w:t>animals</w:t>
      </w:r>
      <w:r w:rsidR="004D6E3A" w:rsidRPr="00950CE5">
        <w:t>.</w:t>
      </w:r>
      <w:r w:rsidR="00950CE5">
        <w:t xml:space="preserve"> G+H) Immunoblotting of </w:t>
      </w:r>
      <w:proofErr w:type="gramStart"/>
      <w:r w:rsidR="00950CE5">
        <w:t>GFP::</w:t>
      </w:r>
      <w:proofErr w:type="gramEnd"/>
      <w:r w:rsidR="00950CE5">
        <w:t>LGG-1 RNAi treated animals (as shown in Figure 1B). GFP cleaved product levels were normalized to α-tubulin levels and then to RNAi control (H). The dashed lines indicate that some lanes were removed from the immunoblot.</w:t>
      </w:r>
      <w:bookmarkStart w:id="0" w:name="_GoBack"/>
      <w:bookmarkEnd w:id="0"/>
    </w:p>
    <w:p w14:paraId="38B8001C" w14:textId="744E64E7" w:rsidR="00FB42E5" w:rsidRDefault="009D210C" w:rsidP="00FB42E5">
      <w:pPr>
        <w:jc w:val="both"/>
        <w:outlineLvl w:val="0"/>
        <w:rPr>
          <w:b/>
          <w:bCs/>
        </w:rPr>
      </w:pPr>
      <w:r>
        <w:rPr>
          <w:b/>
          <w:bCs/>
          <w:noProof/>
        </w:rPr>
        <w:lastRenderedPageBreak/>
        <w:drawing>
          <wp:inline distT="0" distB="0" distL="0" distR="0" wp14:anchorId="7E81E2C2" wp14:editId="0FDFA84B">
            <wp:extent cx="5486400" cy="7980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2.tif"/>
                    <pic:cNvPicPr/>
                  </pic:nvPicPr>
                  <pic:blipFill>
                    <a:blip r:embed="rId7">
                      <a:extLst>
                        <a:ext uri="{28A0092B-C50C-407E-A947-70E740481C1C}">
                          <a14:useLocalDpi xmlns:a14="http://schemas.microsoft.com/office/drawing/2010/main" val="0"/>
                        </a:ext>
                      </a:extLst>
                    </a:blip>
                    <a:stretch>
                      <a:fillRect/>
                    </a:stretch>
                  </pic:blipFill>
                  <pic:spPr>
                    <a:xfrm>
                      <a:off x="0" y="0"/>
                      <a:ext cx="5486400" cy="7980045"/>
                    </a:xfrm>
                    <a:prstGeom prst="rect">
                      <a:avLst/>
                    </a:prstGeom>
                  </pic:spPr>
                </pic:pic>
              </a:graphicData>
            </a:graphic>
          </wp:inline>
        </w:drawing>
      </w:r>
    </w:p>
    <w:p w14:paraId="5D97EA47" w14:textId="77777777" w:rsidR="009D210C" w:rsidRDefault="009D210C" w:rsidP="00FB42E5">
      <w:pPr>
        <w:jc w:val="both"/>
        <w:outlineLvl w:val="0"/>
        <w:rPr>
          <w:b/>
          <w:bCs/>
        </w:rPr>
      </w:pPr>
    </w:p>
    <w:p w14:paraId="44B3B5FA" w14:textId="41E08695" w:rsidR="00DF1654" w:rsidRPr="00CC09E3" w:rsidRDefault="00DF1654" w:rsidP="00FB42E5">
      <w:pPr>
        <w:jc w:val="both"/>
        <w:outlineLvl w:val="0"/>
        <w:rPr>
          <w:b/>
          <w:bCs/>
        </w:rPr>
      </w:pPr>
      <w:r w:rsidRPr="00CC09E3">
        <w:rPr>
          <w:b/>
          <w:bCs/>
        </w:rPr>
        <w:lastRenderedPageBreak/>
        <w:t xml:space="preserve">Figure S2. Modulation of the autophagy pathway </w:t>
      </w:r>
    </w:p>
    <w:p w14:paraId="3D58FFE7" w14:textId="2FACDE17" w:rsidR="00DF1654" w:rsidRDefault="00DF1654" w:rsidP="00DF1654">
      <w:pPr>
        <w:jc w:val="both"/>
      </w:pPr>
      <w:r w:rsidRPr="00CC09E3">
        <w:rPr>
          <w:bCs/>
        </w:rPr>
        <w:t xml:space="preserve">A-B) Lysosomal pool of day 4 animals treated with 200 </w:t>
      </w:r>
      <w:proofErr w:type="spellStart"/>
      <w:r w:rsidRPr="00CC09E3">
        <w:t>μ</w:t>
      </w:r>
      <w:r w:rsidRPr="00CC09E3">
        <w:rPr>
          <w:bCs/>
        </w:rPr>
        <w:t>M</w:t>
      </w:r>
      <w:proofErr w:type="spellEnd"/>
      <w:r w:rsidRPr="00CC09E3">
        <w:rPr>
          <w:bCs/>
        </w:rPr>
        <w:t xml:space="preserve"> Rapamycin or 10 mM chloroquine for 20 hours was stained with </w:t>
      </w:r>
      <w:proofErr w:type="spellStart"/>
      <w:r w:rsidRPr="00CC09E3">
        <w:rPr>
          <w:bCs/>
        </w:rPr>
        <w:t>LysoTracker</w:t>
      </w:r>
      <w:proofErr w:type="spellEnd"/>
      <w:r w:rsidRPr="00CC09E3">
        <w:rPr>
          <w:bCs/>
        </w:rPr>
        <w:t xml:space="preserve">-Red. </w:t>
      </w:r>
      <w:proofErr w:type="spellStart"/>
      <w:r w:rsidRPr="00CC09E3">
        <w:rPr>
          <w:bCs/>
        </w:rPr>
        <w:t>LysoTracker</w:t>
      </w:r>
      <w:proofErr w:type="spellEnd"/>
      <w:r w:rsidRPr="00CC09E3">
        <w:rPr>
          <w:bCs/>
        </w:rPr>
        <w:t xml:space="preserve">-Red fluorescence was quantified and normalized to control animals. The error bars represent the standard deviation of a minimum of 4 animals. </w:t>
      </w:r>
      <w:r w:rsidRPr="00CC09E3">
        <w:t xml:space="preserve">Scale bar: 200 </w:t>
      </w:r>
      <w:proofErr w:type="spellStart"/>
      <w:r w:rsidRPr="00CC09E3">
        <w:t>μm</w:t>
      </w:r>
      <w:proofErr w:type="spellEnd"/>
      <w:r w:rsidRPr="00CC09E3">
        <w:t>.</w:t>
      </w:r>
      <w:r w:rsidRPr="00CC09E3">
        <w:rPr>
          <w:bCs/>
        </w:rPr>
        <w:t xml:space="preserve"> C-D) Day 4 RAB-</w:t>
      </w:r>
      <w:proofErr w:type="gramStart"/>
      <w:r w:rsidRPr="00CC09E3">
        <w:rPr>
          <w:bCs/>
        </w:rPr>
        <w:t>7::</w:t>
      </w:r>
      <w:proofErr w:type="gramEnd"/>
      <w:r w:rsidRPr="00CC09E3">
        <w:rPr>
          <w:bCs/>
        </w:rPr>
        <w:t xml:space="preserve">GFP expressing nematodes were imaged after 20 hours of 200 </w:t>
      </w:r>
      <w:proofErr w:type="spellStart"/>
      <w:r w:rsidRPr="00CC09E3">
        <w:t>μ</w:t>
      </w:r>
      <w:r w:rsidRPr="00CC09E3">
        <w:rPr>
          <w:bCs/>
        </w:rPr>
        <w:t>M</w:t>
      </w:r>
      <w:proofErr w:type="spellEnd"/>
      <w:r w:rsidRPr="00CC09E3">
        <w:rPr>
          <w:bCs/>
        </w:rPr>
        <w:t xml:space="preserve"> Rapamycin or 10 mM chloroquine treatment. The upper panel shows the intestinal cells of the nematodes and the lower panel depicts a magnified region of the upper panel (C). GFP fluorescence was quantified and normalized to control animals (D). The error bars represent the standard deviation of a minimum of 5 animals. </w:t>
      </w:r>
      <w:r w:rsidRPr="00CC09E3">
        <w:t xml:space="preserve">Scale bars: 10 </w:t>
      </w:r>
      <w:proofErr w:type="spellStart"/>
      <w:r w:rsidRPr="00CC09E3">
        <w:t>μm</w:t>
      </w:r>
      <w:proofErr w:type="spellEnd"/>
      <w:r w:rsidRPr="00CC09E3">
        <w:t>.</w:t>
      </w:r>
      <w:r w:rsidRPr="00CC09E3">
        <w:rPr>
          <w:bCs/>
        </w:rPr>
        <w:t xml:space="preserve"> E) Day 4 animals expressing HLH-</w:t>
      </w:r>
      <w:proofErr w:type="gramStart"/>
      <w:r w:rsidRPr="00CC09E3">
        <w:rPr>
          <w:bCs/>
        </w:rPr>
        <w:t>30::</w:t>
      </w:r>
      <w:proofErr w:type="gramEnd"/>
      <w:r w:rsidRPr="00CC09E3">
        <w:rPr>
          <w:bCs/>
        </w:rPr>
        <w:t xml:space="preserve">GFP were treated with 200 </w:t>
      </w:r>
      <w:proofErr w:type="spellStart"/>
      <w:r w:rsidRPr="00CC09E3">
        <w:t>μ</w:t>
      </w:r>
      <w:r w:rsidRPr="00CC09E3">
        <w:rPr>
          <w:bCs/>
        </w:rPr>
        <w:t>M</w:t>
      </w:r>
      <w:proofErr w:type="spellEnd"/>
      <w:r w:rsidRPr="00CC09E3">
        <w:rPr>
          <w:bCs/>
        </w:rPr>
        <w:t xml:space="preserve"> Rapamycin for 20 hours or left untreated. The HLH-</w:t>
      </w:r>
      <w:proofErr w:type="gramStart"/>
      <w:r w:rsidRPr="00CC09E3">
        <w:rPr>
          <w:bCs/>
        </w:rPr>
        <w:t>30::</w:t>
      </w:r>
      <w:proofErr w:type="gramEnd"/>
      <w:r w:rsidRPr="00CC09E3">
        <w:rPr>
          <w:bCs/>
        </w:rPr>
        <w:t xml:space="preserve">GFP nuclear translocation was subsequently analyzed in 10 animals. </w:t>
      </w:r>
      <w:r w:rsidRPr="00CC09E3">
        <w:t xml:space="preserve">Scale bars: 200 </w:t>
      </w:r>
      <w:proofErr w:type="spellStart"/>
      <w:r w:rsidRPr="00CC09E3">
        <w:t>μm</w:t>
      </w:r>
      <w:proofErr w:type="spellEnd"/>
      <w:r w:rsidRPr="00CC09E3">
        <w:t xml:space="preserve"> (left panel) and 50 </w:t>
      </w:r>
      <w:proofErr w:type="spellStart"/>
      <w:r w:rsidRPr="00CC09E3">
        <w:t>μm</w:t>
      </w:r>
      <w:proofErr w:type="spellEnd"/>
      <w:r w:rsidRPr="00CC09E3">
        <w:t xml:space="preserve"> (right panel, magnification).</w:t>
      </w:r>
    </w:p>
    <w:p w14:paraId="15D0F21F" w14:textId="77777777" w:rsidR="00E6587D" w:rsidRPr="00CC09E3" w:rsidRDefault="00E6587D" w:rsidP="00DF1654">
      <w:pPr>
        <w:jc w:val="both"/>
        <w:rPr>
          <w:bCs/>
        </w:rPr>
      </w:pPr>
    </w:p>
    <w:p w14:paraId="1A5E10B8" w14:textId="7BE054CF" w:rsidR="00DF1654" w:rsidRDefault="00DF1654" w:rsidP="00DF1654">
      <w:pPr>
        <w:jc w:val="both"/>
        <w:rPr>
          <w:bCs/>
        </w:rPr>
      </w:pPr>
    </w:p>
    <w:p w14:paraId="68229085" w14:textId="77777777" w:rsidR="0060176E" w:rsidRPr="00CC09E3" w:rsidRDefault="0060176E" w:rsidP="00DF1654">
      <w:pPr>
        <w:jc w:val="both"/>
        <w:rPr>
          <w:bCs/>
        </w:rPr>
      </w:pPr>
    </w:p>
    <w:p w14:paraId="2B74E6B3" w14:textId="6CE15458" w:rsidR="00E6587D" w:rsidRDefault="00E6587D" w:rsidP="00DF1654">
      <w:pPr>
        <w:jc w:val="both"/>
        <w:rPr>
          <w:b/>
          <w:bCs/>
        </w:rPr>
      </w:pPr>
      <w:r>
        <w:rPr>
          <w:b/>
          <w:bCs/>
          <w:noProof/>
        </w:rPr>
        <w:drawing>
          <wp:inline distT="0" distB="0" distL="0" distR="0" wp14:anchorId="1B6D9A06" wp14:editId="61351F3E">
            <wp:extent cx="5486400" cy="2368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tif"/>
                    <pic:cNvPicPr/>
                  </pic:nvPicPr>
                  <pic:blipFill>
                    <a:blip r:embed="rId8">
                      <a:extLst>
                        <a:ext uri="{28A0092B-C50C-407E-A947-70E740481C1C}">
                          <a14:useLocalDpi xmlns:a14="http://schemas.microsoft.com/office/drawing/2010/main" val="0"/>
                        </a:ext>
                      </a:extLst>
                    </a:blip>
                    <a:stretch>
                      <a:fillRect/>
                    </a:stretch>
                  </pic:blipFill>
                  <pic:spPr>
                    <a:xfrm>
                      <a:off x="0" y="0"/>
                      <a:ext cx="5486400" cy="2368550"/>
                    </a:xfrm>
                    <a:prstGeom prst="rect">
                      <a:avLst/>
                    </a:prstGeom>
                  </pic:spPr>
                </pic:pic>
              </a:graphicData>
            </a:graphic>
          </wp:inline>
        </w:drawing>
      </w:r>
    </w:p>
    <w:p w14:paraId="4B1B03AC" w14:textId="77777777" w:rsidR="00E6587D" w:rsidRDefault="00E6587D" w:rsidP="00DF1654">
      <w:pPr>
        <w:jc w:val="both"/>
        <w:rPr>
          <w:b/>
          <w:bCs/>
        </w:rPr>
      </w:pPr>
    </w:p>
    <w:p w14:paraId="43F2EAD9" w14:textId="77777777" w:rsidR="0060176E" w:rsidRDefault="0060176E" w:rsidP="00DF1654">
      <w:pPr>
        <w:jc w:val="both"/>
        <w:rPr>
          <w:b/>
          <w:bCs/>
        </w:rPr>
      </w:pPr>
    </w:p>
    <w:p w14:paraId="25B4277B" w14:textId="3ACC1FF6" w:rsidR="00DF1654" w:rsidRPr="00CC09E3" w:rsidRDefault="00DF1654" w:rsidP="00DF1654">
      <w:pPr>
        <w:jc w:val="both"/>
        <w:rPr>
          <w:b/>
          <w:bCs/>
        </w:rPr>
      </w:pPr>
      <w:r w:rsidRPr="00CC09E3">
        <w:rPr>
          <w:b/>
          <w:bCs/>
        </w:rPr>
        <w:t>Figure S3. PAS-5 knockdown reduces the degradation rates of UbG76</w:t>
      </w:r>
      <w:proofErr w:type="gramStart"/>
      <w:r w:rsidRPr="00CC09E3">
        <w:rPr>
          <w:b/>
          <w:bCs/>
        </w:rPr>
        <w:t>V::</w:t>
      </w:r>
      <w:proofErr w:type="gramEnd"/>
      <w:r w:rsidRPr="00CC09E3">
        <w:rPr>
          <w:b/>
          <w:bCs/>
        </w:rPr>
        <w:t>Dendra2</w:t>
      </w:r>
    </w:p>
    <w:p w14:paraId="0B5B5BD9" w14:textId="77777777" w:rsidR="00DF1654" w:rsidRPr="00CC09E3" w:rsidRDefault="00DF1654" w:rsidP="00DF1654">
      <w:pPr>
        <w:jc w:val="both"/>
      </w:pPr>
      <w:r w:rsidRPr="00CC09E3">
        <w:t>A) Photo-conversion of UbG76</w:t>
      </w:r>
      <w:proofErr w:type="gramStart"/>
      <w:r w:rsidRPr="00CC09E3">
        <w:t>V::</w:t>
      </w:r>
      <w:proofErr w:type="gramEnd"/>
      <w:r w:rsidRPr="00CC09E3">
        <w:t xml:space="preserve">Dendra2 in muscle (left side) and neuronal (right side) cells of </w:t>
      </w:r>
      <w:r w:rsidRPr="00CC09E3">
        <w:rPr>
          <w:i/>
          <w:iCs/>
        </w:rPr>
        <w:t>C. elegans</w:t>
      </w:r>
      <w:r w:rsidRPr="00CC09E3">
        <w:t>. The dashed line encircles the photo-converted region upon exposure to 405 nm. The photo-converted UbG76</w:t>
      </w:r>
      <w:proofErr w:type="gramStart"/>
      <w:r w:rsidRPr="00CC09E3">
        <w:t>V::</w:t>
      </w:r>
      <w:proofErr w:type="gramEnd"/>
      <w:r w:rsidRPr="00CC09E3">
        <w:t xml:space="preserve">Dendra2 protein was analyzed 3 (neurons) or 24 (muscle) hours post conversion at 561 nm. </w:t>
      </w:r>
    </w:p>
    <w:p w14:paraId="4ADF5638" w14:textId="77777777" w:rsidR="00DF1654" w:rsidRPr="00CC09E3" w:rsidRDefault="00DF1654" w:rsidP="00DF1654">
      <w:pPr>
        <w:jc w:val="both"/>
      </w:pPr>
      <w:r w:rsidRPr="00CC09E3">
        <w:t>B) Animals expressing mUbG76</w:t>
      </w:r>
      <w:proofErr w:type="gramStart"/>
      <w:r w:rsidRPr="00CC09E3">
        <w:t>V::</w:t>
      </w:r>
      <w:proofErr w:type="gramEnd"/>
      <w:r w:rsidRPr="00CC09E3">
        <w:t xml:space="preserve">Dendra2 were treated with </w:t>
      </w:r>
      <w:r w:rsidRPr="00CC09E3">
        <w:rPr>
          <w:i/>
        </w:rPr>
        <w:t>pas-5</w:t>
      </w:r>
      <w:r w:rsidRPr="00CC09E3">
        <w:t xml:space="preserve"> RNAi for 72 hours. UbG76</w:t>
      </w:r>
      <w:proofErr w:type="gramStart"/>
      <w:r w:rsidRPr="00CC09E3">
        <w:t>V::</w:t>
      </w:r>
      <w:proofErr w:type="gramEnd"/>
      <w:r w:rsidRPr="00CC09E3">
        <w:t>Dendra2 protein was converted and the animals were imaged 24 hours post conversion as in figure 3B. The error bars represent the standard deviation of a minimum of 5 animals.</w:t>
      </w:r>
    </w:p>
    <w:p w14:paraId="74FB79A2" w14:textId="77777777" w:rsidR="00DF1654" w:rsidRPr="00CC09E3" w:rsidRDefault="00DF1654" w:rsidP="00DF1654">
      <w:pPr>
        <w:jc w:val="both"/>
        <w:outlineLvl w:val="0"/>
        <w:rPr>
          <w:b/>
          <w:bCs/>
        </w:rPr>
      </w:pPr>
    </w:p>
    <w:p w14:paraId="4D4B89BB" w14:textId="77777777" w:rsidR="00E6587D" w:rsidRDefault="00E6587D" w:rsidP="00DF1654">
      <w:pPr>
        <w:jc w:val="both"/>
        <w:outlineLvl w:val="0"/>
        <w:rPr>
          <w:b/>
          <w:bCs/>
        </w:rPr>
      </w:pPr>
    </w:p>
    <w:p w14:paraId="1EEC0B73" w14:textId="14BA237F" w:rsidR="00E6587D" w:rsidRDefault="00FB42E5" w:rsidP="00DF1654">
      <w:pPr>
        <w:jc w:val="both"/>
        <w:outlineLvl w:val="0"/>
        <w:rPr>
          <w:b/>
          <w:bCs/>
        </w:rPr>
      </w:pPr>
      <w:r>
        <w:rPr>
          <w:b/>
          <w:bCs/>
          <w:noProof/>
        </w:rPr>
        <w:lastRenderedPageBreak/>
        <w:drawing>
          <wp:inline distT="0" distB="0" distL="0" distR="0" wp14:anchorId="43F07D41" wp14:editId="2B259D89">
            <wp:extent cx="5486400" cy="3891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4.tif"/>
                    <pic:cNvPicPr/>
                  </pic:nvPicPr>
                  <pic:blipFill>
                    <a:blip r:embed="rId9">
                      <a:extLst>
                        <a:ext uri="{28A0092B-C50C-407E-A947-70E740481C1C}">
                          <a14:useLocalDpi xmlns:a14="http://schemas.microsoft.com/office/drawing/2010/main" val="0"/>
                        </a:ext>
                      </a:extLst>
                    </a:blip>
                    <a:stretch>
                      <a:fillRect/>
                    </a:stretch>
                  </pic:blipFill>
                  <pic:spPr>
                    <a:xfrm>
                      <a:off x="0" y="0"/>
                      <a:ext cx="5486400" cy="3891915"/>
                    </a:xfrm>
                    <a:prstGeom prst="rect">
                      <a:avLst/>
                    </a:prstGeom>
                  </pic:spPr>
                </pic:pic>
              </a:graphicData>
            </a:graphic>
          </wp:inline>
        </w:drawing>
      </w:r>
    </w:p>
    <w:p w14:paraId="26C17E5B" w14:textId="77777777" w:rsidR="00E6587D" w:rsidRDefault="00E6587D" w:rsidP="00DF1654">
      <w:pPr>
        <w:jc w:val="both"/>
        <w:outlineLvl w:val="0"/>
        <w:rPr>
          <w:b/>
          <w:bCs/>
        </w:rPr>
      </w:pPr>
    </w:p>
    <w:p w14:paraId="6E762D24" w14:textId="5FE93010" w:rsidR="00DF1654" w:rsidRPr="00CC09E3" w:rsidRDefault="00DF1654" w:rsidP="00DF1654">
      <w:pPr>
        <w:jc w:val="both"/>
        <w:outlineLvl w:val="0"/>
        <w:rPr>
          <w:b/>
          <w:bCs/>
        </w:rPr>
      </w:pPr>
      <w:r w:rsidRPr="00CC09E3">
        <w:rPr>
          <w:b/>
          <w:bCs/>
        </w:rPr>
        <w:t>Figure S4. Proteasome activity is altered with the progression of aging</w:t>
      </w:r>
      <w:r w:rsidR="0060176E">
        <w:rPr>
          <w:b/>
          <w:bCs/>
        </w:rPr>
        <w:t>, and the mRNA of proteasomal genes is affected by chaperone depletion</w:t>
      </w:r>
    </w:p>
    <w:p w14:paraId="36B5B9B3" w14:textId="0E47F3A7" w:rsidR="00DF1654" w:rsidRDefault="00DF1654" w:rsidP="003A57DE">
      <w:pPr>
        <w:jc w:val="both"/>
      </w:pPr>
      <w:r w:rsidRPr="00CC09E3">
        <w:t>A-B) The degradation rates of UbG76</w:t>
      </w:r>
      <w:proofErr w:type="gramStart"/>
      <w:r w:rsidRPr="00CC09E3">
        <w:t>V::</w:t>
      </w:r>
      <w:proofErr w:type="gramEnd"/>
      <w:r w:rsidRPr="00CC09E3">
        <w:t>Dendra2 animals were measured at day 4 and day 7 of age in muscle (A) or neuronal cells (B). UbG76</w:t>
      </w:r>
      <w:proofErr w:type="gramStart"/>
      <w:r w:rsidRPr="00CC09E3">
        <w:t>V::</w:t>
      </w:r>
      <w:proofErr w:type="gramEnd"/>
      <w:r w:rsidRPr="00CC09E3">
        <w:t>Dendra2 protein was converted and the animals were imaged 3 or 24 hours after conversion (as in Figs. 3B-C). The error bars represent the standard deviation of a minimum of 6 animals. The significance between day 4 and day 7 of the control is indicated by the character # (p&lt;0,01, ##).</w:t>
      </w:r>
      <w:r w:rsidR="003A57DE">
        <w:t xml:space="preserve"> </w:t>
      </w:r>
      <w:r w:rsidRPr="00CC09E3">
        <w:t xml:space="preserve">C) Chymotrypsin-like proteasome activity of </w:t>
      </w:r>
      <w:proofErr w:type="spellStart"/>
      <w:r w:rsidRPr="00CC09E3">
        <w:t>wt</w:t>
      </w:r>
      <w:proofErr w:type="spellEnd"/>
      <w:r w:rsidRPr="00CC09E3">
        <w:t xml:space="preserve"> nematodes treated with the indicated RNAi for 4 or 8 days. The relative activities were calculated and normalized to RNAi control. Error bars represent the standard deviation of 3/1 (day 4/ day 8) experiments. </w:t>
      </w:r>
      <w:r w:rsidR="003A57DE" w:rsidRPr="00950CE5">
        <w:t xml:space="preserve">D) Relative mRNA levels of </w:t>
      </w:r>
      <w:r w:rsidR="003A57DE" w:rsidRPr="00950CE5">
        <w:rPr>
          <w:i/>
          <w:iCs/>
        </w:rPr>
        <w:t>rpn-6.1</w:t>
      </w:r>
      <w:r w:rsidR="003A57DE" w:rsidRPr="00950CE5">
        <w:t xml:space="preserve">, </w:t>
      </w:r>
      <w:r w:rsidR="003A57DE" w:rsidRPr="00950CE5">
        <w:rPr>
          <w:i/>
          <w:iCs/>
        </w:rPr>
        <w:t>pas-5</w:t>
      </w:r>
      <w:r w:rsidR="003A57DE" w:rsidRPr="00950CE5">
        <w:t xml:space="preserve"> and </w:t>
      </w:r>
      <w:r w:rsidR="003A57DE" w:rsidRPr="00950CE5">
        <w:rPr>
          <w:i/>
          <w:iCs/>
        </w:rPr>
        <w:t>pbs-5</w:t>
      </w:r>
      <w:r w:rsidR="003A57DE" w:rsidRPr="00950CE5">
        <w:t xml:space="preserve"> in animals (</w:t>
      </w:r>
      <w:r w:rsidR="0060176E" w:rsidRPr="00950CE5">
        <w:t>d</w:t>
      </w:r>
      <w:r w:rsidR="003A57DE" w:rsidRPr="00950CE5">
        <w:t xml:space="preserve">ay 4) treated with the indicated RNAi. Error bars represent the </w:t>
      </w:r>
      <w:r w:rsidR="00746E19" w:rsidRPr="00950CE5">
        <w:t xml:space="preserve">standard deviation </w:t>
      </w:r>
      <w:r w:rsidR="003A57DE" w:rsidRPr="00950CE5">
        <w:t>of three independent experiments.</w:t>
      </w:r>
    </w:p>
    <w:p w14:paraId="0439A0FC" w14:textId="77777777" w:rsidR="003A57DE" w:rsidRPr="00CC09E3" w:rsidRDefault="003A57DE" w:rsidP="00DF1654">
      <w:pPr>
        <w:jc w:val="both"/>
      </w:pPr>
    </w:p>
    <w:p w14:paraId="74A1DF64" w14:textId="77777777" w:rsidR="00DF1654" w:rsidRPr="00CC09E3" w:rsidRDefault="00DF1654" w:rsidP="00DF1654">
      <w:pPr>
        <w:jc w:val="both"/>
      </w:pPr>
    </w:p>
    <w:p w14:paraId="29DCD51D" w14:textId="77777777" w:rsidR="00E6587D" w:rsidRDefault="00E6587D" w:rsidP="00DF1654">
      <w:pPr>
        <w:jc w:val="both"/>
        <w:rPr>
          <w:b/>
          <w:bCs/>
        </w:rPr>
      </w:pPr>
    </w:p>
    <w:p w14:paraId="054C3582" w14:textId="62667B3E" w:rsidR="00E6587D" w:rsidRDefault="00E6587D" w:rsidP="00DF1654">
      <w:pPr>
        <w:jc w:val="both"/>
        <w:rPr>
          <w:b/>
          <w:bCs/>
        </w:rPr>
      </w:pPr>
      <w:r>
        <w:rPr>
          <w:b/>
          <w:bCs/>
          <w:noProof/>
        </w:rPr>
        <w:lastRenderedPageBreak/>
        <w:drawing>
          <wp:inline distT="0" distB="0" distL="0" distR="0" wp14:anchorId="1092E6B2" wp14:editId="6581E1AF">
            <wp:extent cx="3886200" cy="481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5.tif"/>
                    <pic:cNvPicPr/>
                  </pic:nvPicPr>
                  <pic:blipFill>
                    <a:blip r:embed="rId10">
                      <a:extLst>
                        <a:ext uri="{28A0092B-C50C-407E-A947-70E740481C1C}">
                          <a14:useLocalDpi xmlns:a14="http://schemas.microsoft.com/office/drawing/2010/main" val="0"/>
                        </a:ext>
                      </a:extLst>
                    </a:blip>
                    <a:stretch>
                      <a:fillRect/>
                    </a:stretch>
                  </pic:blipFill>
                  <pic:spPr>
                    <a:xfrm>
                      <a:off x="0" y="0"/>
                      <a:ext cx="3886200" cy="4813300"/>
                    </a:xfrm>
                    <a:prstGeom prst="rect">
                      <a:avLst/>
                    </a:prstGeom>
                  </pic:spPr>
                </pic:pic>
              </a:graphicData>
            </a:graphic>
          </wp:inline>
        </w:drawing>
      </w:r>
    </w:p>
    <w:p w14:paraId="32008B18" w14:textId="77777777" w:rsidR="00E6587D" w:rsidRDefault="00E6587D" w:rsidP="00DF1654">
      <w:pPr>
        <w:jc w:val="both"/>
        <w:rPr>
          <w:b/>
          <w:bCs/>
        </w:rPr>
      </w:pPr>
    </w:p>
    <w:p w14:paraId="0103F798" w14:textId="397CD6E1" w:rsidR="00DF1654" w:rsidRPr="00CC09E3" w:rsidRDefault="00DF1654" w:rsidP="00DF1654">
      <w:pPr>
        <w:jc w:val="both"/>
        <w:rPr>
          <w:b/>
          <w:bCs/>
        </w:rPr>
      </w:pPr>
      <w:r w:rsidRPr="00CC09E3">
        <w:rPr>
          <w:b/>
          <w:bCs/>
        </w:rPr>
        <w:t xml:space="preserve">Figure S5. LGG-1 and SQST-1/p62 levels upon genetic modulations  </w:t>
      </w:r>
    </w:p>
    <w:p w14:paraId="103E23DD" w14:textId="77777777" w:rsidR="00DF1654" w:rsidRPr="00CC09E3" w:rsidRDefault="00DF1654" w:rsidP="00DF1654">
      <w:pPr>
        <w:jc w:val="both"/>
      </w:pPr>
      <w:r w:rsidRPr="00CC09E3">
        <w:rPr>
          <w:bCs/>
        </w:rPr>
        <w:t xml:space="preserve">A-B) LGG-1 levels from day 4 </w:t>
      </w:r>
      <w:proofErr w:type="spellStart"/>
      <w:r w:rsidRPr="00CC09E3">
        <w:rPr>
          <w:bCs/>
        </w:rPr>
        <w:t>wt</w:t>
      </w:r>
      <w:proofErr w:type="spellEnd"/>
      <w:r w:rsidRPr="00CC09E3">
        <w:rPr>
          <w:bCs/>
        </w:rPr>
        <w:t xml:space="preserve"> animals treated the indicated RNAi. </w:t>
      </w:r>
      <w:r w:rsidRPr="00CC09E3">
        <w:t xml:space="preserve">The LGG-1 levels were normalized to α-tubulin levels and then to RNAi control (B). </w:t>
      </w:r>
      <w:r w:rsidRPr="00CC09E3">
        <w:rPr>
          <w:bCs/>
        </w:rPr>
        <w:t xml:space="preserve">C-D) SQST-1/p62 levels from day 4 </w:t>
      </w:r>
      <w:proofErr w:type="spellStart"/>
      <w:r w:rsidRPr="00CC09E3">
        <w:rPr>
          <w:bCs/>
        </w:rPr>
        <w:t>wt</w:t>
      </w:r>
      <w:proofErr w:type="spellEnd"/>
      <w:r w:rsidRPr="00CC09E3">
        <w:rPr>
          <w:bCs/>
        </w:rPr>
        <w:t xml:space="preserve"> animals treated the indicated RNAi. </w:t>
      </w:r>
      <w:r w:rsidRPr="00CC09E3">
        <w:t xml:space="preserve">SQST-1/p62 levels were normalized to α-tubulin levels and then to RNAi control (D). </w:t>
      </w:r>
    </w:p>
    <w:p w14:paraId="3AF29E1E" w14:textId="77777777" w:rsidR="00DF1654" w:rsidRPr="00CC09E3" w:rsidRDefault="00DF1654" w:rsidP="00DF1654">
      <w:pPr>
        <w:jc w:val="both"/>
      </w:pPr>
    </w:p>
    <w:p w14:paraId="42F4C939" w14:textId="77777777" w:rsidR="00E6587D" w:rsidRDefault="00E6587D" w:rsidP="00DF1654">
      <w:pPr>
        <w:jc w:val="both"/>
        <w:rPr>
          <w:b/>
          <w:bCs/>
        </w:rPr>
      </w:pPr>
    </w:p>
    <w:p w14:paraId="72305ECC" w14:textId="291D3D81" w:rsidR="00E6587D" w:rsidRDefault="00E6587D" w:rsidP="00DF1654">
      <w:pPr>
        <w:jc w:val="both"/>
        <w:rPr>
          <w:b/>
          <w:bCs/>
        </w:rPr>
      </w:pPr>
    </w:p>
    <w:p w14:paraId="4C7777B2" w14:textId="66FDBE91" w:rsidR="00E6587D" w:rsidRDefault="009731BF" w:rsidP="00DF1654">
      <w:pPr>
        <w:jc w:val="both"/>
        <w:rPr>
          <w:b/>
          <w:bCs/>
        </w:rPr>
      </w:pPr>
      <w:r>
        <w:rPr>
          <w:b/>
          <w:bCs/>
          <w:noProof/>
        </w:rPr>
        <w:softHyphen/>
      </w:r>
      <w:r>
        <w:rPr>
          <w:b/>
          <w:bCs/>
          <w:noProof/>
        </w:rPr>
        <w:softHyphen/>
      </w:r>
      <w:r>
        <w:rPr>
          <w:b/>
          <w:bCs/>
          <w:noProof/>
        </w:rPr>
        <w:softHyphen/>
      </w:r>
    </w:p>
    <w:p w14:paraId="52FD576C" w14:textId="3FB8EFC9" w:rsidR="009731BF" w:rsidRDefault="005E3B33" w:rsidP="00BE6E8B">
      <w:pPr>
        <w:jc w:val="both"/>
        <w:rPr>
          <w:b/>
          <w:bCs/>
        </w:rPr>
      </w:pPr>
      <w:r>
        <w:rPr>
          <w:b/>
          <w:bCs/>
          <w:noProof/>
        </w:rPr>
        <w:lastRenderedPageBreak/>
        <w:drawing>
          <wp:inline distT="0" distB="0" distL="0" distR="0" wp14:anchorId="34D3D527" wp14:editId="37AB9310">
            <wp:extent cx="5486400" cy="6182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6.tif"/>
                    <pic:cNvPicPr/>
                  </pic:nvPicPr>
                  <pic:blipFill>
                    <a:blip r:embed="rId11">
                      <a:extLst>
                        <a:ext uri="{28A0092B-C50C-407E-A947-70E740481C1C}">
                          <a14:useLocalDpi xmlns:a14="http://schemas.microsoft.com/office/drawing/2010/main" val="0"/>
                        </a:ext>
                      </a:extLst>
                    </a:blip>
                    <a:stretch>
                      <a:fillRect/>
                    </a:stretch>
                  </pic:blipFill>
                  <pic:spPr>
                    <a:xfrm>
                      <a:off x="0" y="0"/>
                      <a:ext cx="5486400" cy="6182995"/>
                    </a:xfrm>
                    <a:prstGeom prst="rect">
                      <a:avLst/>
                    </a:prstGeom>
                  </pic:spPr>
                </pic:pic>
              </a:graphicData>
            </a:graphic>
          </wp:inline>
        </w:drawing>
      </w:r>
    </w:p>
    <w:p w14:paraId="008FA5A5" w14:textId="77777777" w:rsidR="009731BF" w:rsidRDefault="009731BF" w:rsidP="00BE6E8B">
      <w:pPr>
        <w:jc w:val="both"/>
        <w:rPr>
          <w:b/>
          <w:bCs/>
        </w:rPr>
      </w:pPr>
    </w:p>
    <w:p w14:paraId="08A8B929" w14:textId="7297D950" w:rsidR="00DF1654" w:rsidRPr="00CC09E3" w:rsidRDefault="00DF1654" w:rsidP="009731BF">
      <w:pPr>
        <w:jc w:val="both"/>
      </w:pPr>
      <w:r w:rsidRPr="00CC09E3">
        <w:rPr>
          <w:b/>
          <w:bCs/>
        </w:rPr>
        <w:t xml:space="preserve">Figure S6. </w:t>
      </w:r>
      <w:r w:rsidR="00F614D4">
        <w:rPr>
          <w:b/>
          <w:bCs/>
        </w:rPr>
        <w:t>Analysis of proteasome and autophagy systems in disease models</w:t>
      </w:r>
      <w:r w:rsidR="00BE6E8B">
        <w:rPr>
          <w:b/>
          <w:bCs/>
        </w:rPr>
        <w:t xml:space="preserve"> </w:t>
      </w:r>
    </w:p>
    <w:p w14:paraId="72134170" w14:textId="52BFB7E6" w:rsidR="00BE6E8B" w:rsidRDefault="00DF1654" w:rsidP="00BE6E8B">
      <w:pPr>
        <w:jc w:val="both"/>
      </w:pPr>
      <w:r w:rsidRPr="00CC09E3">
        <w:t>A) Chymotrypsin-like proteasome activity of control and nQ</w:t>
      </w:r>
      <w:proofErr w:type="gramStart"/>
      <w:r w:rsidRPr="00CC09E3">
        <w:rPr>
          <w:vertAlign w:val="subscript"/>
        </w:rPr>
        <w:t>40</w:t>
      </w:r>
      <w:r w:rsidRPr="00CC09E3">
        <w:t>::</w:t>
      </w:r>
      <w:proofErr w:type="gramEnd"/>
      <w:r w:rsidRPr="00CC09E3">
        <w:t xml:space="preserve">YFP day 4 animals. The relative activities were calculated and normalized to control. </w:t>
      </w:r>
      <w:r w:rsidRPr="00CC09E3">
        <w:rPr>
          <w:bCs/>
        </w:rPr>
        <w:t>B)</w:t>
      </w:r>
      <w:r w:rsidRPr="00CC09E3">
        <w:t xml:space="preserve"> Chymotrypsin-like proteasome activity of control and nQ</w:t>
      </w:r>
      <w:proofErr w:type="gramStart"/>
      <w:r w:rsidRPr="00CC09E3">
        <w:rPr>
          <w:vertAlign w:val="subscript"/>
        </w:rPr>
        <w:t>67</w:t>
      </w:r>
      <w:r w:rsidRPr="00CC09E3">
        <w:t>::</w:t>
      </w:r>
      <w:proofErr w:type="gramEnd"/>
      <w:r w:rsidRPr="00CC09E3">
        <w:t>CFP day 4 animals. The relative activities were calculated and normalized to control. The error bars represent the standard deviation of two independent experiments.</w:t>
      </w:r>
      <w:r w:rsidR="00BE6E8B">
        <w:t xml:space="preserve"> </w:t>
      </w:r>
      <w:r w:rsidR="00F614D4" w:rsidRPr="00950CE5">
        <w:t xml:space="preserve">C) Quantification of </w:t>
      </w:r>
      <w:proofErr w:type="gramStart"/>
      <w:r w:rsidR="00F614D4" w:rsidRPr="00950CE5">
        <w:t>GFP::</w:t>
      </w:r>
      <w:proofErr w:type="gramEnd"/>
      <w:r w:rsidR="00F614D4" w:rsidRPr="00950CE5">
        <w:t>LGG-1 fluorescence of GFP::LGG-1, GFP::LGG-1; mAβ</w:t>
      </w:r>
      <w:r w:rsidR="00F614D4" w:rsidRPr="00950CE5">
        <w:rPr>
          <w:vertAlign w:val="subscript"/>
        </w:rPr>
        <w:t>3-42</w:t>
      </w:r>
      <w:r w:rsidR="00F614D4" w:rsidRPr="00950CE5">
        <w:t xml:space="preserve"> and GFP::LGG-1; mQ</w:t>
      </w:r>
      <w:r w:rsidR="00F614D4" w:rsidRPr="00950CE5">
        <w:rPr>
          <w:vertAlign w:val="subscript"/>
        </w:rPr>
        <w:t>40</w:t>
      </w:r>
      <w:r w:rsidR="00F614D4" w:rsidRPr="00950CE5">
        <w:t xml:space="preserve">::RFP animals at day 5. The error bars represent the standard deviation of </w:t>
      </w:r>
      <w:r w:rsidR="00F614D4" w:rsidRPr="00950CE5">
        <w:rPr>
          <w:bCs/>
        </w:rPr>
        <w:t>a minimum of 6 animals.</w:t>
      </w:r>
      <w:r w:rsidR="00BE6E8B" w:rsidRPr="00950CE5">
        <w:t xml:space="preserve"> </w:t>
      </w:r>
      <w:r w:rsidR="00F614D4" w:rsidRPr="00950CE5">
        <w:t>D)</w:t>
      </w:r>
      <w:r w:rsidR="00BE6E8B" w:rsidRPr="00950CE5">
        <w:t xml:space="preserve"> Fluorescent images of SQST-1/p62::GFP and SQST-1/p62::GFP; mAβ</w:t>
      </w:r>
      <w:r w:rsidR="00BE6E8B" w:rsidRPr="00950CE5">
        <w:rPr>
          <w:vertAlign w:val="subscript"/>
        </w:rPr>
        <w:t>3-42</w:t>
      </w:r>
      <w:r w:rsidR="00BE6E8B" w:rsidRPr="00950CE5">
        <w:t xml:space="preserve"> animals at day</w:t>
      </w:r>
      <w:r w:rsidR="006636E0" w:rsidRPr="00950CE5">
        <w:t xml:space="preserve"> 5</w:t>
      </w:r>
      <w:r w:rsidR="00BE6E8B" w:rsidRPr="00950CE5">
        <w:t xml:space="preserve">. </w:t>
      </w:r>
      <w:r w:rsidR="009731BF" w:rsidRPr="00950CE5">
        <w:t>In the lower panel the animal</w:t>
      </w:r>
      <w:r w:rsidR="006636E0" w:rsidRPr="00950CE5">
        <w:t>s</w:t>
      </w:r>
      <w:r w:rsidR="009731BF" w:rsidRPr="00950CE5">
        <w:t xml:space="preserve"> are </w:t>
      </w:r>
      <w:r w:rsidR="006636E0" w:rsidRPr="00950CE5">
        <w:t>lined out</w:t>
      </w:r>
      <w:r w:rsidR="009731BF" w:rsidRPr="00950CE5">
        <w:t xml:space="preserve"> by the dashed lines, and the red triangles are pointing to the muscle </w:t>
      </w:r>
      <w:r w:rsidR="009731BF" w:rsidRPr="00950CE5">
        <w:lastRenderedPageBreak/>
        <w:t xml:space="preserve">tissue. </w:t>
      </w:r>
      <w:r w:rsidR="00BE6E8B" w:rsidRPr="00950CE5">
        <w:t xml:space="preserve">Scale bars: 50 </w:t>
      </w:r>
      <w:proofErr w:type="spellStart"/>
      <w:r w:rsidR="00BE6E8B" w:rsidRPr="00950CE5">
        <w:t>μm</w:t>
      </w:r>
      <w:proofErr w:type="spellEnd"/>
      <w:r w:rsidR="00BE6E8B" w:rsidRPr="00950CE5">
        <w:t xml:space="preserve"> </w:t>
      </w:r>
      <w:r w:rsidR="005C3EB0" w:rsidRPr="00950CE5">
        <w:t>E)</w:t>
      </w:r>
      <w:r w:rsidR="00BE6E8B" w:rsidRPr="00950CE5">
        <w:t xml:space="preserve"> Quantification of SQST-1/p</w:t>
      </w:r>
      <w:proofErr w:type="gramStart"/>
      <w:r w:rsidR="00BE6E8B" w:rsidRPr="00950CE5">
        <w:t>62::</w:t>
      </w:r>
      <w:proofErr w:type="gramEnd"/>
      <w:r w:rsidR="00BE6E8B" w:rsidRPr="00950CE5">
        <w:t xml:space="preserve">GFP puncta in the head region (D). The error bars represent the standard deviation of </w:t>
      </w:r>
      <w:r w:rsidR="00BE6E8B" w:rsidRPr="00950CE5">
        <w:rPr>
          <w:bCs/>
        </w:rPr>
        <w:t>a minimum of 19 animals</w:t>
      </w:r>
      <w:r w:rsidR="00BE6E8B" w:rsidRPr="00950CE5">
        <w:t>.</w:t>
      </w:r>
    </w:p>
    <w:p w14:paraId="34A73E04" w14:textId="77777777" w:rsidR="00BE6E8B" w:rsidRDefault="00BE6E8B" w:rsidP="00BE6E8B">
      <w:pPr>
        <w:jc w:val="both"/>
        <w:rPr>
          <w:b/>
          <w:bCs/>
          <w:color w:val="FF0000"/>
          <w:highlight w:val="yellow"/>
        </w:rPr>
      </w:pPr>
    </w:p>
    <w:p w14:paraId="078C3DF3" w14:textId="5C36B97F" w:rsidR="00E6587D" w:rsidRDefault="00E6587D" w:rsidP="00DF1654">
      <w:pPr>
        <w:jc w:val="both"/>
        <w:rPr>
          <w:b/>
          <w:bCs/>
        </w:rPr>
      </w:pPr>
      <w:r>
        <w:rPr>
          <w:b/>
          <w:bCs/>
          <w:noProof/>
        </w:rPr>
        <w:drawing>
          <wp:inline distT="0" distB="0" distL="0" distR="0" wp14:anchorId="3A7717A7" wp14:editId="4A30D04F">
            <wp:extent cx="5486400" cy="5820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7.tif"/>
                    <pic:cNvPicPr/>
                  </pic:nvPicPr>
                  <pic:blipFill>
                    <a:blip r:embed="rId12">
                      <a:extLst>
                        <a:ext uri="{28A0092B-C50C-407E-A947-70E740481C1C}">
                          <a14:useLocalDpi xmlns:a14="http://schemas.microsoft.com/office/drawing/2010/main" val="0"/>
                        </a:ext>
                      </a:extLst>
                    </a:blip>
                    <a:stretch>
                      <a:fillRect/>
                    </a:stretch>
                  </pic:blipFill>
                  <pic:spPr>
                    <a:xfrm>
                      <a:off x="0" y="0"/>
                      <a:ext cx="5486400" cy="5820410"/>
                    </a:xfrm>
                    <a:prstGeom prst="rect">
                      <a:avLst/>
                    </a:prstGeom>
                  </pic:spPr>
                </pic:pic>
              </a:graphicData>
            </a:graphic>
          </wp:inline>
        </w:drawing>
      </w:r>
    </w:p>
    <w:p w14:paraId="45055649" w14:textId="77777777" w:rsidR="00E6587D" w:rsidRDefault="00E6587D" w:rsidP="00DF1654">
      <w:pPr>
        <w:jc w:val="both"/>
        <w:rPr>
          <w:b/>
          <w:bCs/>
        </w:rPr>
      </w:pPr>
    </w:p>
    <w:p w14:paraId="69B17B21" w14:textId="781055A2" w:rsidR="00DF1654" w:rsidRPr="00CC09E3" w:rsidRDefault="00DF1654" w:rsidP="00DF1654">
      <w:pPr>
        <w:jc w:val="both"/>
        <w:rPr>
          <w:b/>
          <w:bCs/>
        </w:rPr>
      </w:pPr>
      <w:r w:rsidRPr="00CC09E3">
        <w:rPr>
          <w:b/>
          <w:bCs/>
        </w:rPr>
        <w:t>Figure S7. Expression of HttExon1Q</w:t>
      </w:r>
      <w:r w:rsidRPr="00CC09E3">
        <w:rPr>
          <w:b/>
          <w:bCs/>
          <w:vertAlign w:val="subscript"/>
        </w:rPr>
        <w:t>97</w:t>
      </w:r>
      <w:r w:rsidRPr="00CC09E3">
        <w:rPr>
          <w:b/>
          <w:bCs/>
        </w:rPr>
        <w:t xml:space="preserve"> aggregates are associated with reduced proteasome activity in HEK293 cells</w:t>
      </w:r>
    </w:p>
    <w:p w14:paraId="58CD8D1C" w14:textId="77777777" w:rsidR="00DF1654" w:rsidRPr="00CC09E3" w:rsidRDefault="00DF1654" w:rsidP="00DF1654">
      <w:pPr>
        <w:jc w:val="both"/>
      </w:pPr>
      <w:r w:rsidRPr="00CC09E3">
        <w:t>A-B)</w:t>
      </w:r>
      <w:r w:rsidRPr="00CC09E3">
        <w:rPr>
          <w:bCs/>
        </w:rPr>
        <w:t xml:space="preserve"> HEK293 cells were transfected with GFP, HttExon1Q</w:t>
      </w:r>
      <w:r w:rsidRPr="00CC09E3">
        <w:rPr>
          <w:bCs/>
          <w:vertAlign w:val="subscript"/>
        </w:rPr>
        <w:t>25</w:t>
      </w:r>
      <w:r w:rsidRPr="00CC09E3">
        <w:rPr>
          <w:bCs/>
        </w:rPr>
        <w:t>-GFP and HttExon1Q</w:t>
      </w:r>
      <w:r w:rsidRPr="00CC09E3">
        <w:rPr>
          <w:bCs/>
          <w:vertAlign w:val="subscript"/>
        </w:rPr>
        <w:t>97</w:t>
      </w:r>
      <w:r w:rsidRPr="00CC09E3">
        <w:rPr>
          <w:bCs/>
        </w:rPr>
        <w:t>-GFP and imaged 24 hours post transfection (A). The expression of GFP, HttExon1Q</w:t>
      </w:r>
      <w:r w:rsidRPr="00CC09E3">
        <w:rPr>
          <w:bCs/>
          <w:vertAlign w:val="subscript"/>
        </w:rPr>
        <w:t>25</w:t>
      </w:r>
      <w:r w:rsidRPr="00CC09E3">
        <w:rPr>
          <w:bCs/>
        </w:rPr>
        <w:t>-GFP and HttExon1Q</w:t>
      </w:r>
      <w:r w:rsidRPr="00CC09E3">
        <w:rPr>
          <w:bCs/>
          <w:vertAlign w:val="subscript"/>
        </w:rPr>
        <w:t>97</w:t>
      </w:r>
      <w:r w:rsidRPr="00CC09E3">
        <w:rPr>
          <w:bCs/>
        </w:rPr>
        <w:t>-GFP</w:t>
      </w:r>
      <w:r w:rsidRPr="00CC09E3" w:rsidDel="00954044">
        <w:rPr>
          <w:bCs/>
        </w:rPr>
        <w:t xml:space="preserve"> </w:t>
      </w:r>
      <w:r w:rsidRPr="00CC09E3">
        <w:rPr>
          <w:bCs/>
        </w:rPr>
        <w:t>was also confirmed by western blot (B). Scale bar:</w:t>
      </w:r>
      <w:r w:rsidRPr="00CC09E3">
        <w:t xml:space="preserve"> 5 </w:t>
      </w:r>
      <w:proofErr w:type="spellStart"/>
      <w:r w:rsidRPr="00CC09E3">
        <w:t>μM</w:t>
      </w:r>
      <w:proofErr w:type="spellEnd"/>
      <w:r w:rsidRPr="00CC09E3">
        <w:t>.</w:t>
      </w:r>
      <w:r w:rsidRPr="00CC09E3">
        <w:rPr>
          <w:bCs/>
        </w:rPr>
        <w:t xml:space="preserve"> C-D) </w:t>
      </w:r>
      <w:r w:rsidRPr="00CC09E3">
        <w:t xml:space="preserve">Chymotrypsin-like proteasome activity of HEK293 cells transfected with </w:t>
      </w:r>
      <w:r w:rsidRPr="00CC09E3">
        <w:rPr>
          <w:bCs/>
        </w:rPr>
        <w:t>GFP, HttExon1Q</w:t>
      </w:r>
      <w:r w:rsidRPr="00CC09E3">
        <w:rPr>
          <w:bCs/>
          <w:vertAlign w:val="subscript"/>
        </w:rPr>
        <w:t>25</w:t>
      </w:r>
      <w:r w:rsidRPr="00CC09E3">
        <w:rPr>
          <w:bCs/>
        </w:rPr>
        <w:t>-GFP or HttExon1Q</w:t>
      </w:r>
      <w:r w:rsidRPr="00CC09E3">
        <w:rPr>
          <w:bCs/>
          <w:vertAlign w:val="subscript"/>
        </w:rPr>
        <w:t>97</w:t>
      </w:r>
      <w:r w:rsidRPr="00CC09E3">
        <w:rPr>
          <w:bCs/>
        </w:rPr>
        <w:t>-GFP</w:t>
      </w:r>
      <w:r w:rsidRPr="00CC09E3">
        <w:t xml:space="preserve">. The relative activities were calculated and normalized to GFP. Treatment with MG-132 served as control (D). The error bars represent the standard deviation of three independent experiments. E-F) 20S α-subunit levels were </w:t>
      </w:r>
      <w:r w:rsidRPr="00CC09E3">
        <w:lastRenderedPageBreak/>
        <w:t xml:space="preserve">determined in HEK293 cells transfected with </w:t>
      </w:r>
      <w:r w:rsidRPr="00CC09E3">
        <w:rPr>
          <w:bCs/>
        </w:rPr>
        <w:t>GFP, HttExon1Q</w:t>
      </w:r>
      <w:r w:rsidRPr="00CC09E3">
        <w:rPr>
          <w:bCs/>
          <w:vertAlign w:val="subscript"/>
        </w:rPr>
        <w:t>25</w:t>
      </w:r>
      <w:r w:rsidRPr="00CC09E3">
        <w:rPr>
          <w:bCs/>
        </w:rPr>
        <w:t>-GFP or HttExon1Q</w:t>
      </w:r>
      <w:r w:rsidRPr="00CC09E3">
        <w:rPr>
          <w:bCs/>
          <w:vertAlign w:val="subscript"/>
        </w:rPr>
        <w:t>97</w:t>
      </w:r>
      <w:r w:rsidRPr="00CC09E3">
        <w:rPr>
          <w:bCs/>
        </w:rPr>
        <w:t>-GFP</w:t>
      </w:r>
      <w:r w:rsidRPr="00CC09E3">
        <w:t>. The 20S levels were normalized to α-tubulin levels and then to GFP (F). The error bars represent the standard deviation of four independent experiments.</w:t>
      </w:r>
    </w:p>
    <w:p w14:paraId="60AB4921" w14:textId="77777777" w:rsidR="00DF1654" w:rsidRPr="00CC09E3" w:rsidRDefault="00DF1654" w:rsidP="00DF1654">
      <w:pPr>
        <w:jc w:val="both"/>
        <w:rPr>
          <w:color w:val="000000" w:themeColor="text1"/>
        </w:rPr>
      </w:pPr>
    </w:p>
    <w:p w14:paraId="690108D7" w14:textId="558023E2" w:rsidR="00E6587D" w:rsidRDefault="00E6587D" w:rsidP="00DF1654">
      <w:pPr>
        <w:jc w:val="both"/>
        <w:rPr>
          <w:b/>
          <w:bCs/>
        </w:rPr>
      </w:pPr>
      <w:r>
        <w:rPr>
          <w:b/>
          <w:bCs/>
          <w:noProof/>
        </w:rPr>
        <w:drawing>
          <wp:inline distT="0" distB="0" distL="0" distR="0" wp14:anchorId="2FED8A84" wp14:editId="3EA4703E">
            <wp:extent cx="5486400" cy="4188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8.tif"/>
                    <pic:cNvPicPr/>
                  </pic:nvPicPr>
                  <pic:blipFill>
                    <a:blip r:embed="rId13">
                      <a:extLst>
                        <a:ext uri="{28A0092B-C50C-407E-A947-70E740481C1C}">
                          <a14:useLocalDpi xmlns:a14="http://schemas.microsoft.com/office/drawing/2010/main" val="0"/>
                        </a:ext>
                      </a:extLst>
                    </a:blip>
                    <a:stretch>
                      <a:fillRect/>
                    </a:stretch>
                  </pic:blipFill>
                  <pic:spPr>
                    <a:xfrm>
                      <a:off x="0" y="0"/>
                      <a:ext cx="5486400" cy="4188460"/>
                    </a:xfrm>
                    <a:prstGeom prst="rect">
                      <a:avLst/>
                    </a:prstGeom>
                  </pic:spPr>
                </pic:pic>
              </a:graphicData>
            </a:graphic>
          </wp:inline>
        </w:drawing>
      </w:r>
    </w:p>
    <w:p w14:paraId="7F8C6EBE" w14:textId="77777777" w:rsidR="00E6587D" w:rsidRDefault="00E6587D" w:rsidP="00DF1654">
      <w:pPr>
        <w:jc w:val="both"/>
        <w:rPr>
          <w:b/>
          <w:bCs/>
        </w:rPr>
      </w:pPr>
    </w:p>
    <w:p w14:paraId="26216EA7" w14:textId="39A4BA50" w:rsidR="00DF1654" w:rsidRPr="00CC09E3" w:rsidRDefault="00DF1654" w:rsidP="00DF1654">
      <w:pPr>
        <w:jc w:val="both"/>
        <w:rPr>
          <w:b/>
          <w:bCs/>
        </w:rPr>
      </w:pPr>
      <w:r w:rsidRPr="00CC09E3">
        <w:rPr>
          <w:b/>
          <w:bCs/>
        </w:rPr>
        <w:t xml:space="preserve">Figure S8. </w:t>
      </w:r>
      <w:r w:rsidRPr="00CC09E3">
        <w:rPr>
          <w:b/>
          <w:bCs/>
          <w:i/>
          <w:iCs/>
        </w:rPr>
        <w:t>hsp-16.41</w:t>
      </w:r>
      <w:r w:rsidRPr="00CC09E3">
        <w:rPr>
          <w:b/>
          <w:bCs/>
        </w:rPr>
        <w:t xml:space="preserve"> and </w:t>
      </w:r>
      <w:r w:rsidRPr="00CC09E3">
        <w:rPr>
          <w:b/>
          <w:bCs/>
          <w:i/>
          <w:iCs/>
        </w:rPr>
        <w:t>hsp-17</w:t>
      </w:r>
      <w:r w:rsidRPr="00CC09E3">
        <w:rPr>
          <w:b/>
          <w:bCs/>
        </w:rPr>
        <w:t xml:space="preserve"> depletion does not affect autophagy and proteasome pathways</w:t>
      </w:r>
    </w:p>
    <w:p w14:paraId="6B9EB337" w14:textId="77777777" w:rsidR="00DF1654" w:rsidRPr="00CC09E3" w:rsidRDefault="00DF1654" w:rsidP="00DF1654">
      <w:pPr>
        <w:jc w:val="both"/>
      </w:pPr>
      <w:r w:rsidRPr="00CC09E3">
        <w:t>A-B) LGG-1, SQST-1/p62 and 20S levels of nematodes treated with the indicated RNAi for 4 days. LGG-1, SQST-1/p62 and 20S levels were normalized to RNAi control (B). The error bars represent the standard deviation from five independent experiments.</w:t>
      </w:r>
    </w:p>
    <w:p w14:paraId="424E27D0" w14:textId="77777777" w:rsidR="00DF1654" w:rsidRPr="00CC09E3" w:rsidRDefault="00DF1654" w:rsidP="00DF1654">
      <w:pPr>
        <w:jc w:val="both"/>
        <w:rPr>
          <w:color w:val="000000" w:themeColor="text1"/>
        </w:rPr>
      </w:pPr>
      <w:r w:rsidRPr="00CC09E3">
        <w:t>C-D) Chymotrypsin-like proteasome activity of nematodes treated with the indicated RNAi for 4 days. The relative activities were calculated and normalized to RNAi control (D). The error bars represent the standard deviation of two independent experiments.</w:t>
      </w:r>
    </w:p>
    <w:p w14:paraId="4B5A2084" w14:textId="77777777" w:rsidR="00A33210" w:rsidRDefault="005B09D2"/>
    <w:sectPr w:rsidR="00A33210" w:rsidSect="00950CE5">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FE88C" w14:textId="77777777" w:rsidR="005B09D2" w:rsidRDefault="005B09D2">
      <w:r>
        <w:separator/>
      </w:r>
    </w:p>
  </w:endnote>
  <w:endnote w:type="continuationSeparator" w:id="0">
    <w:p w14:paraId="50B95BC0" w14:textId="77777777" w:rsidR="005B09D2" w:rsidRDefault="005B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9443695"/>
      <w:docPartObj>
        <w:docPartGallery w:val="Page Numbers (Bottom of Page)"/>
        <w:docPartUnique/>
      </w:docPartObj>
    </w:sdtPr>
    <w:sdtEndPr>
      <w:rPr>
        <w:rStyle w:val="PageNumber"/>
      </w:rPr>
    </w:sdtEndPr>
    <w:sdtContent>
      <w:p w14:paraId="12D33413" w14:textId="77777777" w:rsidR="00CC09E3" w:rsidRDefault="00DF1654" w:rsidP="00CC09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8184FC" w14:textId="77777777" w:rsidR="00CC09E3" w:rsidRDefault="005B09D2" w:rsidP="006B62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5667574"/>
      <w:docPartObj>
        <w:docPartGallery w:val="Page Numbers (Bottom of Page)"/>
        <w:docPartUnique/>
      </w:docPartObj>
    </w:sdtPr>
    <w:sdtEndPr>
      <w:rPr>
        <w:rStyle w:val="PageNumber"/>
      </w:rPr>
    </w:sdtEndPr>
    <w:sdtContent>
      <w:p w14:paraId="617025F7" w14:textId="77777777" w:rsidR="00CC09E3" w:rsidRDefault="00DF1654" w:rsidP="00CC09E3">
        <w:pPr>
          <w:pStyle w:val="Footer"/>
          <w:framePr w:wrap="none" w:vAnchor="text" w:hAnchor="margin" w:xAlign="right" w:y="1"/>
          <w:rPr>
            <w:rStyle w:val="PageNumber"/>
          </w:rPr>
        </w:pPr>
        <w:r w:rsidRPr="006B6298">
          <w:rPr>
            <w:rStyle w:val="PageNumber"/>
            <w:rFonts w:ascii="Times New Roman" w:hAnsi="Times New Roman" w:cs="Times New Roman"/>
          </w:rPr>
          <w:fldChar w:fldCharType="begin"/>
        </w:r>
        <w:r w:rsidRPr="006B6298">
          <w:rPr>
            <w:rStyle w:val="PageNumber"/>
            <w:rFonts w:ascii="Times New Roman" w:hAnsi="Times New Roman" w:cs="Times New Roman"/>
          </w:rPr>
          <w:instrText xml:space="preserve"> PAGE </w:instrText>
        </w:r>
        <w:r w:rsidRPr="006B6298">
          <w:rPr>
            <w:rStyle w:val="PageNumber"/>
            <w:rFonts w:ascii="Times New Roman" w:hAnsi="Times New Roman" w:cs="Times New Roman"/>
          </w:rPr>
          <w:fldChar w:fldCharType="separate"/>
        </w:r>
        <w:r w:rsidRPr="006B6298">
          <w:rPr>
            <w:rStyle w:val="PageNumber"/>
            <w:rFonts w:ascii="Times New Roman" w:hAnsi="Times New Roman" w:cs="Times New Roman"/>
            <w:noProof/>
          </w:rPr>
          <w:t>1</w:t>
        </w:r>
        <w:r w:rsidRPr="006B6298">
          <w:rPr>
            <w:rStyle w:val="PageNumber"/>
            <w:rFonts w:ascii="Times New Roman" w:hAnsi="Times New Roman" w:cs="Times New Roman"/>
          </w:rPr>
          <w:fldChar w:fldCharType="end"/>
        </w:r>
      </w:p>
    </w:sdtContent>
  </w:sdt>
  <w:p w14:paraId="266D5D42" w14:textId="77777777" w:rsidR="00CC09E3" w:rsidRDefault="005B09D2" w:rsidP="006B62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DF4BA" w14:textId="77777777" w:rsidR="005B09D2" w:rsidRDefault="005B09D2">
      <w:r>
        <w:separator/>
      </w:r>
    </w:p>
  </w:footnote>
  <w:footnote w:type="continuationSeparator" w:id="0">
    <w:p w14:paraId="4FCC8CC9" w14:textId="77777777" w:rsidR="005B09D2" w:rsidRDefault="005B09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654"/>
    <w:rsid w:val="00006FA5"/>
    <w:rsid w:val="000350E5"/>
    <w:rsid w:val="00062CC6"/>
    <w:rsid w:val="000956D4"/>
    <w:rsid w:val="000C6E9A"/>
    <w:rsid w:val="000E15E1"/>
    <w:rsid w:val="000E48D3"/>
    <w:rsid w:val="000F4631"/>
    <w:rsid w:val="00115263"/>
    <w:rsid w:val="0016029E"/>
    <w:rsid w:val="00170DE7"/>
    <w:rsid w:val="00175C3E"/>
    <w:rsid w:val="00177BFC"/>
    <w:rsid w:val="001A295C"/>
    <w:rsid w:val="001F72E4"/>
    <w:rsid w:val="00222F43"/>
    <w:rsid w:val="00226F6B"/>
    <w:rsid w:val="00297770"/>
    <w:rsid w:val="002A7691"/>
    <w:rsid w:val="002C2346"/>
    <w:rsid w:val="003025E1"/>
    <w:rsid w:val="00307368"/>
    <w:rsid w:val="00317EF7"/>
    <w:rsid w:val="00361347"/>
    <w:rsid w:val="003900D9"/>
    <w:rsid w:val="003A4FDF"/>
    <w:rsid w:val="003A57DE"/>
    <w:rsid w:val="003B35D9"/>
    <w:rsid w:val="003F31FC"/>
    <w:rsid w:val="004529EB"/>
    <w:rsid w:val="004635D1"/>
    <w:rsid w:val="00475758"/>
    <w:rsid w:val="0048149A"/>
    <w:rsid w:val="00491B03"/>
    <w:rsid w:val="004930FF"/>
    <w:rsid w:val="004B26D1"/>
    <w:rsid w:val="004C20FE"/>
    <w:rsid w:val="004D6E3A"/>
    <w:rsid w:val="00510C76"/>
    <w:rsid w:val="00515FD4"/>
    <w:rsid w:val="0059132D"/>
    <w:rsid w:val="005967FD"/>
    <w:rsid w:val="00597D8C"/>
    <w:rsid w:val="005A5C8F"/>
    <w:rsid w:val="005B09D2"/>
    <w:rsid w:val="005B3C3A"/>
    <w:rsid w:val="005C3EB0"/>
    <w:rsid w:val="005D24ED"/>
    <w:rsid w:val="005E3B33"/>
    <w:rsid w:val="0060176E"/>
    <w:rsid w:val="00625DE2"/>
    <w:rsid w:val="00632A63"/>
    <w:rsid w:val="00634B94"/>
    <w:rsid w:val="00652617"/>
    <w:rsid w:val="006636E0"/>
    <w:rsid w:val="0066668C"/>
    <w:rsid w:val="0067262B"/>
    <w:rsid w:val="00686B91"/>
    <w:rsid w:val="006923E3"/>
    <w:rsid w:val="006B142E"/>
    <w:rsid w:val="00712B00"/>
    <w:rsid w:val="00746E19"/>
    <w:rsid w:val="00786F27"/>
    <w:rsid w:val="007A1BDA"/>
    <w:rsid w:val="007A430B"/>
    <w:rsid w:val="007B624E"/>
    <w:rsid w:val="00823134"/>
    <w:rsid w:val="00826F1C"/>
    <w:rsid w:val="0083792F"/>
    <w:rsid w:val="008408DB"/>
    <w:rsid w:val="00893E6F"/>
    <w:rsid w:val="008B2FB9"/>
    <w:rsid w:val="008E257B"/>
    <w:rsid w:val="00944907"/>
    <w:rsid w:val="00950CE5"/>
    <w:rsid w:val="009541CC"/>
    <w:rsid w:val="00970345"/>
    <w:rsid w:val="009731BF"/>
    <w:rsid w:val="00980015"/>
    <w:rsid w:val="009C3401"/>
    <w:rsid w:val="009D210C"/>
    <w:rsid w:val="009E0559"/>
    <w:rsid w:val="00A434DB"/>
    <w:rsid w:val="00A614A2"/>
    <w:rsid w:val="00A6677B"/>
    <w:rsid w:val="00A954F2"/>
    <w:rsid w:val="00AB1D91"/>
    <w:rsid w:val="00AC7232"/>
    <w:rsid w:val="00AF2F1A"/>
    <w:rsid w:val="00B37737"/>
    <w:rsid w:val="00B72183"/>
    <w:rsid w:val="00B84876"/>
    <w:rsid w:val="00BA3EC1"/>
    <w:rsid w:val="00BB533E"/>
    <w:rsid w:val="00BC51DE"/>
    <w:rsid w:val="00BE6E8B"/>
    <w:rsid w:val="00BF6CB5"/>
    <w:rsid w:val="00C02729"/>
    <w:rsid w:val="00C14A22"/>
    <w:rsid w:val="00C26376"/>
    <w:rsid w:val="00C32CF4"/>
    <w:rsid w:val="00C3320F"/>
    <w:rsid w:val="00C44AFC"/>
    <w:rsid w:val="00C573DF"/>
    <w:rsid w:val="00C70478"/>
    <w:rsid w:val="00CC2B32"/>
    <w:rsid w:val="00CC3F77"/>
    <w:rsid w:val="00CD6284"/>
    <w:rsid w:val="00D16553"/>
    <w:rsid w:val="00D203C7"/>
    <w:rsid w:val="00D279FD"/>
    <w:rsid w:val="00D650DE"/>
    <w:rsid w:val="00D7400A"/>
    <w:rsid w:val="00D96E3C"/>
    <w:rsid w:val="00DA67E9"/>
    <w:rsid w:val="00DB023E"/>
    <w:rsid w:val="00DE61B8"/>
    <w:rsid w:val="00DF1654"/>
    <w:rsid w:val="00E066F0"/>
    <w:rsid w:val="00E45F69"/>
    <w:rsid w:val="00E557E9"/>
    <w:rsid w:val="00E6587D"/>
    <w:rsid w:val="00E82621"/>
    <w:rsid w:val="00F07F2A"/>
    <w:rsid w:val="00F10242"/>
    <w:rsid w:val="00F16C3B"/>
    <w:rsid w:val="00F27034"/>
    <w:rsid w:val="00F5081A"/>
    <w:rsid w:val="00F57731"/>
    <w:rsid w:val="00F614D4"/>
    <w:rsid w:val="00FB42E5"/>
    <w:rsid w:val="00FC3CB0"/>
    <w:rsid w:val="00FD6E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1637"/>
  <w14:defaultImageDpi w14:val="32767"/>
  <w15:chartTrackingRefBased/>
  <w15:docId w15:val="{7E387EDE-1E1F-DA4A-A4AB-9E244685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165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FD6ED4"/>
    <w:pPr>
      <w:jc w:val="both"/>
    </w:pPr>
    <w:rPr>
      <w:rFonts w:ascii="Cambria" w:eastAsiaTheme="minorEastAsia" w:hAnsi="Cambria" w:cstheme="minorBidi"/>
    </w:rPr>
  </w:style>
  <w:style w:type="paragraph" w:customStyle="1" w:styleId="EndNoteBibliographyTitle">
    <w:name w:val="EndNote Bibliography Title"/>
    <w:basedOn w:val="Normal"/>
    <w:rsid w:val="00FD6ED4"/>
    <w:pPr>
      <w:jc w:val="center"/>
    </w:pPr>
    <w:rPr>
      <w:rFonts w:ascii="Cambria" w:eastAsiaTheme="minorEastAsia" w:hAnsi="Cambria" w:cstheme="minorBidi"/>
    </w:rPr>
  </w:style>
  <w:style w:type="character" w:styleId="EndnoteReference">
    <w:name w:val="endnote reference"/>
    <w:basedOn w:val="DefaultParagraphFont"/>
    <w:uiPriority w:val="99"/>
    <w:unhideWhenUsed/>
    <w:rsid w:val="00FD6ED4"/>
    <w:rPr>
      <w:vertAlign w:val="superscript"/>
    </w:rPr>
  </w:style>
  <w:style w:type="paragraph" w:styleId="EndnoteText">
    <w:name w:val="endnote text"/>
    <w:basedOn w:val="Normal"/>
    <w:link w:val="EndnoteTextChar"/>
    <w:uiPriority w:val="99"/>
    <w:unhideWhenUsed/>
    <w:rsid w:val="00FD6ED4"/>
    <w:rPr>
      <w:rFonts w:asciiTheme="minorHAnsi" w:eastAsiaTheme="minorEastAsia" w:hAnsiTheme="minorHAnsi" w:cstheme="minorBidi"/>
    </w:rPr>
  </w:style>
  <w:style w:type="character" w:customStyle="1" w:styleId="EndnoteTextChar">
    <w:name w:val="Endnote Text Char"/>
    <w:basedOn w:val="DefaultParagraphFont"/>
    <w:link w:val="EndnoteText"/>
    <w:uiPriority w:val="99"/>
    <w:rsid w:val="00FD6ED4"/>
    <w:rPr>
      <w:rFonts w:eastAsiaTheme="minorEastAsia"/>
    </w:rPr>
  </w:style>
  <w:style w:type="paragraph" w:styleId="Footer">
    <w:name w:val="footer"/>
    <w:basedOn w:val="Normal"/>
    <w:link w:val="FooterChar"/>
    <w:uiPriority w:val="99"/>
    <w:unhideWhenUsed/>
    <w:rsid w:val="00DF1654"/>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DF1654"/>
    <w:rPr>
      <w:lang w:eastAsia="en-US"/>
    </w:rPr>
  </w:style>
  <w:style w:type="character" w:styleId="PageNumber">
    <w:name w:val="page number"/>
    <w:basedOn w:val="DefaultParagraphFont"/>
    <w:uiPriority w:val="99"/>
    <w:semiHidden/>
    <w:unhideWhenUsed/>
    <w:rsid w:val="00DF1654"/>
  </w:style>
  <w:style w:type="character" w:styleId="LineNumber">
    <w:name w:val="line number"/>
    <w:basedOn w:val="DefaultParagraphFont"/>
    <w:uiPriority w:val="99"/>
    <w:semiHidden/>
    <w:unhideWhenUsed/>
    <w:rsid w:val="00DF1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1037</Words>
  <Characters>5915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Frontiers</cp:lastModifiedBy>
  <cp:revision>2</cp:revision>
  <dcterms:created xsi:type="dcterms:W3CDTF">2019-01-21T09:14:00Z</dcterms:created>
  <dcterms:modified xsi:type="dcterms:W3CDTF">2019-01-21T09:14:00Z</dcterms:modified>
</cp:coreProperties>
</file>