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D297" w14:textId="77777777" w:rsidR="00654E8F" w:rsidRPr="001549D3" w:rsidRDefault="00654E8F" w:rsidP="0001436A">
      <w:pPr>
        <w:pStyle w:val="SupplementaryMaterial"/>
        <w:rPr>
          <w:b w:val="0"/>
        </w:rPr>
      </w:pPr>
      <w:r w:rsidRPr="001549D3">
        <w:t>Supplementary Material</w:t>
      </w:r>
    </w:p>
    <w:p w14:paraId="5700D298" w14:textId="77777777" w:rsidR="00581325" w:rsidRDefault="00581325" w:rsidP="00581325">
      <w:pPr>
        <w:jc w:val="center"/>
        <w:rPr>
          <w:rFonts w:cs="Times New Roman"/>
          <w:b/>
          <w:sz w:val="32"/>
          <w:szCs w:val="32"/>
        </w:rPr>
      </w:pPr>
      <w:r w:rsidRPr="00581325">
        <w:rPr>
          <w:rFonts w:cs="Times New Roman"/>
          <w:b/>
          <w:sz w:val="32"/>
          <w:szCs w:val="32"/>
        </w:rPr>
        <w:t>Sex-specific associations of blood-based nutrient profiling with body composition in the elderly</w:t>
      </w:r>
    </w:p>
    <w:p w14:paraId="5700D299" w14:textId="63727CE4" w:rsidR="000424BD" w:rsidRPr="00C957AA" w:rsidRDefault="000424BD" w:rsidP="000424BD">
      <w:pPr>
        <w:rPr>
          <w:rFonts w:cs="Times New Roman"/>
          <w:b/>
          <w:szCs w:val="24"/>
        </w:rPr>
      </w:pPr>
      <w:r w:rsidRPr="00C957AA">
        <w:rPr>
          <w:rFonts w:cs="Times New Roman"/>
          <w:b/>
          <w:szCs w:val="24"/>
        </w:rPr>
        <w:t>Tobias Konz</w:t>
      </w:r>
      <w:r w:rsidRPr="00C957AA">
        <w:rPr>
          <w:rFonts w:cs="Times New Roman"/>
          <w:b/>
          <w:szCs w:val="24"/>
          <w:vertAlign w:val="superscript"/>
        </w:rPr>
        <w:t>1</w:t>
      </w:r>
      <w:r w:rsidRPr="00C957AA">
        <w:rPr>
          <w:rFonts w:cs="Times New Roman"/>
          <w:b/>
          <w:szCs w:val="24"/>
        </w:rPr>
        <w:t>, Aurelia Santoro</w:t>
      </w:r>
      <w:r w:rsidRPr="00C957AA">
        <w:rPr>
          <w:rFonts w:cs="Times New Roman"/>
          <w:b/>
          <w:szCs w:val="24"/>
          <w:vertAlign w:val="superscript"/>
        </w:rPr>
        <w:t>2,3</w:t>
      </w:r>
      <w:r w:rsidRPr="00C957AA">
        <w:rPr>
          <w:rFonts w:cs="Times New Roman"/>
          <w:b/>
          <w:szCs w:val="24"/>
        </w:rPr>
        <w:t>, Laurence Goulet</w:t>
      </w:r>
      <w:r w:rsidRPr="00C957AA">
        <w:rPr>
          <w:rFonts w:cs="Times New Roman"/>
          <w:b/>
          <w:szCs w:val="24"/>
          <w:vertAlign w:val="superscript"/>
        </w:rPr>
        <w:t>1</w:t>
      </w:r>
      <w:r w:rsidRPr="00C957AA">
        <w:rPr>
          <w:rFonts w:cs="Times New Roman"/>
          <w:b/>
          <w:szCs w:val="24"/>
        </w:rPr>
        <w:t>, Alberto Bazzocchi</w:t>
      </w:r>
      <w:r w:rsidRPr="00C957AA">
        <w:rPr>
          <w:rFonts w:cs="Times New Roman"/>
          <w:b/>
          <w:szCs w:val="24"/>
          <w:vertAlign w:val="superscript"/>
        </w:rPr>
        <w:t>4</w:t>
      </w:r>
      <w:r w:rsidRPr="00C957AA">
        <w:rPr>
          <w:rFonts w:cs="Times New Roman"/>
          <w:b/>
          <w:szCs w:val="24"/>
        </w:rPr>
        <w:t>, Giuseppe Battista</w:t>
      </w:r>
      <w:r w:rsidRPr="00C957AA">
        <w:rPr>
          <w:rFonts w:cs="Times New Roman"/>
          <w:b/>
          <w:szCs w:val="24"/>
          <w:vertAlign w:val="superscript"/>
        </w:rPr>
        <w:t>2</w:t>
      </w:r>
      <w:r w:rsidRPr="00C957AA">
        <w:rPr>
          <w:rFonts w:cs="Times New Roman"/>
          <w:b/>
          <w:szCs w:val="24"/>
        </w:rPr>
        <w:t>, Claudio Nicoletti</w:t>
      </w:r>
      <w:r w:rsidRPr="00C957AA">
        <w:rPr>
          <w:rFonts w:cs="Times New Roman"/>
          <w:b/>
          <w:szCs w:val="24"/>
          <w:vertAlign w:val="superscript"/>
        </w:rPr>
        <w:t>5,6</w:t>
      </w:r>
      <w:r w:rsidRPr="00C957AA">
        <w:rPr>
          <w:rFonts w:cs="Times New Roman"/>
          <w:b/>
          <w:szCs w:val="24"/>
        </w:rPr>
        <w:t>, Fawzi Kadi</w:t>
      </w:r>
      <w:r w:rsidRPr="00C957AA">
        <w:rPr>
          <w:rFonts w:cs="Times New Roman"/>
          <w:b/>
          <w:szCs w:val="24"/>
          <w:vertAlign w:val="superscript"/>
        </w:rPr>
        <w:t>7</w:t>
      </w:r>
      <w:r w:rsidRPr="00C957AA">
        <w:rPr>
          <w:rFonts w:cs="Times New Roman"/>
          <w:b/>
          <w:szCs w:val="24"/>
        </w:rPr>
        <w:t xml:space="preserve">, </w:t>
      </w:r>
      <w:r>
        <w:rPr>
          <w:rFonts w:cs="Times New Roman"/>
          <w:b/>
          <w:szCs w:val="24"/>
        </w:rPr>
        <w:t>Rita Ostan</w:t>
      </w:r>
      <w:r w:rsidRPr="0099702D">
        <w:rPr>
          <w:rFonts w:cs="Times New Roman"/>
          <w:b/>
          <w:szCs w:val="24"/>
          <w:vertAlign w:val="superscript"/>
        </w:rPr>
        <w:t>2,3</w:t>
      </w:r>
      <w:r>
        <w:rPr>
          <w:rFonts w:cs="Times New Roman"/>
          <w:b/>
          <w:szCs w:val="24"/>
        </w:rPr>
        <w:t xml:space="preserve">, </w:t>
      </w:r>
      <w:r w:rsidRPr="00C957AA">
        <w:rPr>
          <w:rFonts w:cs="Times New Roman"/>
          <w:b/>
          <w:szCs w:val="24"/>
        </w:rPr>
        <w:t>Michael Goy</w:t>
      </w:r>
      <w:r w:rsidR="00FD5530">
        <w:rPr>
          <w:rFonts w:cs="Times New Roman"/>
          <w:b/>
          <w:szCs w:val="24"/>
          <w:vertAlign w:val="superscript"/>
        </w:rPr>
        <w:t>8</w:t>
      </w:r>
      <w:r w:rsidRPr="00C957AA">
        <w:rPr>
          <w:rFonts w:cs="Times New Roman"/>
          <w:b/>
          <w:szCs w:val="24"/>
        </w:rPr>
        <w:t>, Caroline Monnard</w:t>
      </w:r>
      <w:r w:rsidRPr="00C957AA">
        <w:rPr>
          <w:rFonts w:cs="Times New Roman"/>
          <w:b/>
          <w:szCs w:val="24"/>
          <w:vertAlign w:val="superscript"/>
        </w:rPr>
        <w:t>1</w:t>
      </w:r>
      <w:r w:rsidRPr="00C957AA">
        <w:rPr>
          <w:rFonts w:cs="Times New Roman"/>
          <w:b/>
          <w:szCs w:val="24"/>
        </w:rPr>
        <w:t>, François-Pierre Martin</w:t>
      </w:r>
      <w:r w:rsidR="00FD5530">
        <w:rPr>
          <w:rFonts w:cs="Times New Roman"/>
          <w:b/>
          <w:szCs w:val="24"/>
          <w:vertAlign w:val="superscript"/>
        </w:rPr>
        <w:t>8</w:t>
      </w:r>
      <w:r w:rsidRPr="00C957AA">
        <w:rPr>
          <w:rFonts w:cs="Times New Roman"/>
          <w:b/>
          <w:szCs w:val="24"/>
        </w:rPr>
        <w:t>, Jerome N. Feige</w:t>
      </w:r>
      <w:r w:rsidR="00FD5530">
        <w:rPr>
          <w:rFonts w:cs="Times New Roman"/>
          <w:b/>
          <w:szCs w:val="24"/>
          <w:vertAlign w:val="superscript"/>
        </w:rPr>
        <w:t>8</w:t>
      </w:r>
      <w:r w:rsidRPr="00C957AA">
        <w:rPr>
          <w:rFonts w:cs="Times New Roman"/>
          <w:b/>
          <w:szCs w:val="24"/>
        </w:rPr>
        <w:t>, Claudio Franceschi</w:t>
      </w:r>
      <w:r w:rsidR="00FD5530">
        <w:rPr>
          <w:rFonts w:cs="Times New Roman"/>
          <w:b/>
          <w:szCs w:val="24"/>
          <w:vertAlign w:val="superscript"/>
        </w:rPr>
        <w:t>2,9</w:t>
      </w:r>
      <w:r w:rsidRPr="00C957AA">
        <w:rPr>
          <w:rFonts w:cs="Times New Roman"/>
          <w:b/>
          <w:szCs w:val="24"/>
        </w:rPr>
        <w:t>, Serge Rezzi</w:t>
      </w:r>
      <w:r w:rsidR="0051288E">
        <w:rPr>
          <w:rFonts w:cs="Times New Roman"/>
          <w:b/>
          <w:szCs w:val="24"/>
          <w:vertAlign w:val="superscript"/>
        </w:rPr>
        <w:t>1</w:t>
      </w:r>
      <w:r w:rsidRPr="00C957AA">
        <w:rPr>
          <w:rFonts w:cs="Times New Roman"/>
          <w:b/>
          <w:szCs w:val="24"/>
          <w:vertAlign w:val="superscript"/>
        </w:rPr>
        <w:t>*</w:t>
      </w:r>
      <w:r w:rsidR="00FD5530">
        <w:rPr>
          <w:rFonts w:cs="Times New Roman"/>
          <w:b/>
          <w:szCs w:val="24"/>
          <w:vertAlign w:val="superscript"/>
        </w:rPr>
        <w:t>,**</w:t>
      </w:r>
    </w:p>
    <w:p w14:paraId="5700D29A" w14:textId="118ACE7E" w:rsidR="000424BD" w:rsidRPr="00FD5530" w:rsidRDefault="000424BD" w:rsidP="000424BD">
      <w:pPr>
        <w:spacing w:before="240" w:after="0"/>
        <w:rPr>
          <w:rFonts w:cs="Times New Roman"/>
          <w:szCs w:val="24"/>
        </w:rPr>
      </w:pPr>
      <w:r w:rsidRPr="00FD5530">
        <w:rPr>
          <w:rFonts w:cs="Times New Roman"/>
          <w:szCs w:val="24"/>
          <w:vertAlign w:val="superscript"/>
        </w:rPr>
        <w:t>1</w:t>
      </w:r>
      <w:r w:rsidRPr="00FD5530">
        <w:rPr>
          <w:rFonts w:cs="Times New Roman"/>
          <w:szCs w:val="24"/>
        </w:rPr>
        <w:t xml:space="preserve">Nestlé </w:t>
      </w:r>
      <w:r w:rsidR="00FD5530" w:rsidRPr="00FD5530">
        <w:rPr>
          <w:rFonts w:cs="Times New Roman"/>
          <w:szCs w:val="24"/>
        </w:rPr>
        <w:t>Research</w:t>
      </w:r>
      <w:r w:rsidRPr="00FD5530">
        <w:rPr>
          <w:rFonts w:cs="Times New Roman"/>
          <w:szCs w:val="24"/>
        </w:rPr>
        <w:t xml:space="preserve">, </w:t>
      </w:r>
      <w:r w:rsidR="00FD5530" w:rsidRPr="00FD5530">
        <w:rPr>
          <w:rFonts w:cs="Times New Roman"/>
          <w:szCs w:val="24"/>
        </w:rPr>
        <w:t>Vers-chez-les-Blanc</w:t>
      </w:r>
      <w:r w:rsidR="00FD5530">
        <w:rPr>
          <w:rFonts w:cs="Times New Roman"/>
          <w:szCs w:val="24"/>
        </w:rPr>
        <w:t xml:space="preserve">, </w:t>
      </w:r>
      <w:r w:rsidRPr="00FD5530">
        <w:rPr>
          <w:rFonts w:cs="Times New Roman"/>
          <w:szCs w:val="24"/>
        </w:rPr>
        <w:t>Lausanne, Switzerland.</w:t>
      </w:r>
    </w:p>
    <w:p w14:paraId="5700D29B" w14:textId="77777777" w:rsidR="000424BD" w:rsidRPr="00C957AA" w:rsidRDefault="000424BD" w:rsidP="000424BD">
      <w:pPr>
        <w:spacing w:before="240" w:after="0"/>
        <w:rPr>
          <w:rFonts w:cs="Times New Roman"/>
          <w:szCs w:val="24"/>
        </w:rPr>
      </w:pPr>
      <w:r w:rsidRPr="00C957AA">
        <w:rPr>
          <w:rFonts w:cs="Times New Roman"/>
          <w:szCs w:val="24"/>
          <w:vertAlign w:val="superscript"/>
        </w:rPr>
        <w:t>2</w:t>
      </w:r>
      <w:r w:rsidRPr="00C957AA">
        <w:rPr>
          <w:rFonts w:cs="Times New Roman"/>
          <w:szCs w:val="24"/>
        </w:rPr>
        <w:t>Department of Experimental, Diagnostic and Specialty Medicine, Alma Mater Studiorum, University of Bologna, Bologna, Italy.</w:t>
      </w:r>
    </w:p>
    <w:p w14:paraId="5700D29C" w14:textId="77777777" w:rsidR="000424BD" w:rsidRPr="00C957AA" w:rsidRDefault="000424BD" w:rsidP="000424BD">
      <w:pPr>
        <w:spacing w:before="240" w:after="0"/>
        <w:rPr>
          <w:rFonts w:cs="Times New Roman"/>
          <w:szCs w:val="24"/>
        </w:rPr>
      </w:pPr>
      <w:r w:rsidRPr="00C957AA">
        <w:rPr>
          <w:rFonts w:cs="Times New Roman"/>
          <w:szCs w:val="24"/>
          <w:vertAlign w:val="superscript"/>
        </w:rPr>
        <w:t>3</w:t>
      </w:r>
      <w:r w:rsidRPr="00C957AA">
        <w:rPr>
          <w:rFonts w:cs="Times New Roman"/>
          <w:szCs w:val="24"/>
        </w:rPr>
        <w:t>C.I.G. Interdepartmental Centre “L. Galvani”, Alma Mater Studiorum, University of Bologna, Bologna, Italy.</w:t>
      </w:r>
    </w:p>
    <w:p w14:paraId="399E86D0" w14:textId="77777777" w:rsidR="00BD71D8" w:rsidRDefault="000424BD" w:rsidP="000424BD">
      <w:pPr>
        <w:spacing w:before="240" w:after="0"/>
        <w:rPr>
          <w:rFonts w:cs="Times New Roman"/>
          <w:szCs w:val="24"/>
        </w:rPr>
      </w:pPr>
      <w:r w:rsidRPr="00C957AA">
        <w:rPr>
          <w:rFonts w:cs="Times New Roman"/>
          <w:szCs w:val="24"/>
          <w:vertAlign w:val="superscript"/>
        </w:rPr>
        <w:t>4</w:t>
      </w:r>
      <w:r w:rsidR="00BD71D8" w:rsidRPr="00BD71D8">
        <w:rPr>
          <w:rFonts w:cs="Times New Roman"/>
          <w:szCs w:val="24"/>
        </w:rPr>
        <w:t xml:space="preserve">Diagnostic and Interventional Radiology, IRCCS Istituto Ortopedico Rizzoli, Bologna, Italy </w:t>
      </w:r>
    </w:p>
    <w:p w14:paraId="5700D29E" w14:textId="226C8E5F" w:rsidR="000424BD" w:rsidRPr="00C957AA" w:rsidRDefault="000424BD" w:rsidP="000424BD">
      <w:pPr>
        <w:spacing w:before="240" w:after="0"/>
        <w:rPr>
          <w:rFonts w:cs="Times New Roman"/>
          <w:szCs w:val="24"/>
        </w:rPr>
      </w:pPr>
      <w:r w:rsidRPr="00C957AA">
        <w:rPr>
          <w:rFonts w:cs="Times New Roman"/>
          <w:szCs w:val="24"/>
          <w:vertAlign w:val="superscript"/>
        </w:rPr>
        <w:t>5</w:t>
      </w:r>
      <w:r w:rsidRPr="00C957AA">
        <w:rPr>
          <w:rFonts w:cs="Times New Roman"/>
          <w:szCs w:val="24"/>
        </w:rPr>
        <w:t>Department of Experimental and Clinical Medicine, Section of Anatomy, University of Florence, Italy.</w:t>
      </w:r>
    </w:p>
    <w:p w14:paraId="5700D29F" w14:textId="77777777" w:rsidR="000424BD" w:rsidRPr="00C957AA" w:rsidRDefault="000424BD" w:rsidP="000424BD">
      <w:pPr>
        <w:spacing w:before="240" w:after="0"/>
        <w:rPr>
          <w:rFonts w:cs="Times New Roman"/>
          <w:szCs w:val="24"/>
        </w:rPr>
      </w:pPr>
      <w:r w:rsidRPr="00C957AA">
        <w:rPr>
          <w:rFonts w:cs="Times New Roman"/>
          <w:szCs w:val="24"/>
          <w:vertAlign w:val="superscript"/>
        </w:rPr>
        <w:t>6</w:t>
      </w:r>
      <w:r w:rsidRPr="00C957AA">
        <w:rPr>
          <w:rFonts w:cs="Times New Roman"/>
          <w:szCs w:val="24"/>
        </w:rPr>
        <w:t>Gut Health Institute Strategic Programme, Quadram Institute Bioscience, Norwich, UK.</w:t>
      </w:r>
    </w:p>
    <w:p w14:paraId="5700D2A0" w14:textId="2B9EE594" w:rsidR="000424BD" w:rsidRDefault="000424BD" w:rsidP="000424BD">
      <w:pPr>
        <w:spacing w:before="240" w:after="0"/>
        <w:rPr>
          <w:rFonts w:cs="Times New Roman"/>
          <w:szCs w:val="24"/>
        </w:rPr>
      </w:pPr>
      <w:r w:rsidRPr="00C957AA">
        <w:rPr>
          <w:rFonts w:cs="Times New Roman"/>
          <w:szCs w:val="24"/>
          <w:vertAlign w:val="superscript"/>
        </w:rPr>
        <w:t>7</w:t>
      </w:r>
      <w:r w:rsidRPr="00C957AA">
        <w:rPr>
          <w:rFonts w:cs="Times New Roman"/>
          <w:szCs w:val="24"/>
        </w:rPr>
        <w:t>School of Health and Medical Sciences, Örebro University, Örebro, Sweden.</w:t>
      </w:r>
    </w:p>
    <w:p w14:paraId="09DA38D5" w14:textId="790F1CED" w:rsidR="00FD5530" w:rsidRPr="00C957AA" w:rsidRDefault="00FD5530" w:rsidP="000424BD">
      <w:pPr>
        <w:spacing w:before="240" w:after="0"/>
        <w:rPr>
          <w:rFonts w:cs="Times New Roman"/>
          <w:szCs w:val="24"/>
        </w:rPr>
      </w:pPr>
      <w:r>
        <w:rPr>
          <w:rFonts w:cs="Times New Roman"/>
          <w:szCs w:val="24"/>
          <w:vertAlign w:val="superscript"/>
        </w:rPr>
        <w:t>8</w:t>
      </w:r>
      <w:r w:rsidRPr="00FD5530">
        <w:rPr>
          <w:rFonts w:cs="Times New Roman"/>
          <w:szCs w:val="24"/>
        </w:rPr>
        <w:t>Nestlé Research, EPFL Innovation Park</w:t>
      </w:r>
      <w:r>
        <w:rPr>
          <w:rFonts w:cs="Times New Roman"/>
          <w:szCs w:val="24"/>
        </w:rPr>
        <w:t xml:space="preserve">, </w:t>
      </w:r>
      <w:r w:rsidRPr="00FD5530">
        <w:rPr>
          <w:rFonts w:cs="Times New Roman"/>
          <w:szCs w:val="24"/>
        </w:rPr>
        <w:t>Lausanne, Switzerland.</w:t>
      </w:r>
    </w:p>
    <w:p w14:paraId="5700D2A1" w14:textId="1E914EB7" w:rsidR="000424BD" w:rsidRPr="00C957AA" w:rsidRDefault="00FD5530" w:rsidP="000424BD">
      <w:pPr>
        <w:spacing w:before="240" w:after="0"/>
        <w:rPr>
          <w:rFonts w:cs="Times New Roman"/>
          <w:szCs w:val="24"/>
        </w:rPr>
      </w:pPr>
      <w:r>
        <w:rPr>
          <w:rFonts w:cs="Times New Roman"/>
          <w:szCs w:val="24"/>
          <w:vertAlign w:val="superscript"/>
        </w:rPr>
        <w:t>9</w:t>
      </w:r>
      <w:r w:rsidR="000424BD" w:rsidRPr="00C957AA">
        <w:rPr>
          <w:rFonts w:cs="Times New Roman"/>
          <w:szCs w:val="24"/>
        </w:rPr>
        <w:t>Institute of Neurological Sciences (IRCCS), Bologna, Italy.</w:t>
      </w:r>
    </w:p>
    <w:p w14:paraId="5700D2A2" w14:textId="77777777" w:rsidR="000424BD" w:rsidRPr="00C957AA" w:rsidRDefault="000424BD" w:rsidP="000424BD">
      <w:pPr>
        <w:spacing w:before="240" w:after="0"/>
        <w:rPr>
          <w:rFonts w:cs="Times New Roman"/>
          <w:szCs w:val="24"/>
        </w:rPr>
      </w:pPr>
    </w:p>
    <w:p w14:paraId="5700D2A3" w14:textId="77777777" w:rsidR="001D39D6" w:rsidRDefault="001D39D6" w:rsidP="000424BD">
      <w:pPr>
        <w:spacing w:before="240" w:after="0"/>
        <w:rPr>
          <w:rFonts w:cs="Times New Roman"/>
          <w:szCs w:val="24"/>
        </w:rPr>
      </w:pPr>
    </w:p>
    <w:p w14:paraId="5700D2A4" w14:textId="77777777" w:rsidR="000424BD" w:rsidRPr="00C957AA" w:rsidRDefault="000424BD" w:rsidP="000424BD">
      <w:pPr>
        <w:spacing w:before="240" w:after="0"/>
        <w:rPr>
          <w:rFonts w:cs="Times New Roman"/>
          <w:szCs w:val="24"/>
        </w:rPr>
      </w:pPr>
      <w:r w:rsidRPr="00C957AA">
        <w:rPr>
          <w:rFonts w:cs="Times New Roman"/>
          <w:b/>
          <w:szCs w:val="24"/>
        </w:rPr>
        <w:t xml:space="preserve">* Correspondence: </w:t>
      </w:r>
      <w:r w:rsidRPr="00C957AA">
        <w:rPr>
          <w:rFonts w:cs="Times New Roman"/>
          <w:b/>
          <w:szCs w:val="24"/>
        </w:rPr>
        <w:br/>
      </w:r>
      <w:r w:rsidRPr="00C957AA">
        <w:rPr>
          <w:rFonts w:cs="Times New Roman"/>
          <w:szCs w:val="24"/>
        </w:rPr>
        <w:t>Dr. Serge Rezzi</w:t>
      </w:r>
    </w:p>
    <w:p w14:paraId="5700D2A6" w14:textId="612FEAD6" w:rsidR="000424BD" w:rsidRDefault="00FD5530" w:rsidP="000424BD">
      <w:pPr>
        <w:spacing w:before="0" w:after="0"/>
        <w:rPr>
          <w:rStyle w:val="Hyperlink"/>
          <w:rFonts w:cs="Times New Roman"/>
          <w:szCs w:val="24"/>
        </w:rPr>
      </w:pPr>
      <w:r w:rsidRPr="00FD5530">
        <w:rPr>
          <w:rStyle w:val="Hyperlink"/>
          <w:rFonts w:cs="Times New Roman"/>
          <w:szCs w:val="24"/>
        </w:rPr>
        <w:t>serge.rezzi@swissvitamin.ch</w:t>
      </w:r>
    </w:p>
    <w:p w14:paraId="3145CBED" w14:textId="77777777" w:rsidR="00FD5530" w:rsidRDefault="00FD5530" w:rsidP="000424BD">
      <w:pPr>
        <w:spacing w:before="0" w:after="0"/>
        <w:rPr>
          <w:rFonts w:cs="Times New Roman"/>
          <w:b/>
          <w:szCs w:val="24"/>
        </w:rPr>
      </w:pPr>
    </w:p>
    <w:p w14:paraId="5700D2A7" w14:textId="34FC8F0B" w:rsidR="000424BD" w:rsidRDefault="00FD5530" w:rsidP="000424BD">
      <w:pPr>
        <w:spacing w:before="0" w:after="0"/>
        <w:rPr>
          <w:rFonts w:cs="Times New Roman"/>
          <w:b/>
          <w:szCs w:val="24"/>
        </w:rPr>
      </w:pPr>
      <w:r>
        <w:rPr>
          <w:rFonts w:cs="Times New Roman"/>
          <w:b/>
          <w:szCs w:val="24"/>
        </w:rPr>
        <w:t>** Current address:</w:t>
      </w:r>
    </w:p>
    <w:p w14:paraId="58085DDB" w14:textId="5F83B37A" w:rsidR="00FD5530" w:rsidRPr="00FD5530" w:rsidRDefault="00FD5530" w:rsidP="000424BD">
      <w:pPr>
        <w:spacing w:before="0" w:after="0"/>
        <w:rPr>
          <w:rFonts w:cs="Times New Roman"/>
          <w:szCs w:val="24"/>
        </w:rPr>
      </w:pPr>
      <w:r w:rsidRPr="00FD5530">
        <w:rPr>
          <w:rFonts w:cs="Times New Roman"/>
          <w:szCs w:val="24"/>
        </w:rPr>
        <w:t>Swiss Vitamin Institute, Épalinges, Switzerland</w:t>
      </w:r>
    </w:p>
    <w:p w14:paraId="5700D2A8" w14:textId="77777777" w:rsidR="000424BD" w:rsidRDefault="000424BD" w:rsidP="000424BD">
      <w:pPr>
        <w:spacing w:before="0" w:after="0"/>
        <w:rPr>
          <w:rFonts w:cs="Times New Roman"/>
          <w:b/>
          <w:szCs w:val="24"/>
        </w:rPr>
      </w:pPr>
    </w:p>
    <w:p w14:paraId="5700D2A9" w14:textId="77777777" w:rsidR="000424BD" w:rsidRPr="000424BD" w:rsidRDefault="000424BD" w:rsidP="000424BD">
      <w:pPr>
        <w:spacing w:before="0" w:after="0"/>
        <w:rPr>
          <w:rFonts w:cs="Times New Roman"/>
          <w:b/>
          <w:szCs w:val="24"/>
        </w:rPr>
      </w:pPr>
    </w:p>
    <w:p w14:paraId="5700D2AA" w14:textId="77777777" w:rsidR="00967852" w:rsidRDefault="00967852" w:rsidP="00967852">
      <w:pPr>
        <w:spacing w:before="240" w:after="0"/>
        <w:rPr>
          <w:rFonts w:cs="Times New Roman"/>
          <w:szCs w:val="24"/>
        </w:rPr>
      </w:pPr>
    </w:p>
    <w:p w14:paraId="5700D2AB" w14:textId="77777777" w:rsidR="00967852" w:rsidRDefault="00967852" w:rsidP="00967852">
      <w:pPr>
        <w:spacing w:before="240" w:after="0"/>
        <w:rPr>
          <w:rFonts w:cs="Times New Roman"/>
          <w:szCs w:val="24"/>
        </w:rPr>
      </w:pPr>
    </w:p>
    <w:p w14:paraId="5700D2AC" w14:textId="77777777" w:rsidR="00581325" w:rsidRDefault="00581325" w:rsidP="00967852">
      <w:pPr>
        <w:spacing w:before="240" w:after="0"/>
        <w:rPr>
          <w:rFonts w:cs="Times New Roman"/>
          <w:szCs w:val="24"/>
        </w:rPr>
      </w:pPr>
    </w:p>
    <w:p w14:paraId="5700D2AD" w14:textId="77777777" w:rsidR="001D39D6" w:rsidRDefault="001D39D6" w:rsidP="00967852">
      <w:pPr>
        <w:spacing w:before="240" w:after="0"/>
        <w:rPr>
          <w:rFonts w:cs="Times New Roman"/>
          <w:szCs w:val="24"/>
        </w:rPr>
      </w:pPr>
    </w:p>
    <w:p w14:paraId="5700D2AE" w14:textId="77777777" w:rsidR="007F334E" w:rsidRPr="000424BD" w:rsidRDefault="000424BD" w:rsidP="007F334E">
      <w:pPr>
        <w:pStyle w:val="ListParagraph"/>
        <w:numPr>
          <w:ilvl w:val="0"/>
          <w:numId w:val="19"/>
        </w:numPr>
        <w:spacing w:before="240"/>
        <w:contextualSpacing w:val="0"/>
        <w:outlineLvl w:val="0"/>
        <w:rPr>
          <w:b/>
          <w:vanish/>
        </w:rPr>
      </w:pPr>
      <w:r>
        <w:rPr>
          <w:b/>
          <w:vanish/>
        </w:rPr>
        <w:t>S</w:t>
      </w:r>
      <w:r w:rsidR="00654E8F" w:rsidRPr="000424BD">
        <w:rPr>
          <w:b/>
          <w:vanish/>
        </w:rPr>
        <w:t>upplementary Data</w:t>
      </w:r>
    </w:p>
    <w:p w14:paraId="5700D2AF" w14:textId="77777777" w:rsidR="007F334E" w:rsidRPr="007F334E" w:rsidRDefault="007F334E" w:rsidP="00117A8E">
      <w:pPr>
        <w:jc w:val="both"/>
        <w:rPr>
          <w:u w:val="single"/>
        </w:rPr>
      </w:pPr>
      <w:r w:rsidRPr="007F334E">
        <w:rPr>
          <w:u w:val="single"/>
        </w:rPr>
        <w:t>Amino acid analysis:</w:t>
      </w:r>
    </w:p>
    <w:p w14:paraId="5700D2B0" w14:textId="3F1EB598" w:rsidR="000506C1" w:rsidRDefault="000506C1" w:rsidP="00EC0E31">
      <w:pPr>
        <w:spacing w:line="276" w:lineRule="auto"/>
        <w:jc w:val="both"/>
      </w:pPr>
      <w:r>
        <w:t>The analysis of 34 amino acids in human plasma was performed using an Acquity UPLC I Class system hyphenated to a TQS XEVO triple quadrupole from Waters (Milford, MA, USA). The following amino acids were measured: alanine, β-alanine, α-aminobutyric acid, β-aminoisobutyric acid, γ-aminobutyric acid, arginine, asparagine, aspartic acid, citrulline, assymetric-dimethylarginine, symetric-dimethylarginine, ethanolamine, glutamic acid, glutamine, glycine, histidine, hydroxyproline, isoleucine, leucine, lysine, methionine, 1-methylhistidine, 3-methylhistidine, monomethylarginine, ornithine, phenylalanine, proline, sarcosine, serine, taurine, threonine, tryptophan, tyrosine and valine. The chromatographic system was equipped with a binary pump, a temperature controlled autosampler operated at 20°C and a column oven set to 55°C. Chromatographic separation was achieved by a Waters Acquity AccQ Tag Ultra C18 column (1.7 µm, 100 x 2.1 mm I.D) and an Acquity UPLC BEH C18 VanGuard Pre-column (130Å, 1.7 µm, 2.1 mm x 5 mm) applying a flow rate of 0.7 mL min</w:t>
      </w:r>
      <w:r w:rsidRPr="00967852">
        <w:rPr>
          <w:vertAlign w:val="superscript"/>
        </w:rPr>
        <w:t>-1</w:t>
      </w:r>
      <w:r>
        <w:t>. Mobile phase A consisted of 10% AccQ Tag Ultra Eluent A concentrate in H</w:t>
      </w:r>
      <w:r w:rsidRPr="0051288E">
        <w:rPr>
          <w:vertAlign w:val="subscript"/>
        </w:rPr>
        <w:t>2</w:t>
      </w:r>
      <w:r>
        <w:t xml:space="preserve">O and AccQ Tag Ultra Eluent B (both from Waters) as mobile phase B. For sample injection, the full loop mode was applied to inject 2 μL of sample. The UPLC system was hyphenated with the mass spectrometer employing electrospray ionization (ESI) in positive mode for ionization. Nitrogen was used as desolvation, nebulization and cone gas while argon was employed as collision gas. Collision energy was adapted to each analyte individually, ranging between 18 and 40 eV performed. Amino acids were identified according to the retention time and compound specific transitions. Quantitation </w:t>
      </w:r>
      <w:r w:rsidR="0051288E">
        <w:t>was</w:t>
      </w:r>
      <w:r>
        <w:t xml:space="preserve"> achieved using an internal standard and an external calibration curve. </w:t>
      </w:r>
    </w:p>
    <w:p w14:paraId="5700D2B1" w14:textId="77777777" w:rsidR="007F334E" w:rsidRPr="00EC0E31" w:rsidRDefault="007F334E" w:rsidP="00EC0E31">
      <w:pPr>
        <w:spacing w:after="160" w:line="276" w:lineRule="auto"/>
        <w:jc w:val="both"/>
        <w:rPr>
          <w:rFonts w:eastAsia="Calibri" w:cs="Calibri"/>
        </w:rPr>
      </w:pPr>
      <w:r>
        <w:t xml:space="preserve">Derivatization step: </w:t>
      </w:r>
      <w:r w:rsidRPr="00A1065A">
        <w:rPr>
          <w:rFonts w:cstheme="minorHAnsi"/>
        </w:rPr>
        <w:t>The AccQ•Tag Ultra Reagent (6-aminoquinolyl-N hydroxysuccinimidyl carbamate, or AQC) reacts rapidly with primary and secondary amino acids to form highly stable derivatives that can be stored at room temperature for up to one week. 10 µL of each calibration solution</w:t>
      </w:r>
      <w:r>
        <w:rPr>
          <w:rFonts w:cstheme="minorHAnsi"/>
        </w:rPr>
        <w:t xml:space="preserve"> </w:t>
      </w:r>
      <w:r w:rsidRPr="00A1065A">
        <w:rPr>
          <w:rFonts w:cstheme="minorHAnsi"/>
        </w:rPr>
        <w:t>was mixed with 70 µL borate buffer (provided in the AccQ•Tag kit) before 20 µL of the derivati</w:t>
      </w:r>
      <w:r>
        <w:rPr>
          <w:rFonts w:cstheme="minorHAnsi"/>
        </w:rPr>
        <w:t>z</w:t>
      </w:r>
      <w:r w:rsidRPr="00A1065A">
        <w:rPr>
          <w:rFonts w:cstheme="minorHAnsi"/>
        </w:rPr>
        <w:t xml:space="preserve">ation agent was added. </w:t>
      </w:r>
      <w:r>
        <w:rPr>
          <w:rFonts w:cstheme="minorHAnsi"/>
        </w:rPr>
        <w:t>S</w:t>
      </w:r>
      <w:r w:rsidRPr="00A1065A">
        <w:rPr>
          <w:rFonts w:cstheme="minorHAnsi"/>
        </w:rPr>
        <w:t>amples were placed in a heating cabinet for incubation (55°C, 10 minutes)</w:t>
      </w:r>
      <w:r>
        <w:rPr>
          <w:rFonts w:cstheme="minorHAnsi"/>
        </w:rPr>
        <w:t xml:space="preserve"> and diluted 20 fold with 0.1 M HCl prior analysis</w:t>
      </w:r>
      <w:r w:rsidRPr="00A1065A">
        <w:rPr>
          <w:rFonts w:cstheme="minorHAnsi"/>
        </w:rPr>
        <w:t>. For preparation of human plasma</w:t>
      </w:r>
      <w:r>
        <w:rPr>
          <w:rFonts w:cstheme="minorHAnsi"/>
        </w:rPr>
        <w:t xml:space="preserve"> and QCs</w:t>
      </w:r>
      <w:r w:rsidRPr="00A1065A">
        <w:rPr>
          <w:rFonts w:cstheme="minorHAnsi"/>
        </w:rPr>
        <w:t>,</w:t>
      </w:r>
      <w:r w:rsidRPr="00A1065A">
        <w:rPr>
          <w:rFonts w:eastAsia="Calibri" w:cs="Calibri"/>
        </w:rPr>
        <w:t xml:space="preserve"> 50 µL of the biological fluid were mixed with ISTD solution</w:t>
      </w:r>
      <w:r>
        <w:rPr>
          <w:rFonts w:eastAsia="Calibri" w:cs="Calibri"/>
        </w:rPr>
        <w:t xml:space="preserve"> and topped up to 200 µl with</w:t>
      </w:r>
      <w:r w:rsidRPr="00A1065A">
        <w:rPr>
          <w:rFonts w:eastAsia="Calibri" w:cs="Calibri"/>
        </w:rPr>
        <w:t xml:space="preserve"> </w:t>
      </w:r>
      <w:r>
        <w:rPr>
          <w:rFonts w:eastAsia="Calibri" w:cs="Calibri"/>
        </w:rPr>
        <w:t>methanol</w:t>
      </w:r>
      <w:r w:rsidRPr="00A1065A">
        <w:rPr>
          <w:rFonts w:eastAsia="Calibri" w:cs="Calibri"/>
        </w:rPr>
        <w:t>,</w:t>
      </w:r>
      <w:r>
        <w:rPr>
          <w:rFonts w:eastAsia="Calibri" w:cs="Calibri"/>
        </w:rPr>
        <w:t xml:space="preserve"> 0.1% formic acid</w:t>
      </w:r>
      <w:r w:rsidRPr="00A1065A">
        <w:rPr>
          <w:rFonts w:eastAsia="Calibri" w:cs="Calibri"/>
        </w:rPr>
        <w:t xml:space="preserve"> (Sigma Aldrich). The mixture was homogenized and centrifuged to remove precipitated proteins. 10 µL of the supernatant was removed, mixed with borate buffer and derivatization agent, incubated at 55°C for 10 min and diluted 20-fold with 0.1 M HCl prior analysis.</w:t>
      </w:r>
    </w:p>
    <w:p w14:paraId="51B73D26" w14:textId="77777777" w:rsidR="0051288E" w:rsidRDefault="0051288E" w:rsidP="00EC0E31">
      <w:pPr>
        <w:spacing w:line="276" w:lineRule="auto"/>
        <w:jc w:val="both"/>
        <w:rPr>
          <w:u w:val="single"/>
        </w:rPr>
      </w:pPr>
    </w:p>
    <w:p w14:paraId="5700D2B2" w14:textId="6744B3EB" w:rsidR="007F334E" w:rsidRPr="007F334E" w:rsidRDefault="007F334E" w:rsidP="00EC0E31">
      <w:pPr>
        <w:spacing w:line="276" w:lineRule="auto"/>
        <w:jc w:val="both"/>
        <w:rPr>
          <w:u w:val="single"/>
        </w:rPr>
      </w:pPr>
      <w:r w:rsidRPr="007F334E">
        <w:rPr>
          <w:u w:val="single"/>
        </w:rPr>
        <w:t>Fatty acid analysis:</w:t>
      </w:r>
    </w:p>
    <w:p w14:paraId="5700D2B3" w14:textId="39DFD520" w:rsidR="007F334E" w:rsidRDefault="000506C1" w:rsidP="00EC0E31">
      <w:pPr>
        <w:spacing w:line="276" w:lineRule="auto"/>
        <w:jc w:val="both"/>
      </w:pPr>
      <w:r>
        <w:t xml:space="preserve">The quantification of fatty acids in human plasma was performed with the capillary fast gas chromatography (GC) system Agilent 7890A (Agilent Technologies, Santa Clara, CA, USA) equipped with flame </w:t>
      </w:r>
      <w:r w:rsidR="0051288E">
        <w:t>ionization</w:t>
      </w:r>
      <w:r>
        <w:t xml:space="preserve"> detector (FID), a temperature programmable oven applying a temperature </w:t>
      </w:r>
      <w:r>
        <w:lastRenderedPageBreak/>
        <w:t>gradient ranging from 45°C to 250°C and a split-splitless injector. A capillary column BPX70 from SGE (SGE Europe Ltd, Milton Keynes, UK) with a length of 10 m, an internal diameter of 0.1 mm and a film thickness of 0.2 μm were used for chromatographic separation. Hydrogen 5.7 was applied as carrier gas using a flow rate of 1 mL min</w:t>
      </w:r>
      <w:r w:rsidRPr="00967852">
        <w:rPr>
          <w:vertAlign w:val="superscript"/>
        </w:rPr>
        <w:t>-1</w:t>
      </w:r>
      <w:r>
        <w:t xml:space="preserve"> at 25°C, while hydrogen was used as detector gas. Fatty acids were derivatized by transesterification to form the respective methyl esters (FAME). The transesterification performance (TP) of the method was controlled with TAG 13:0 as second internal standard for plasma samples. FAMEs </w:t>
      </w:r>
      <w:r w:rsidR="0051288E">
        <w:t>were</w:t>
      </w:r>
      <w:r>
        <w:t xml:space="preserve"> identified by retention time and comparison with an external standard. Quantitation </w:t>
      </w:r>
      <w:r w:rsidR="0051288E">
        <w:t>was</w:t>
      </w:r>
      <w:r>
        <w:t xml:space="preserve"> achieved using an internal standard and a response factor (RF) that was evaluated for each fatty a</w:t>
      </w:r>
      <w:r w:rsidR="007F334E">
        <w:t xml:space="preserve">cid during method development. </w:t>
      </w:r>
    </w:p>
    <w:p w14:paraId="07A2065D" w14:textId="77777777" w:rsidR="0051288E" w:rsidRDefault="0051288E" w:rsidP="00EC0E31">
      <w:pPr>
        <w:spacing w:line="276" w:lineRule="auto"/>
        <w:jc w:val="both"/>
        <w:rPr>
          <w:u w:val="single"/>
        </w:rPr>
      </w:pPr>
    </w:p>
    <w:p w14:paraId="5700D2B4" w14:textId="09F49919" w:rsidR="007F334E" w:rsidRPr="007F334E" w:rsidRDefault="007F334E" w:rsidP="00EC0E31">
      <w:pPr>
        <w:spacing w:line="276" w:lineRule="auto"/>
        <w:jc w:val="both"/>
        <w:rPr>
          <w:u w:val="single"/>
        </w:rPr>
      </w:pPr>
      <w:r w:rsidRPr="007F334E">
        <w:rPr>
          <w:u w:val="single"/>
        </w:rPr>
        <w:t>Mineral analysis:</w:t>
      </w:r>
    </w:p>
    <w:p w14:paraId="5700D2B5" w14:textId="64EEAD3E" w:rsidR="007F334E" w:rsidRPr="00584034" w:rsidRDefault="000506C1" w:rsidP="00EC0E31">
      <w:pPr>
        <w:spacing w:line="276" w:lineRule="auto"/>
        <w:jc w:val="both"/>
      </w:pPr>
      <w:r>
        <w:t>The determination</w:t>
      </w:r>
      <w:r w:rsidR="0051288E">
        <w:t xml:space="preserve"> the</w:t>
      </w:r>
      <w:r>
        <w:t xml:space="preserve"> minerals </w:t>
      </w:r>
      <w:r w:rsidR="001D39D6" w:rsidRPr="001D39D6">
        <w:t xml:space="preserve">magnesium (Mg), phosphorous (P), sulfur (S), potassium (K), calcium (Ca), manganese (Mn), iron (Fe), cobalt (Co), copper (Cu), zinc (Zn), selenium (Se), rubidium (Rb), strontium (Sr), molybdenum (Mo) and iodine (I), </w:t>
      </w:r>
      <w:r>
        <w:t>was carried out using an Agilent 8800 triple quadrupole ICP-MS (Agilent Technologies, Tokyo, Japan) operated in low matrix plasma mode. The mass spectrometric device was equipped with an integrated auto-sampler, a MircoMist nebulizer and a Scott double-pass spray chamber. Elements under evaluation were monitored in three different gas modes (no gas, He or O</w:t>
      </w:r>
      <w:r w:rsidRPr="00967852">
        <w:rPr>
          <w:vertAlign w:val="subscript"/>
        </w:rPr>
        <w:t>2</w:t>
      </w:r>
      <w:r>
        <w:t>) to reduce respective spectral interferences for these masses to a minimum. The performance of the mass spectrometer was verified prior analysis by using a multi-element tuning solution. An internal standard (ISTD) solution containing beryllium (200 ng mL</w:t>
      </w:r>
      <w:r w:rsidRPr="00967852">
        <w:rPr>
          <w:vertAlign w:val="superscript"/>
        </w:rPr>
        <w:t>-1</w:t>
      </w:r>
      <w:r>
        <w:t>), scandium, gallium, indium, tellurium and bismuth at 100 ng mL</w:t>
      </w:r>
      <w:r w:rsidRPr="00967852">
        <w:rPr>
          <w:vertAlign w:val="superscript"/>
        </w:rPr>
        <w:t>-1</w:t>
      </w:r>
      <w:r>
        <w:t xml:space="preserve"> was added online to the samples using a T-connector. For </w:t>
      </w:r>
      <w:r w:rsidR="0051288E">
        <w:t>quantitative analysis</w:t>
      </w:r>
      <w:r>
        <w:t xml:space="preserve">, the external calibration approach was applied and a serum certified reference material was analyzed on a daily basis for quality control. Further experimental settings are detailed elsewhere (Konz 2017: J. Proteom. Res.). </w:t>
      </w:r>
    </w:p>
    <w:p w14:paraId="5700D2B6" w14:textId="77777777" w:rsidR="00DE23E8" w:rsidRDefault="00DE23E8" w:rsidP="00654E8F">
      <w:pPr>
        <w:spacing w:before="240"/>
      </w:pPr>
    </w:p>
    <w:p w14:paraId="5700D2B7" w14:textId="77777777" w:rsidR="000424BD" w:rsidRDefault="000424BD" w:rsidP="000424BD">
      <w:pPr>
        <w:pStyle w:val="ListParagraph"/>
        <w:numPr>
          <w:ilvl w:val="0"/>
          <w:numId w:val="0"/>
        </w:numPr>
        <w:spacing w:before="240"/>
        <w:ind w:left="567"/>
        <w:contextualSpacing w:val="0"/>
        <w:outlineLvl w:val="0"/>
        <w:rPr>
          <w:b/>
          <w:vanish/>
        </w:rPr>
      </w:pPr>
    </w:p>
    <w:p w14:paraId="5700D2B8" w14:textId="77777777" w:rsidR="000424BD" w:rsidRDefault="000424BD" w:rsidP="000424BD">
      <w:pPr>
        <w:pStyle w:val="ListParagraph"/>
        <w:numPr>
          <w:ilvl w:val="0"/>
          <w:numId w:val="0"/>
        </w:numPr>
        <w:spacing w:before="240"/>
        <w:ind w:left="567"/>
        <w:contextualSpacing w:val="0"/>
        <w:outlineLvl w:val="0"/>
        <w:rPr>
          <w:b/>
          <w:vanish/>
        </w:rPr>
      </w:pPr>
    </w:p>
    <w:p w14:paraId="5700D2B9" w14:textId="77777777" w:rsidR="000424BD" w:rsidRDefault="000424BD" w:rsidP="000424BD">
      <w:pPr>
        <w:pStyle w:val="ListParagraph"/>
        <w:numPr>
          <w:ilvl w:val="0"/>
          <w:numId w:val="0"/>
        </w:numPr>
        <w:spacing w:before="240"/>
        <w:ind w:left="567"/>
        <w:contextualSpacing w:val="0"/>
        <w:outlineLvl w:val="0"/>
        <w:rPr>
          <w:b/>
          <w:vanish/>
        </w:rPr>
      </w:pPr>
    </w:p>
    <w:p w14:paraId="5700D2BA" w14:textId="77777777" w:rsidR="000424BD" w:rsidRDefault="000424BD" w:rsidP="000424BD">
      <w:pPr>
        <w:pStyle w:val="ListParagraph"/>
        <w:numPr>
          <w:ilvl w:val="0"/>
          <w:numId w:val="0"/>
        </w:numPr>
        <w:spacing w:before="240"/>
        <w:ind w:left="567"/>
        <w:contextualSpacing w:val="0"/>
        <w:outlineLvl w:val="0"/>
        <w:rPr>
          <w:b/>
          <w:vanish/>
        </w:rPr>
      </w:pPr>
    </w:p>
    <w:p w14:paraId="5700D2BB" w14:textId="77777777" w:rsidR="000424BD" w:rsidRDefault="000424BD" w:rsidP="000424BD">
      <w:pPr>
        <w:pStyle w:val="ListParagraph"/>
        <w:numPr>
          <w:ilvl w:val="0"/>
          <w:numId w:val="0"/>
        </w:numPr>
        <w:spacing w:before="240"/>
        <w:ind w:left="567"/>
        <w:contextualSpacing w:val="0"/>
        <w:outlineLvl w:val="0"/>
        <w:rPr>
          <w:b/>
          <w:vanish/>
        </w:rPr>
      </w:pPr>
    </w:p>
    <w:p w14:paraId="5700D2BC" w14:textId="77777777" w:rsidR="000424BD" w:rsidRDefault="000424BD" w:rsidP="000424BD">
      <w:pPr>
        <w:pStyle w:val="ListParagraph"/>
        <w:numPr>
          <w:ilvl w:val="0"/>
          <w:numId w:val="0"/>
        </w:numPr>
        <w:spacing w:before="240"/>
        <w:ind w:left="567"/>
        <w:contextualSpacing w:val="0"/>
        <w:outlineLvl w:val="0"/>
        <w:rPr>
          <w:b/>
          <w:vanish/>
        </w:rPr>
      </w:pPr>
    </w:p>
    <w:p w14:paraId="5700D2BD" w14:textId="77777777" w:rsidR="000424BD" w:rsidRDefault="000424BD" w:rsidP="000424BD">
      <w:pPr>
        <w:pStyle w:val="ListParagraph"/>
        <w:numPr>
          <w:ilvl w:val="0"/>
          <w:numId w:val="0"/>
        </w:numPr>
        <w:spacing w:before="240"/>
        <w:ind w:left="567"/>
        <w:contextualSpacing w:val="0"/>
        <w:outlineLvl w:val="0"/>
        <w:rPr>
          <w:b/>
          <w:vanish/>
        </w:rPr>
      </w:pPr>
    </w:p>
    <w:p w14:paraId="5700D2BE" w14:textId="77777777" w:rsidR="001227B9" w:rsidRDefault="001227B9" w:rsidP="000424BD">
      <w:pPr>
        <w:pStyle w:val="ListParagraph"/>
        <w:numPr>
          <w:ilvl w:val="0"/>
          <w:numId w:val="0"/>
        </w:numPr>
        <w:spacing w:before="240"/>
        <w:ind w:left="567"/>
        <w:contextualSpacing w:val="0"/>
        <w:outlineLvl w:val="0"/>
        <w:rPr>
          <w:b/>
          <w:vanish/>
        </w:rPr>
      </w:pPr>
    </w:p>
    <w:p w14:paraId="5700D2BF" w14:textId="77777777" w:rsidR="000424BD" w:rsidRDefault="000424BD" w:rsidP="000424BD">
      <w:pPr>
        <w:pStyle w:val="ListParagraph"/>
        <w:numPr>
          <w:ilvl w:val="0"/>
          <w:numId w:val="0"/>
        </w:numPr>
        <w:spacing w:before="240"/>
        <w:ind w:left="567"/>
        <w:contextualSpacing w:val="0"/>
        <w:outlineLvl w:val="0"/>
        <w:rPr>
          <w:b/>
          <w:vanish/>
        </w:rPr>
      </w:pPr>
    </w:p>
    <w:p w14:paraId="5700D2C0" w14:textId="77777777" w:rsidR="00CE34AC" w:rsidRDefault="00CE34AC">
      <w:pPr>
        <w:spacing w:before="0" w:after="200" w:line="276" w:lineRule="auto"/>
        <w:rPr>
          <w:rFonts w:eastAsia="Cambria" w:cs="Times New Roman"/>
          <w:b/>
          <w:szCs w:val="24"/>
        </w:rPr>
      </w:pPr>
      <w:r>
        <w:br w:type="page"/>
      </w:r>
    </w:p>
    <w:p w14:paraId="5700D2C1" w14:textId="77777777" w:rsidR="000424BD" w:rsidRPr="000424BD" w:rsidRDefault="000424BD" w:rsidP="000424BD">
      <w:pPr>
        <w:pStyle w:val="Heading1"/>
        <w:numPr>
          <w:ilvl w:val="0"/>
          <w:numId w:val="19"/>
        </w:numPr>
      </w:pPr>
      <w:r>
        <w:lastRenderedPageBreak/>
        <w:t>Supplementary Figures and Tables</w:t>
      </w:r>
    </w:p>
    <w:p w14:paraId="5700D2C2" w14:textId="77777777" w:rsidR="00A61BAD" w:rsidRDefault="000424BD" w:rsidP="004E1831">
      <w:pPr>
        <w:pStyle w:val="Heading2"/>
        <w:numPr>
          <w:ilvl w:val="1"/>
          <w:numId w:val="19"/>
        </w:numPr>
      </w:pPr>
      <w:r>
        <w:t>Supplementary Figures</w:t>
      </w:r>
    </w:p>
    <w:p w14:paraId="5700D2C3" w14:textId="77777777" w:rsidR="004E1831" w:rsidRDefault="004E1831" w:rsidP="004E1831">
      <w:pPr>
        <w:jc w:val="center"/>
      </w:pPr>
      <w:r>
        <w:rPr>
          <w:rFonts w:cs="Times New Roman"/>
          <w:noProof/>
          <w:szCs w:val="24"/>
          <w:lang w:val="fr-CH" w:eastAsia="fr-CH"/>
        </w:rPr>
        <w:drawing>
          <wp:inline distT="0" distB="0" distL="0" distR="0" wp14:anchorId="5700D35E" wp14:editId="5700D35F">
            <wp:extent cx="4736592" cy="264871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elation of Females_ total dietary folates - folate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6592" cy="2648712"/>
                    </a:xfrm>
                    <a:prstGeom prst="rect">
                      <a:avLst/>
                    </a:prstGeom>
                  </pic:spPr>
                </pic:pic>
              </a:graphicData>
            </a:graphic>
          </wp:inline>
        </w:drawing>
      </w:r>
    </w:p>
    <w:p w14:paraId="5700D2C4" w14:textId="77777777" w:rsidR="007679F1" w:rsidRPr="00C957AA" w:rsidRDefault="004E1831" w:rsidP="004E1831">
      <w:pPr>
        <w:keepNext/>
        <w:rPr>
          <w:rFonts w:eastAsia="Calibri"/>
          <w:szCs w:val="24"/>
        </w:rPr>
      </w:pPr>
      <w:r>
        <w:rPr>
          <w:rFonts w:cs="Times New Roman"/>
          <w:b/>
          <w:szCs w:val="24"/>
        </w:rPr>
        <w:t>Supplementary Figure 1</w:t>
      </w:r>
      <w:r w:rsidRPr="00C957AA">
        <w:rPr>
          <w:rFonts w:eastAsia="Calibri"/>
          <w:b/>
          <w:szCs w:val="24"/>
        </w:rPr>
        <w:t xml:space="preserve">: Correlation of </w:t>
      </w:r>
      <w:r>
        <w:rPr>
          <w:rFonts w:eastAsia="Calibri"/>
          <w:b/>
          <w:szCs w:val="24"/>
        </w:rPr>
        <w:t>dietary folic acid and corresponding blood concentration in females.</w:t>
      </w:r>
      <w:r w:rsidRPr="00C957AA">
        <w:rPr>
          <w:rFonts w:eastAsia="Calibri"/>
          <w:b/>
          <w:szCs w:val="24"/>
        </w:rPr>
        <w:t xml:space="preserve"> </w:t>
      </w:r>
      <w:r w:rsidRPr="00C957AA">
        <w:rPr>
          <w:rFonts w:eastAsia="Calibri"/>
          <w:szCs w:val="24"/>
        </w:rPr>
        <w:t>Pearson correlation (r) as well as two-tailed p value are shown</w:t>
      </w:r>
      <w:r w:rsidRPr="00DF7141">
        <w:rPr>
          <w:rFonts w:eastAsia="Calibri"/>
          <w:szCs w:val="24"/>
        </w:rPr>
        <w:t xml:space="preserve"> </w:t>
      </w:r>
      <w:r w:rsidRPr="000424BD">
        <w:rPr>
          <w:rFonts w:eastAsia="Calibri"/>
          <w:szCs w:val="24"/>
        </w:rPr>
        <w:t>for f</w:t>
      </w:r>
      <w:r>
        <w:rPr>
          <w:rFonts w:eastAsia="Calibri"/>
          <w:szCs w:val="24"/>
        </w:rPr>
        <w:t>emales (N=93)</w:t>
      </w:r>
      <w:r w:rsidRPr="00C957AA">
        <w:rPr>
          <w:rFonts w:eastAsia="Calibri"/>
          <w:szCs w:val="24"/>
        </w:rPr>
        <w:t>. Red dotted lines show 95% confidence interval.</w:t>
      </w:r>
    </w:p>
    <w:p w14:paraId="5700D2C5" w14:textId="77777777" w:rsidR="004E1831" w:rsidRDefault="004E1831" w:rsidP="004E1831">
      <w:r>
        <w:rPr>
          <w:rFonts w:cs="Times New Roman"/>
          <w:noProof/>
          <w:szCs w:val="24"/>
          <w:lang w:val="fr-CH" w:eastAsia="fr-CH"/>
        </w:rPr>
        <w:drawing>
          <wp:inline distT="0" distB="0" distL="0" distR="0" wp14:anchorId="5700D360" wp14:editId="5700D361">
            <wp:extent cx="6208395" cy="247015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8 ne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395" cy="2470150"/>
                    </a:xfrm>
                    <a:prstGeom prst="rect">
                      <a:avLst/>
                    </a:prstGeom>
                  </pic:spPr>
                </pic:pic>
              </a:graphicData>
            </a:graphic>
          </wp:inline>
        </w:drawing>
      </w:r>
    </w:p>
    <w:p w14:paraId="5700D2C6" w14:textId="77777777" w:rsidR="004E1831" w:rsidRDefault="004E1831" w:rsidP="004E1831">
      <w:pPr>
        <w:keepNext/>
        <w:rPr>
          <w:rFonts w:eastAsia="Calibri"/>
          <w:szCs w:val="24"/>
        </w:rPr>
      </w:pPr>
      <w:r>
        <w:rPr>
          <w:rFonts w:cs="Times New Roman"/>
          <w:b/>
          <w:szCs w:val="24"/>
        </w:rPr>
        <w:t>Supplementary Figure 2</w:t>
      </w:r>
      <w:r w:rsidRPr="00C957AA">
        <w:rPr>
          <w:rFonts w:eastAsia="Calibri"/>
          <w:b/>
          <w:szCs w:val="24"/>
        </w:rPr>
        <w:t>: Correlation of homocysteine and folate in the study population.</w:t>
      </w:r>
      <w:r w:rsidRPr="00C957AA">
        <w:rPr>
          <w:rFonts w:eastAsia="Calibri"/>
          <w:szCs w:val="24"/>
        </w:rPr>
        <w:t xml:space="preserve"> Pearson correlation (r) as well as two-tailed p value are shown. </w:t>
      </w:r>
      <w:r w:rsidRPr="000424BD">
        <w:rPr>
          <w:rFonts w:eastAsia="Calibri"/>
          <w:b/>
          <w:szCs w:val="24"/>
        </w:rPr>
        <w:t xml:space="preserve">(A) </w:t>
      </w:r>
      <w:r w:rsidRPr="000424BD">
        <w:rPr>
          <w:rFonts w:eastAsia="Calibri"/>
          <w:szCs w:val="24"/>
        </w:rPr>
        <w:t>Correlation of homocysteine and folate for f</w:t>
      </w:r>
      <w:r>
        <w:rPr>
          <w:rFonts w:eastAsia="Calibri"/>
          <w:szCs w:val="24"/>
        </w:rPr>
        <w:t xml:space="preserve">emales (N=93) and </w:t>
      </w:r>
      <w:r w:rsidRPr="000424BD">
        <w:rPr>
          <w:rFonts w:eastAsia="Calibri"/>
          <w:b/>
          <w:szCs w:val="24"/>
        </w:rPr>
        <w:t>(B)</w:t>
      </w:r>
      <w:r>
        <w:rPr>
          <w:rFonts w:eastAsia="Calibri"/>
          <w:szCs w:val="24"/>
        </w:rPr>
        <w:t xml:space="preserve"> </w:t>
      </w:r>
      <w:r w:rsidRPr="000424BD">
        <w:rPr>
          <w:rFonts w:eastAsia="Calibri"/>
          <w:szCs w:val="24"/>
        </w:rPr>
        <w:t xml:space="preserve">Correlation of homocysteine and folate for </w:t>
      </w:r>
      <w:r>
        <w:rPr>
          <w:rFonts w:eastAsia="Calibri"/>
          <w:szCs w:val="24"/>
        </w:rPr>
        <w:t>males (</w:t>
      </w:r>
      <w:r w:rsidRPr="000424BD">
        <w:rPr>
          <w:rFonts w:eastAsia="Calibri"/>
          <w:szCs w:val="24"/>
        </w:rPr>
        <w:t>N=83</w:t>
      </w:r>
      <w:r>
        <w:rPr>
          <w:rFonts w:eastAsia="Calibri"/>
          <w:szCs w:val="24"/>
        </w:rPr>
        <w:t xml:space="preserve">); </w:t>
      </w:r>
      <w:r w:rsidRPr="00C957AA">
        <w:rPr>
          <w:rFonts w:eastAsia="Calibri"/>
          <w:szCs w:val="24"/>
        </w:rPr>
        <w:t>each dot represents an individual sample. Red dotted lines show 95% confidence interval.</w:t>
      </w:r>
    </w:p>
    <w:p w14:paraId="5700D2C7" w14:textId="77777777" w:rsidR="00CE34AC" w:rsidRPr="00C957AA" w:rsidRDefault="00CE34AC" w:rsidP="004E1831">
      <w:pPr>
        <w:keepNext/>
        <w:rPr>
          <w:rFonts w:eastAsia="Calibri"/>
          <w:szCs w:val="24"/>
        </w:rPr>
      </w:pPr>
    </w:p>
    <w:p w14:paraId="5700D2C8" w14:textId="77777777" w:rsidR="00CE34AC" w:rsidRDefault="00CE34AC">
      <w:pPr>
        <w:spacing w:before="0" w:after="200" w:line="276" w:lineRule="auto"/>
      </w:pPr>
      <w:r>
        <w:br w:type="page"/>
      </w:r>
    </w:p>
    <w:p w14:paraId="5700D2C9" w14:textId="77777777" w:rsidR="00597CD3" w:rsidRPr="004E1831" w:rsidRDefault="00597CD3" w:rsidP="004E1831">
      <w:pPr>
        <w:pStyle w:val="Heading2"/>
        <w:numPr>
          <w:ilvl w:val="1"/>
          <w:numId w:val="19"/>
        </w:numPr>
      </w:pPr>
      <w:r>
        <w:lastRenderedPageBreak/>
        <w:t>Supplementary Tables</w:t>
      </w:r>
    </w:p>
    <w:p w14:paraId="5700D2CA" w14:textId="77777777" w:rsidR="00597CD3" w:rsidRPr="00B06AD0" w:rsidRDefault="001B1FA1" w:rsidP="00597CD3">
      <w:r>
        <w:rPr>
          <w:rFonts w:cs="Times New Roman"/>
          <w:b/>
          <w:szCs w:val="24"/>
        </w:rPr>
        <w:t>Supplementary</w:t>
      </w:r>
      <w:r w:rsidRPr="00B06AD0">
        <w:rPr>
          <w:b/>
        </w:rPr>
        <w:t xml:space="preserve"> </w:t>
      </w:r>
      <w:r>
        <w:rPr>
          <w:b/>
        </w:rPr>
        <w:t>Table 1</w:t>
      </w:r>
      <w:r w:rsidR="00597CD3" w:rsidRPr="00B06AD0">
        <w:rPr>
          <w:b/>
        </w:rPr>
        <w:t>)</w:t>
      </w:r>
      <w:r w:rsidR="00597CD3" w:rsidRPr="00B06AD0">
        <w:t xml:space="preserve"> Comparison of mean daily dietary intake (normalized on body weight) of each food group between men and women. </w:t>
      </w:r>
    </w:p>
    <w:tbl>
      <w:tblPr>
        <w:tblStyle w:val="TableGrid"/>
        <w:tblW w:w="4305" w:type="pct"/>
        <w:jc w:val="center"/>
        <w:tblLayout w:type="fixed"/>
        <w:tblLook w:val="04A0" w:firstRow="1" w:lastRow="0" w:firstColumn="1" w:lastColumn="0" w:noHBand="0" w:noVBand="1"/>
      </w:tblPr>
      <w:tblGrid>
        <w:gridCol w:w="3368"/>
        <w:gridCol w:w="1043"/>
        <w:gridCol w:w="1049"/>
        <w:gridCol w:w="954"/>
        <w:gridCol w:w="1009"/>
        <w:gridCol w:w="986"/>
      </w:tblGrid>
      <w:tr w:rsidR="001739D5" w:rsidRPr="004E1831" w14:paraId="5700D2CE" w14:textId="77777777" w:rsidTr="001739D5">
        <w:trPr>
          <w:trHeight w:val="315"/>
          <w:jc w:val="center"/>
        </w:trPr>
        <w:tc>
          <w:tcPr>
            <w:tcW w:w="2003" w:type="pct"/>
            <w:tcBorders>
              <w:top w:val="nil"/>
              <w:left w:val="single" w:sz="4" w:space="0" w:color="FFFFFF" w:themeColor="background1"/>
              <w:bottom w:val="single" w:sz="4" w:space="0" w:color="FFFFFF" w:themeColor="background1"/>
              <w:right w:val="single" w:sz="4" w:space="0" w:color="auto"/>
            </w:tcBorders>
          </w:tcPr>
          <w:p w14:paraId="5700D2CB" w14:textId="77777777" w:rsidR="001739D5" w:rsidRPr="004E1831" w:rsidRDefault="001739D5" w:rsidP="00580E51">
            <w:pPr>
              <w:spacing w:before="0" w:after="0"/>
              <w:rPr>
                <w:rFonts w:cs="Times New Roman"/>
                <w:sz w:val="18"/>
                <w:szCs w:val="18"/>
              </w:rPr>
            </w:pPr>
          </w:p>
          <w:p w14:paraId="5700D2CC" w14:textId="77777777" w:rsidR="001739D5" w:rsidRPr="004E1831" w:rsidRDefault="001739D5" w:rsidP="00580E51">
            <w:pPr>
              <w:spacing w:before="0" w:after="0"/>
              <w:rPr>
                <w:rFonts w:cs="Times New Roman"/>
                <w:sz w:val="18"/>
                <w:szCs w:val="18"/>
              </w:rPr>
            </w:pPr>
          </w:p>
        </w:tc>
        <w:tc>
          <w:tcPr>
            <w:tcW w:w="2997" w:type="pct"/>
            <w:gridSpan w:val="5"/>
            <w:tcBorders>
              <w:left w:val="single" w:sz="4" w:space="0" w:color="auto"/>
              <w:right w:val="single" w:sz="4" w:space="0" w:color="auto"/>
            </w:tcBorders>
            <w:vAlign w:val="center"/>
          </w:tcPr>
          <w:p w14:paraId="5700D2CD"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Values normalized on body weight</w:t>
            </w:r>
          </w:p>
        </w:tc>
      </w:tr>
      <w:tr w:rsidR="001739D5" w:rsidRPr="004E1831" w14:paraId="5700D2D5" w14:textId="77777777" w:rsidTr="001739D5">
        <w:trPr>
          <w:trHeight w:val="407"/>
          <w:jc w:val="center"/>
        </w:trPr>
        <w:tc>
          <w:tcPr>
            <w:tcW w:w="2003" w:type="pct"/>
            <w:tcBorders>
              <w:top w:val="single" w:sz="4" w:space="0" w:color="auto"/>
              <w:left w:val="single" w:sz="4" w:space="0" w:color="auto"/>
              <w:bottom w:val="single" w:sz="4" w:space="0" w:color="FFFFFF" w:themeColor="background1"/>
              <w:right w:val="single" w:sz="4" w:space="0" w:color="auto"/>
            </w:tcBorders>
          </w:tcPr>
          <w:p w14:paraId="5700D2CF" w14:textId="77777777" w:rsidR="001739D5" w:rsidRPr="004E1831" w:rsidRDefault="001739D5" w:rsidP="00580E51">
            <w:pPr>
              <w:spacing w:before="0" w:after="0"/>
              <w:rPr>
                <w:rFonts w:cs="Times New Roman"/>
                <w:sz w:val="18"/>
                <w:szCs w:val="18"/>
              </w:rPr>
            </w:pPr>
          </w:p>
        </w:tc>
        <w:tc>
          <w:tcPr>
            <w:tcW w:w="1244" w:type="pct"/>
            <w:gridSpan w:val="2"/>
            <w:tcBorders>
              <w:left w:val="single" w:sz="4" w:space="0" w:color="auto"/>
              <w:right w:val="single" w:sz="4" w:space="0" w:color="FFFFFF" w:themeColor="background1"/>
            </w:tcBorders>
          </w:tcPr>
          <w:p w14:paraId="5700D2D0" w14:textId="28932FF4" w:rsidR="001739D5" w:rsidRPr="004E1831" w:rsidRDefault="001739D5" w:rsidP="00580E51">
            <w:pPr>
              <w:spacing w:before="0" w:after="0"/>
              <w:jc w:val="center"/>
              <w:rPr>
                <w:rFonts w:cs="Times New Roman"/>
                <w:b/>
                <w:sz w:val="18"/>
                <w:szCs w:val="18"/>
              </w:rPr>
            </w:pPr>
            <w:r w:rsidRPr="004E1831">
              <w:rPr>
                <w:rFonts w:cs="Times New Roman"/>
                <w:b/>
                <w:sz w:val="18"/>
                <w:szCs w:val="18"/>
              </w:rPr>
              <w:t>Male</w:t>
            </w:r>
            <w:r w:rsidR="003C30E3">
              <w:rPr>
                <w:rFonts w:cs="Times New Roman"/>
                <w:b/>
                <w:sz w:val="18"/>
                <w:szCs w:val="18"/>
              </w:rPr>
              <w:t>s</w:t>
            </w:r>
          </w:p>
          <w:p w14:paraId="5700D2D1"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(n = 83)</w:t>
            </w:r>
          </w:p>
        </w:tc>
        <w:tc>
          <w:tcPr>
            <w:tcW w:w="1167" w:type="pct"/>
            <w:gridSpan w:val="2"/>
            <w:tcBorders>
              <w:left w:val="single" w:sz="4" w:space="0" w:color="FFFFFF" w:themeColor="background1"/>
              <w:right w:val="nil"/>
            </w:tcBorders>
          </w:tcPr>
          <w:p w14:paraId="5700D2D2" w14:textId="1FD278BF" w:rsidR="001739D5" w:rsidRPr="004E1831" w:rsidRDefault="001739D5" w:rsidP="00580E51">
            <w:pPr>
              <w:spacing w:before="0" w:after="0"/>
              <w:jc w:val="center"/>
              <w:rPr>
                <w:rFonts w:cs="Times New Roman"/>
                <w:b/>
                <w:sz w:val="18"/>
                <w:szCs w:val="18"/>
              </w:rPr>
            </w:pPr>
            <w:r w:rsidRPr="004E1831">
              <w:rPr>
                <w:rFonts w:cs="Times New Roman"/>
                <w:b/>
                <w:sz w:val="18"/>
                <w:szCs w:val="18"/>
              </w:rPr>
              <w:t>Femal</w:t>
            </w:r>
            <w:r w:rsidR="003C30E3">
              <w:rPr>
                <w:rFonts w:cs="Times New Roman"/>
                <w:b/>
                <w:sz w:val="18"/>
                <w:szCs w:val="18"/>
              </w:rPr>
              <w:t>es</w:t>
            </w:r>
          </w:p>
          <w:p w14:paraId="5700D2D3"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(n = 93)</w:t>
            </w:r>
          </w:p>
        </w:tc>
        <w:tc>
          <w:tcPr>
            <w:tcW w:w="585" w:type="pct"/>
            <w:tcBorders>
              <w:left w:val="single" w:sz="4" w:space="0" w:color="FFFFFF" w:themeColor="background1"/>
              <w:right w:val="single" w:sz="4" w:space="0" w:color="auto"/>
            </w:tcBorders>
          </w:tcPr>
          <w:p w14:paraId="5700D2D4" w14:textId="77777777" w:rsidR="001739D5" w:rsidRPr="004E1831" w:rsidRDefault="001739D5" w:rsidP="00580E51">
            <w:pPr>
              <w:spacing w:before="0" w:after="0"/>
              <w:jc w:val="center"/>
              <w:rPr>
                <w:rFonts w:cs="Times New Roman"/>
                <w:b/>
                <w:sz w:val="18"/>
                <w:szCs w:val="18"/>
                <w:highlight w:val="yellow"/>
              </w:rPr>
            </w:pPr>
          </w:p>
        </w:tc>
      </w:tr>
      <w:tr w:rsidR="001739D5" w:rsidRPr="004E1831" w14:paraId="5700D2DC" w14:textId="77777777" w:rsidTr="001739D5">
        <w:trPr>
          <w:trHeight w:val="407"/>
          <w:jc w:val="center"/>
        </w:trPr>
        <w:tc>
          <w:tcPr>
            <w:tcW w:w="2003" w:type="pct"/>
            <w:tcBorders>
              <w:top w:val="single" w:sz="4" w:space="0" w:color="FFFFFF" w:themeColor="background1"/>
              <w:left w:val="single" w:sz="4" w:space="0" w:color="auto"/>
              <w:right w:val="single" w:sz="4" w:space="0" w:color="auto"/>
            </w:tcBorders>
          </w:tcPr>
          <w:p w14:paraId="5700D2D6" w14:textId="77777777" w:rsidR="001739D5" w:rsidRPr="004E1831" w:rsidRDefault="001739D5" w:rsidP="00580E51">
            <w:pPr>
              <w:spacing w:before="0" w:after="0"/>
              <w:rPr>
                <w:rFonts w:cs="Times New Roman"/>
                <w:b/>
                <w:sz w:val="18"/>
                <w:szCs w:val="18"/>
              </w:rPr>
            </w:pPr>
            <w:r w:rsidRPr="004E1831">
              <w:rPr>
                <w:rFonts w:cs="Times New Roman"/>
                <w:b/>
                <w:sz w:val="18"/>
                <w:szCs w:val="18"/>
              </w:rPr>
              <w:t>Food groups</w:t>
            </w:r>
          </w:p>
        </w:tc>
        <w:tc>
          <w:tcPr>
            <w:tcW w:w="620" w:type="pct"/>
            <w:tcBorders>
              <w:left w:val="single" w:sz="4" w:space="0" w:color="auto"/>
              <w:right w:val="single" w:sz="4" w:space="0" w:color="FFFFFF" w:themeColor="background1"/>
            </w:tcBorders>
          </w:tcPr>
          <w:p w14:paraId="5700D2D7" w14:textId="39F3B375" w:rsidR="001739D5" w:rsidRPr="004E1831" w:rsidRDefault="001739D5" w:rsidP="00580E51">
            <w:pPr>
              <w:spacing w:before="0" w:after="0"/>
              <w:jc w:val="center"/>
              <w:rPr>
                <w:rFonts w:cs="Times New Roman"/>
                <w:b/>
                <w:sz w:val="18"/>
                <w:szCs w:val="18"/>
              </w:rPr>
            </w:pPr>
            <w:r w:rsidRPr="004E1831">
              <w:rPr>
                <w:rFonts w:cs="Times New Roman"/>
                <w:b/>
                <w:sz w:val="18"/>
                <w:szCs w:val="18"/>
              </w:rPr>
              <w:t>Mean</w:t>
            </w:r>
            <w:r w:rsidR="00BB488B">
              <w:rPr>
                <w:rFonts w:cs="Times New Roman"/>
                <w:b/>
                <w:sz w:val="18"/>
                <w:szCs w:val="18"/>
                <w:vertAlign w:val="superscript"/>
              </w:rPr>
              <w:t>a</w:t>
            </w:r>
          </w:p>
        </w:tc>
        <w:tc>
          <w:tcPr>
            <w:tcW w:w="624" w:type="pct"/>
            <w:tcBorders>
              <w:left w:val="single" w:sz="4" w:space="0" w:color="FFFFFF" w:themeColor="background1"/>
              <w:right w:val="single" w:sz="4" w:space="0" w:color="FFFFFF" w:themeColor="background1"/>
            </w:tcBorders>
          </w:tcPr>
          <w:p w14:paraId="5700D2D8"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S.D.</w:t>
            </w:r>
          </w:p>
        </w:tc>
        <w:tc>
          <w:tcPr>
            <w:tcW w:w="567" w:type="pct"/>
            <w:tcBorders>
              <w:left w:val="single" w:sz="4" w:space="0" w:color="FFFFFF" w:themeColor="background1"/>
              <w:right w:val="single" w:sz="4" w:space="0" w:color="FFFFFF" w:themeColor="background1"/>
            </w:tcBorders>
          </w:tcPr>
          <w:p w14:paraId="5700D2D9" w14:textId="22C0D7AE" w:rsidR="001739D5" w:rsidRPr="004E1831" w:rsidRDefault="001739D5" w:rsidP="00580E51">
            <w:pPr>
              <w:spacing w:before="0" w:after="0"/>
              <w:jc w:val="center"/>
              <w:rPr>
                <w:rFonts w:cs="Times New Roman"/>
                <w:b/>
                <w:sz w:val="18"/>
                <w:szCs w:val="18"/>
              </w:rPr>
            </w:pPr>
            <w:r w:rsidRPr="004E1831">
              <w:rPr>
                <w:rFonts w:cs="Times New Roman"/>
                <w:b/>
                <w:sz w:val="18"/>
                <w:szCs w:val="18"/>
              </w:rPr>
              <w:t>Mean</w:t>
            </w:r>
            <w:r w:rsidR="00BB488B">
              <w:rPr>
                <w:rFonts w:cs="Times New Roman"/>
                <w:b/>
                <w:sz w:val="18"/>
                <w:szCs w:val="18"/>
                <w:vertAlign w:val="superscript"/>
              </w:rPr>
              <w:t>a</w:t>
            </w:r>
          </w:p>
        </w:tc>
        <w:tc>
          <w:tcPr>
            <w:tcW w:w="599" w:type="pct"/>
            <w:tcBorders>
              <w:left w:val="single" w:sz="4" w:space="0" w:color="FFFFFF" w:themeColor="background1"/>
              <w:right w:val="single" w:sz="4" w:space="0" w:color="FFFFFF" w:themeColor="background1"/>
            </w:tcBorders>
          </w:tcPr>
          <w:p w14:paraId="5700D2DA"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S.D.</w:t>
            </w:r>
          </w:p>
        </w:tc>
        <w:tc>
          <w:tcPr>
            <w:tcW w:w="585" w:type="pct"/>
            <w:tcBorders>
              <w:top w:val="single" w:sz="4" w:space="0" w:color="FFFFFF" w:themeColor="background1"/>
              <w:left w:val="single" w:sz="4" w:space="0" w:color="FFFFFF" w:themeColor="background1"/>
              <w:right w:val="single" w:sz="4" w:space="0" w:color="auto"/>
            </w:tcBorders>
          </w:tcPr>
          <w:p w14:paraId="5700D2DB" w14:textId="77777777" w:rsidR="001739D5" w:rsidRPr="004E1831" w:rsidRDefault="001739D5" w:rsidP="00580E51">
            <w:pPr>
              <w:spacing w:before="0" w:after="0"/>
              <w:jc w:val="center"/>
              <w:rPr>
                <w:rFonts w:cs="Times New Roman"/>
                <w:b/>
                <w:sz w:val="18"/>
                <w:szCs w:val="18"/>
              </w:rPr>
            </w:pPr>
            <w:r w:rsidRPr="004E1831">
              <w:rPr>
                <w:rFonts w:cs="Times New Roman"/>
                <w:b/>
                <w:sz w:val="18"/>
                <w:szCs w:val="18"/>
              </w:rPr>
              <w:t>p</w:t>
            </w:r>
            <w:r w:rsidRPr="004E1831">
              <w:rPr>
                <w:rFonts w:cs="Times New Roman"/>
                <w:b/>
                <w:sz w:val="18"/>
                <w:szCs w:val="18"/>
                <w:vertAlign w:val="superscript"/>
              </w:rPr>
              <w:t>b</w:t>
            </w:r>
          </w:p>
        </w:tc>
      </w:tr>
      <w:tr w:rsidR="001739D5" w:rsidRPr="004E1831" w14:paraId="5700D2E3" w14:textId="77777777" w:rsidTr="001739D5">
        <w:trPr>
          <w:trHeight w:val="407"/>
          <w:jc w:val="center"/>
        </w:trPr>
        <w:tc>
          <w:tcPr>
            <w:tcW w:w="2003" w:type="pct"/>
            <w:tcBorders>
              <w:left w:val="single" w:sz="4" w:space="0" w:color="auto"/>
              <w:bottom w:val="single" w:sz="4" w:space="0" w:color="FFFFFF" w:themeColor="background1"/>
              <w:right w:val="single" w:sz="4" w:space="0" w:color="auto"/>
            </w:tcBorders>
            <w:vAlign w:val="center"/>
          </w:tcPr>
          <w:p w14:paraId="5700D2DD" w14:textId="77777777" w:rsidR="001739D5" w:rsidRPr="004E1831" w:rsidRDefault="001739D5" w:rsidP="00580E51">
            <w:pPr>
              <w:spacing w:before="0" w:after="0"/>
              <w:rPr>
                <w:rFonts w:cs="Times New Roman"/>
                <w:b/>
                <w:sz w:val="18"/>
                <w:szCs w:val="18"/>
              </w:rPr>
            </w:pPr>
            <w:r w:rsidRPr="004E1831">
              <w:rPr>
                <w:rFonts w:cs="Times New Roman"/>
                <w:b/>
                <w:sz w:val="18"/>
                <w:szCs w:val="18"/>
              </w:rPr>
              <w:t>White grains</w:t>
            </w:r>
          </w:p>
        </w:tc>
        <w:tc>
          <w:tcPr>
            <w:tcW w:w="620" w:type="pct"/>
            <w:tcBorders>
              <w:left w:val="single" w:sz="4" w:space="0" w:color="auto"/>
              <w:bottom w:val="single" w:sz="4" w:space="0" w:color="FFFFFF" w:themeColor="background1"/>
              <w:right w:val="single" w:sz="4" w:space="0" w:color="FFFFFF" w:themeColor="background1"/>
            </w:tcBorders>
            <w:vAlign w:val="center"/>
          </w:tcPr>
          <w:p w14:paraId="5700D2DE"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1.9</w:t>
            </w:r>
          </w:p>
        </w:tc>
        <w:tc>
          <w:tcPr>
            <w:tcW w:w="624" w:type="pct"/>
            <w:tcBorders>
              <w:left w:val="single" w:sz="4" w:space="0" w:color="FFFFFF" w:themeColor="background1"/>
              <w:bottom w:val="single" w:sz="4" w:space="0" w:color="FFFFFF" w:themeColor="background1"/>
              <w:right w:val="single" w:sz="4" w:space="0" w:color="FFFFFF" w:themeColor="background1"/>
            </w:tcBorders>
            <w:vAlign w:val="center"/>
          </w:tcPr>
          <w:p w14:paraId="5700D2DF"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0.8</w:t>
            </w:r>
          </w:p>
        </w:tc>
        <w:tc>
          <w:tcPr>
            <w:tcW w:w="567" w:type="pct"/>
            <w:tcBorders>
              <w:left w:val="single" w:sz="4" w:space="0" w:color="FFFFFF" w:themeColor="background1"/>
              <w:bottom w:val="single" w:sz="4" w:space="0" w:color="FFFFFF" w:themeColor="background1"/>
              <w:right w:val="single" w:sz="4" w:space="0" w:color="FFFFFF" w:themeColor="background1"/>
            </w:tcBorders>
            <w:vAlign w:val="center"/>
          </w:tcPr>
          <w:p w14:paraId="5700D2E0"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1.7</w:t>
            </w:r>
          </w:p>
        </w:tc>
        <w:tc>
          <w:tcPr>
            <w:tcW w:w="599" w:type="pct"/>
            <w:tcBorders>
              <w:left w:val="single" w:sz="4" w:space="0" w:color="FFFFFF" w:themeColor="background1"/>
              <w:bottom w:val="single" w:sz="4" w:space="0" w:color="FFFFFF" w:themeColor="background1"/>
              <w:right w:val="single" w:sz="4" w:space="0" w:color="FFFFFF" w:themeColor="background1"/>
            </w:tcBorders>
            <w:vAlign w:val="center"/>
          </w:tcPr>
          <w:p w14:paraId="5700D2E1"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0.9</w:t>
            </w:r>
          </w:p>
        </w:tc>
        <w:tc>
          <w:tcPr>
            <w:tcW w:w="585" w:type="pct"/>
            <w:tcBorders>
              <w:left w:val="single" w:sz="4" w:space="0" w:color="FFFFFF" w:themeColor="background1"/>
              <w:bottom w:val="single" w:sz="4" w:space="0" w:color="FFFFFF" w:themeColor="background1"/>
              <w:right w:val="single" w:sz="4" w:space="0" w:color="auto"/>
            </w:tcBorders>
            <w:vAlign w:val="center"/>
          </w:tcPr>
          <w:p w14:paraId="5700D2E2"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4.02e-02</w:t>
            </w:r>
          </w:p>
        </w:tc>
      </w:tr>
      <w:tr w:rsidR="001739D5" w:rsidRPr="004E1831" w14:paraId="5700D2EA"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2E4" w14:textId="77777777" w:rsidR="001739D5" w:rsidRPr="004E1831" w:rsidRDefault="001739D5" w:rsidP="00580E51">
            <w:pPr>
              <w:spacing w:before="0" w:after="0"/>
              <w:rPr>
                <w:rFonts w:cs="Times New Roman"/>
                <w:b/>
                <w:sz w:val="18"/>
                <w:szCs w:val="18"/>
              </w:rPr>
            </w:pPr>
            <w:r w:rsidRPr="004E1831">
              <w:rPr>
                <w:rFonts w:cs="Times New Roman"/>
                <w:b/>
                <w:sz w:val="18"/>
                <w:szCs w:val="18"/>
              </w:rPr>
              <w:t>Whole grains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2E5"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0.4</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6"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0.6</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7"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0.4</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8"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0.7</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2E9"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bookmarkStart w:id="0" w:name="_GoBack"/>
        <w:bookmarkEnd w:id="0"/>
      </w:tr>
      <w:tr w:rsidR="001739D5" w:rsidRPr="004E1831" w14:paraId="5700D2F1"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2EB" w14:textId="77777777" w:rsidR="001739D5" w:rsidRPr="004E1831" w:rsidRDefault="001739D5" w:rsidP="00580E51">
            <w:pPr>
              <w:spacing w:before="0" w:after="0"/>
              <w:rPr>
                <w:rFonts w:cs="Times New Roman"/>
                <w:b/>
                <w:sz w:val="18"/>
                <w:szCs w:val="18"/>
              </w:rPr>
            </w:pPr>
            <w:r w:rsidRPr="004E1831">
              <w:rPr>
                <w:rFonts w:cs="Times New Roman"/>
                <w:b/>
                <w:sz w:val="18"/>
                <w:szCs w:val="18"/>
              </w:rPr>
              <w:t>Fruit</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2EC"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3.9</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D"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2.5</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E"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4.2</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EF"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2.3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2F0"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2F8"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2F2" w14:textId="77777777" w:rsidR="001739D5" w:rsidRPr="004E1831" w:rsidRDefault="001739D5" w:rsidP="00580E51">
            <w:pPr>
              <w:spacing w:before="0" w:after="0"/>
              <w:rPr>
                <w:rFonts w:cs="Times New Roman"/>
                <w:b/>
                <w:sz w:val="18"/>
                <w:szCs w:val="18"/>
              </w:rPr>
            </w:pPr>
            <w:r w:rsidRPr="004E1831">
              <w:rPr>
                <w:rFonts w:cs="Times New Roman"/>
                <w:b/>
                <w:sz w:val="18"/>
                <w:szCs w:val="18"/>
              </w:rPr>
              <w:t>Vegetables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2F3"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2.9</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4"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1.5</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5"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3.3</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6"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1.7</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2F7"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2FF"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2F9" w14:textId="77777777" w:rsidR="001739D5" w:rsidRPr="004E1831" w:rsidRDefault="001739D5" w:rsidP="00580E51">
            <w:pPr>
              <w:spacing w:before="0" w:after="0"/>
              <w:rPr>
                <w:rFonts w:cs="Times New Roman"/>
                <w:b/>
                <w:sz w:val="18"/>
                <w:szCs w:val="18"/>
              </w:rPr>
            </w:pPr>
            <w:r w:rsidRPr="004E1831">
              <w:rPr>
                <w:rFonts w:cs="Times New Roman"/>
                <w:b/>
                <w:sz w:val="18"/>
                <w:szCs w:val="18"/>
              </w:rPr>
              <w:t>Legumes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2FA"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B"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C"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2FD"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2FE"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06"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00" w14:textId="77777777" w:rsidR="001739D5" w:rsidRPr="004E1831" w:rsidRDefault="001739D5" w:rsidP="00580E51">
            <w:pPr>
              <w:spacing w:before="0" w:after="0"/>
              <w:rPr>
                <w:rFonts w:cs="Times New Roman"/>
                <w:b/>
                <w:sz w:val="18"/>
                <w:szCs w:val="18"/>
              </w:rPr>
            </w:pPr>
            <w:r w:rsidRPr="004E1831">
              <w:rPr>
                <w:rFonts w:cs="Times New Roman"/>
                <w:b/>
                <w:sz w:val="18"/>
                <w:szCs w:val="18"/>
              </w:rPr>
              <w:t>Dairy products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01"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2.4</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2"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3.2</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3"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2.5</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4"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1.5</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05"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0D"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07" w14:textId="77777777" w:rsidR="001739D5" w:rsidRPr="004E1831" w:rsidRDefault="001739D5" w:rsidP="00580E51">
            <w:pPr>
              <w:spacing w:before="0" w:after="0"/>
              <w:rPr>
                <w:rFonts w:cs="Times New Roman"/>
                <w:b/>
                <w:sz w:val="18"/>
                <w:szCs w:val="18"/>
              </w:rPr>
            </w:pPr>
            <w:r w:rsidRPr="004E1831">
              <w:rPr>
                <w:rFonts w:cs="Times New Roman"/>
                <w:b/>
                <w:sz w:val="18"/>
                <w:szCs w:val="18"/>
              </w:rPr>
              <w:t>Cheese</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08"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0.4</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9"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A"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0.4</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0B"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0C"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14"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0E" w14:textId="77777777" w:rsidR="001739D5" w:rsidRPr="004E1831" w:rsidRDefault="001739D5" w:rsidP="00580E51">
            <w:pPr>
              <w:spacing w:before="0" w:after="0"/>
              <w:rPr>
                <w:rFonts w:cs="Times New Roman"/>
                <w:b/>
                <w:sz w:val="18"/>
                <w:szCs w:val="18"/>
              </w:rPr>
            </w:pPr>
            <w:r w:rsidRPr="004E1831">
              <w:rPr>
                <w:rFonts w:cs="Times New Roman"/>
                <w:b/>
                <w:sz w:val="18"/>
                <w:szCs w:val="18"/>
              </w:rPr>
              <w:t>Red and processed meat</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0F"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0"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1"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2"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13"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1B"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15" w14:textId="77777777" w:rsidR="001739D5" w:rsidRPr="004E1831" w:rsidRDefault="001739D5" w:rsidP="00580E51">
            <w:pPr>
              <w:spacing w:before="0" w:after="0"/>
              <w:rPr>
                <w:rFonts w:cs="Times New Roman"/>
                <w:b/>
                <w:sz w:val="18"/>
                <w:szCs w:val="18"/>
              </w:rPr>
            </w:pPr>
            <w:r w:rsidRPr="004E1831">
              <w:rPr>
                <w:rFonts w:cs="Times New Roman"/>
                <w:b/>
                <w:sz w:val="18"/>
                <w:szCs w:val="18"/>
              </w:rPr>
              <w:t>White meat</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16"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7"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8"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9"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1A"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22"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1C" w14:textId="77777777" w:rsidR="001739D5" w:rsidRPr="004E1831" w:rsidRDefault="001739D5" w:rsidP="00580E51">
            <w:pPr>
              <w:spacing w:before="0" w:after="0"/>
              <w:rPr>
                <w:rFonts w:cs="Times New Roman"/>
                <w:b/>
                <w:sz w:val="18"/>
                <w:szCs w:val="18"/>
              </w:rPr>
            </w:pPr>
            <w:r w:rsidRPr="004E1831">
              <w:rPr>
                <w:rFonts w:cs="Times New Roman"/>
                <w:b/>
                <w:sz w:val="18"/>
                <w:szCs w:val="18"/>
              </w:rPr>
              <w:t>Nuts and seeds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1D"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E"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1F"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0"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21"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29"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23" w14:textId="77777777" w:rsidR="001739D5" w:rsidRPr="004E1831" w:rsidRDefault="001739D5" w:rsidP="00580E51">
            <w:pPr>
              <w:spacing w:before="0" w:after="0"/>
              <w:rPr>
                <w:rFonts w:cs="Times New Roman"/>
                <w:b/>
                <w:sz w:val="18"/>
                <w:szCs w:val="18"/>
              </w:rPr>
            </w:pPr>
            <w:r w:rsidRPr="004E1831">
              <w:rPr>
                <w:rFonts w:cs="Times New Roman"/>
                <w:b/>
                <w:sz w:val="18"/>
                <w:szCs w:val="18"/>
              </w:rPr>
              <w:t>Potatoes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24"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5"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6"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7"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28"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30"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2A" w14:textId="77777777" w:rsidR="001739D5" w:rsidRPr="004E1831" w:rsidRDefault="001739D5" w:rsidP="00580E51">
            <w:pPr>
              <w:spacing w:before="0" w:after="0"/>
              <w:rPr>
                <w:rFonts w:cs="Times New Roman"/>
                <w:b/>
                <w:sz w:val="18"/>
                <w:szCs w:val="18"/>
              </w:rPr>
            </w:pPr>
            <w:r w:rsidRPr="004E1831">
              <w:rPr>
                <w:rFonts w:cs="Times New Roman"/>
                <w:b/>
                <w:sz w:val="18"/>
                <w:szCs w:val="18"/>
              </w:rPr>
              <w:t>Egg and egg products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2B"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C"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D"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2E"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2F"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37"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31" w14:textId="77777777" w:rsidR="001739D5" w:rsidRPr="004E1831" w:rsidRDefault="001739D5" w:rsidP="00580E51">
            <w:pPr>
              <w:spacing w:before="0" w:after="0"/>
              <w:rPr>
                <w:rFonts w:cs="Times New Roman"/>
                <w:b/>
                <w:sz w:val="18"/>
                <w:szCs w:val="18"/>
              </w:rPr>
            </w:pPr>
            <w:r w:rsidRPr="004E1831">
              <w:rPr>
                <w:rFonts w:cs="Times New Roman"/>
                <w:b/>
                <w:sz w:val="18"/>
                <w:szCs w:val="18"/>
              </w:rPr>
              <w:t>Butter and animal fats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32"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3"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0.02</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4"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5"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0.03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36"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3E"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38" w14:textId="77777777" w:rsidR="001739D5" w:rsidRPr="004E1831" w:rsidRDefault="001739D5" w:rsidP="00580E51">
            <w:pPr>
              <w:spacing w:before="0" w:after="0"/>
              <w:rPr>
                <w:rFonts w:cs="Times New Roman"/>
                <w:b/>
                <w:sz w:val="18"/>
                <w:szCs w:val="18"/>
              </w:rPr>
            </w:pPr>
            <w:r w:rsidRPr="004E1831">
              <w:rPr>
                <w:rFonts w:cs="Times New Roman"/>
                <w:b/>
                <w:sz w:val="18"/>
                <w:szCs w:val="18"/>
              </w:rPr>
              <w:t>Olive oil and other vegetables oils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39"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A"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B"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3C"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3D"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45"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3F" w14:textId="77777777" w:rsidR="001739D5" w:rsidRPr="004E1831" w:rsidRDefault="001739D5" w:rsidP="00580E51">
            <w:pPr>
              <w:spacing w:before="0" w:after="0"/>
              <w:rPr>
                <w:rFonts w:cs="Times New Roman"/>
                <w:b/>
                <w:sz w:val="18"/>
                <w:szCs w:val="18"/>
              </w:rPr>
            </w:pPr>
            <w:r w:rsidRPr="004E1831">
              <w:rPr>
                <w:rFonts w:cs="Times New Roman"/>
                <w:b/>
                <w:sz w:val="18"/>
                <w:szCs w:val="18"/>
              </w:rPr>
              <w:t>Sugar-sweetened beverages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40"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1"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2"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3"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0.3</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44"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4C"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46" w14:textId="77777777" w:rsidR="001739D5" w:rsidRPr="004E1831" w:rsidRDefault="001739D5" w:rsidP="00580E51">
            <w:pPr>
              <w:spacing w:before="0" w:after="0"/>
              <w:rPr>
                <w:rFonts w:cs="Times New Roman"/>
                <w:b/>
                <w:sz w:val="18"/>
                <w:szCs w:val="18"/>
              </w:rPr>
            </w:pPr>
            <w:r w:rsidRPr="004E1831">
              <w:rPr>
                <w:rFonts w:cs="Times New Roman"/>
                <w:b/>
                <w:sz w:val="18"/>
                <w:szCs w:val="18"/>
              </w:rPr>
              <w:t>Sugar, honey and artificial sweeteners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47"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8"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9"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A"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4B"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53" w14:textId="77777777" w:rsidTr="001739D5">
        <w:trPr>
          <w:trHeight w:val="407"/>
          <w:jc w:val="center"/>
        </w:trPr>
        <w:tc>
          <w:tcPr>
            <w:tcW w:w="2003"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700D34D" w14:textId="77777777" w:rsidR="001739D5" w:rsidRPr="004E1831" w:rsidRDefault="001739D5" w:rsidP="00580E51">
            <w:pPr>
              <w:spacing w:before="0" w:after="0"/>
              <w:rPr>
                <w:rFonts w:cs="Times New Roman"/>
                <w:b/>
                <w:sz w:val="18"/>
                <w:szCs w:val="18"/>
              </w:rPr>
            </w:pPr>
            <w:r w:rsidRPr="004E1831">
              <w:rPr>
                <w:rFonts w:cs="Times New Roman"/>
                <w:b/>
                <w:sz w:val="18"/>
                <w:szCs w:val="18"/>
              </w:rPr>
              <w:t>Sweets, chocolates and snacks</w:t>
            </w:r>
          </w:p>
        </w:tc>
        <w:tc>
          <w:tcPr>
            <w:tcW w:w="620" w:type="pct"/>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5700D34E"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0.7</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4F"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0.4</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50"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0.8</w:t>
            </w:r>
          </w:p>
        </w:tc>
        <w:tc>
          <w:tcPr>
            <w:tcW w:w="5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0D351"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0.6</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700D352"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n.s.</w:t>
            </w:r>
          </w:p>
        </w:tc>
      </w:tr>
      <w:tr w:rsidR="001739D5" w:rsidRPr="004E1831" w14:paraId="5700D35A" w14:textId="77777777" w:rsidTr="001739D5">
        <w:trPr>
          <w:trHeight w:val="407"/>
          <w:jc w:val="center"/>
        </w:trPr>
        <w:tc>
          <w:tcPr>
            <w:tcW w:w="2003" w:type="pct"/>
            <w:tcBorders>
              <w:top w:val="single" w:sz="4" w:space="0" w:color="FFFFFF" w:themeColor="background1"/>
              <w:left w:val="single" w:sz="4" w:space="0" w:color="auto"/>
              <w:right w:val="single" w:sz="4" w:space="0" w:color="auto"/>
            </w:tcBorders>
            <w:vAlign w:val="center"/>
          </w:tcPr>
          <w:p w14:paraId="5700D354" w14:textId="77777777" w:rsidR="001739D5" w:rsidRPr="004E1831" w:rsidRDefault="001739D5" w:rsidP="00580E51">
            <w:pPr>
              <w:spacing w:before="0" w:after="0"/>
              <w:rPr>
                <w:rFonts w:cs="Times New Roman"/>
                <w:b/>
                <w:sz w:val="18"/>
                <w:szCs w:val="18"/>
              </w:rPr>
            </w:pPr>
            <w:r w:rsidRPr="004E1831">
              <w:rPr>
                <w:rFonts w:cs="Times New Roman"/>
                <w:b/>
                <w:sz w:val="18"/>
                <w:szCs w:val="18"/>
              </w:rPr>
              <w:t>Alcohol (ethanol)</w:t>
            </w:r>
          </w:p>
        </w:tc>
        <w:tc>
          <w:tcPr>
            <w:tcW w:w="620" w:type="pct"/>
            <w:tcBorders>
              <w:top w:val="single" w:sz="4" w:space="0" w:color="FFFFFF" w:themeColor="background1"/>
              <w:left w:val="single" w:sz="4" w:space="0" w:color="auto"/>
              <w:right w:val="single" w:sz="4" w:space="0" w:color="FFFFFF" w:themeColor="background1"/>
            </w:tcBorders>
            <w:vAlign w:val="center"/>
          </w:tcPr>
          <w:p w14:paraId="5700D355"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0.2</w:t>
            </w:r>
          </w:p>
        </w:tc>
        <w:tc>
          <w:tcPr>
            <w:tcW w:w="624" w:type="pct"/>
            <w:tcBorders>
              <w:top w:val="single" w:sz="4" w:space="0" w:color="FFFFFF" w:themeColor="background1"/>
              <w:left w:val="single" w:sz="4" w:space="0" w:color="FFFFFF" w:themeColor="background1"/>
              <w:right w:val="single" w:sz="4" w:space="0" w:color="FFFFFF" w:themeColor="background1"/>
            </w:tcBorders>
            <w:vAlign w:val="center"/>
          </w:tcPr>
          <w:p w14:paraId="5700D356"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67" w:type="pct"/>
            <w:tcBorders>
              <w:top w:val="single" w:sz="4" w:space="0" w:color="FFFFFF" w:themeColor="background1"/>
              <w:left w:val="single" w:sz="4" w:space="0" w:color="FFFFFF" w:themeColor="background1"/>
              <w:right w:val="single" w:sz="4" w:space="0" w:color="FFFFFF" w:themeColor="background1"/>
            </w:tcBorders>
            <w:vAlign w:val="center"/>
          </w:tcPr>
          <w:p w14:paraId="5700D357"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99" w:type="pct"/>
            <w:tcBorders>
              <w:top w:val="single" w:sz="4" w:space="0" w:color="FFFFFF" w:themeColor="background1"/>
              <w:left w:val="single" w:sz="4" w:space="0" w:color="FFFFFF" w:themeColor="background1"/>
              <w:right w:val="single" w:sz="4" w:space="0" w:color="FFFFFF" w:themeColor="background1"/>
            </w:tcBorders>
            <w:vAlign w:val="center"/>
          </w:tcPr>
          <w:p w14:paraId="5700D358" w14:textId="77777777" w:rsidR="001739D5" w:rsidRPr="004E1831" w:rsidRDefault="001739D5" w:rsidP="00580E51">
            <w:pPr>
              <w:spacing w:before="0" w:after="0"/>
              <w:jc w:val="center"/>
              <w:rPr>
                <w:rFonts w:cs="Times New Roman"/>
                <w:sz w:val="18"/>
                <w:szCs w:val="18"/>
              </w:rPr>
            </w:pPr>
            <w:r w:rsidRPr="004E1831">
              <w:rPr>
                <w:rFonts w:cs="Times New Roman"/>
                <w:sz w:val="18"/>
                <w:szCs w:val="18"/>
              </w:rPr>
              <w:t>0.1</w:t>
            </w:r>
          </w:p>
        </w:tc>
        <w:tc>
          <w:tcPr>
            <w:tcW w:w="585" w:type="pct"/>
            <w:tcBorders>
              <w:top w:val="single" w:sz="4" w:space="0" w:color="FFFFFF" w:themeColor="background1"/>
              <w:left w:val="single" w:sz="4" w:space="0" w:color="FFFFFF" w:themeColor="background1"/>
              <w:right w:val="single" w:sz="4" w:space="0" w:color="auto"/>
            </w:tcBorders>
            <w:vAlign w:val="center"/>
          </w:tcPr>
          <w:p w14:paraId="5700D359" w14:textId="77777777" w:rsidR="001739D5" w:rsidRPr="004E1831" w:rsidRDefault="001739D5" w:rsidP="00597CD3">
            <w:pPr>
              <w:spacing w:before="0" w:after="0"/>
              <w:jc w:val="center"/>
              <w:rPr>
                <w:rFonts w:cs="Times New Roman"/>
                <w:sz w:val="18"/>
                <w:szCs w:val="18"/>
              </w:rPr>
            </w:pPr>
            <w:r w:rsidRPr="004E1831">
              <w:rPr>
                <w:rFonts w:cs="Times New Roman"/>
                <w:sz w:val="18"/>
                <w:szCs w:val="18"/>
              </w:rPr>
              <w:t>1.42e</w:t>
            </w:r>
            <w:r>
              <w:rPr>
                <w:rFonts w:cs="Times New Roman"/>
                <w:sz w:val="18"/>
                <w:szCs w:val="18"/>
              </w:rPr>
              <w:t>-</w:t>
            </w:r>
            <w:r w:rsidRPr="004E1831">
              <w:rPr>
                <w:rFonts w:cs="Times New Roman"/>
                <w:sz w:val="18"/>
                <w:szCs w:val="18"/>
              </w:rPr>
              <w:t>03</w:t>
            </w:r>
          </w:p>
        </w:tc>
      </w:tr>
    </w:tbl>
    <w:p w14:paraId="5700D35C" w14:textId="2D5D7CAA" w:rsidR="00597CD3" w:rsidRPr="00BB488B" w:rsidRDefault="00BB488B" w:rsidP="004E1831">
      <w:pPr>
        <w:spacing w:before="0" w:after="0"/>
        <w:rPr>
          <w:sz w:val="20"/>
          <w:szCs w:val="20"/>
        </w:rPr>
      </w:pPr>
      <w:r w:rsidRPr="00BB488B">
        <w:rPr>
          <w:sz w:val="20"/>
          <w:szCs w:val="20"/>
          <w:vertAlign w:val="superscript"/>
        </w:rPr>
        <w:t>a</w:t>
      </w:r>
      <w:r w:rsidR="009321B8" w:rsidRPr="00BB488B">
        <w:rPr>
          <w:sz w:val="20"/>
          <w:szCs w:val="20"/>
        </w:rPr>
        <w:t xml:space="preserve">Mean daily dietary intake (g </w:t>
      </w:r>
      <w:r w:rsidR="00597CD3" w:rsidRPr="00BB488B">
        <w:rPr>
          <w:sz w:val="20"/>
          <w:szCs w:val="20"/>
        </w:rPr>
        <w:t>day</w:t>
      </w:r>
      <w:r w:rsidR="009321B8" w:rsidRPr="00BB488B">
        <w:rPr>
          <w:sz w:val="20"/>
          <w:szCs w:val="20"/>
          <w:vertAlign w:val="superscript"/>
        </w:rPr>
        <w:t>-1</w:t>
      </w:r>
      <w:r w:rsidR="00597CD3" w:rsidRPr="00BB488B">
        <w:rPr>
          <w:sz w:val="20"/>
          <w:szCs w:val="20"/>
        </w:rPr>
        <w:t xml:space="preserve">) normalized on body weight (kg) </w:t>
      </w:r>
    </w:p>
    <w:p w14:paraId="5700D35D" w14:textId="3DEE5203" w:rsidR="00853B45" w:rsidRPr="00BB488B" w:rsidRDefault="00BB488B" w:rsidP="004E1831">
      <w:pPr>
        <w:spacing w:before="0" w:after="0"/>
      </w:pPr>
      <w:r w:rsidRPr="00BB488B">
        <w:rPr>
          <w:sz w:val="20"/>
          <w:szCs w:val="20"/>
          <w:vertAlign w:val="superscript"/>
        </w:rPr>
        <w:t>b</w:t>
      </w:r>
      <w:r w:rsidR="00597CD3" w:rsidRPr="00BB488B">
        <w:rPr>
          <w:sz w:val="20"/>
          <w:szCs w:val="20"/>
        </w:rPr>
        <w:t xml:space="preserve">Mann-Whitney </w:t>
      </w:r>
      <w:r w:rsidR="00597CD3" w:rsidRPr="00BB488B">
        <w:rPr>
          <w:i/>
          <w:sz w:val="20"/>
          <w:szCs w:val="20"/>
        </w:rPr>
        <w:t>U</w:t>
      </w:r>
      <w:r w:rsidR="00597CD3" w:rsidRPr="00BB488B">
        <w:rPr>
          <w:sz w:val="20"/>
          <w:szCs w:val="20"/>
        </w:rPr>
        <w:t xml:space="preserve"> test; n.s. = not significant</w:t>
      </w:r>
    </w:p>
    <w:sectPr w:rsidR="00853B45" w:rsidRPr="00BB488B"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D364" w14:textId="77777777" w:rsidR="0061310E" w:rsidRDefault="0061310E" w:rsidP="00117666">
      <w:pPr>
        <w:spacing w:after="0"/>
      </w:pPr>
      <w:r>
        <w:separator/>
      </w:r>
    </w:p>
  </w:endnote>
  <w:endnote w:type="continuationSeparator" w:id="0">
    <w:p w14:paraId="5700D365" w14:textId="77777777" w:rsidR="0061310E" w:rsidRDefault="0061310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367" w14:textId="77777777" w:rsidR="00584034" w:rsidRPr="00577C4C" w:rsidRDefault="00C52A7B">
    <w:pPr>
      <w:rPr>
        <w:color w:val="C00000"/>
        <w:szCs w:val="24"/>
      </w:rPr>
    </w:pPr>
    <w:r>
      <w:rPr>
        <w:noProof/>
        <w:lang w:val="fr-CH" w:eastAsia="fr-CH"/>
      </w:rPr>
      <mc:AlternateContent>
        <mc:Choice Requires="wps">
          <w:drawing>
            <wp:anchor distT="0" distB="0" distL="114300" distR="114300" simplePos="0" relativeHeight="251659264" behindDoc="0" locked="0" layoutInCell="1" allowOverlap="1" wp14:anchorId="5700D36A" wp14:editId="5700D36B">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0D370" w14:textId="56DB8CEE" w:rsidR="00584034"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C30E3">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00D36A"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700D370" w14:textId="56DB8CEE" w:rsidR="00584034"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C30E3">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368" w14:textId="77777777" w:rsidR="00584034" w:rsidRPr="00577C4C" w:rsidRDefault="00C52A7B">
    <w:pPr>
      <w:rPr>
        <w:b/>
        <w:sz w:val="20"/>
        <w:szCs w:val="24"/>
      </w:rPr>
    </w:pPr>
    <w:r>
      <w:rPr>
        <w:noProof/>
        <w:lang w:val="fr-CH" w:eastAsia="fr-CH"/>
      </w:rPr>
      <mc:AlternateContent>
        <mc:Choice Requires="wps">
          <w:drawing>
            <wp:anchor distT="0" distB="0" distL="114300" distR="114300" simplePos="0" relativeHeight="251646976" behindDoc="0" locked="0" layoutInCell="1" allowOverlap="1" wp14:anchorId="5700D36C" wp14:editId="5700D36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0D371" w14:textId="68DEEAA5" w:rsidR="00584034"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C30E3">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00D36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0D371" w14:textId="68DEEAA5" w:rsidR="00584034"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C30E3">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D362" w14:textId="77777777" w:rsidR="0061310E" w:rsidRDefault="0061310E" w:rsidP="00117666">
      <w:pPr>
        <w:spacing w:after="0"/>
      </w:pPr>
      <w:r>
        <w:separator/>
      </w:r>
    </w:p>
  </w:footnote>
  <w:footnote w:type="continuationSeparator" w:id="0">
    <w:p w14:paraId="5700D363" w14:textId="77777777" w:rsidR="0061310E" w:rsidRDefault="0061310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366" w14:textId="77777777" w:rsidR="00584034"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369" w14:textId="77777777" w:rsidR="00584034" w:rsidRDefault="0093429D" w:rsidP="0093429D">
    <w:r w:rsidRPr="005A1D84">
      <w:rPr>
        <w:b/>
        <w:noProof/>
        <w:color w:val="A6A6A6" w:themeColor="background1" w:themeShade="A6"/>
        <w:lang w:val="fr-CH" w:eastAsia="fr-CH"/>
      </w:rPr>
      <w:drawing>
        <wp:inline distT="0" distB="0" distL="0" distR="0" wp14:anchorId="5700D36E" wp14:editId="5700D36F">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F4F2763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8C"/>
    <w:rsid w:val="0001436A"/>
    <w:rsid w:val="00034304"/>
    <w:rsid w:val="00035434"/>
    <w:rsid w:val="000424BD"/>
    <w:rsid w:val="000506C1"/>
    <w:rsid w:val="00052A14"/>
    <w:rsid w:val="00077D53"/>
    <w:rsid w:val="00105FD9"/>
    <w:rsid w:val="00117666"/>
    <w:rsid w:val="00117A8E"/>
    <w:rsid w:val="001227B9"/>
    <w:rsid w:val="001549D3"/>
    <w:rsid w:val="00160065"/>
    <w:rsid w:val="001739D5"/>
    <w:rsid w:val="00177D84"/>
    <w:rsid w:val="001B1FA1"/>
    <w:rsid w:val="001C1D59"/>
    <w:rsid w:val="001D39D6"/>
    <w:rsid w:val="00255E91"/>
    <w:rsid w:val="00267D18"/>
    <w:rsid w:val="0028042E"/>
    <w:rsid w:val="002868E2"/>
    <w:rsid w:val="002869C3"/>
    <w:rsid w:val="002936E4"/>
    <w:rsid w:val="002A2F28"/>
    <w:rsid w:val="002B4A57"/>
    <w:rsid w:val="002C74CA"/>
    <w:rsid w:val="003544FB"/>
    <w:rsid w:val="00372A7D"/>
    <w:rsid w:val="003C30E3"/>
    <w:rsid w:val="003C5A45"/>
    <w:rsid w:val="003D2F2D"/>
    <w:rsid w:val="00401590"/>
    <w:rsid w:val="00447801"/>
    <w:rsid w:val="00452E9C"/>
    <w:rsid w:val="004735C8"/>
    <w:rsid w:val="004961FF"/>
    <w:rsid w:val="004D32A3"/>
    <w:rsid w:val="004E1831"/>
    <w:rsid w:val="0051288E"/>
    <w:rsid w:val="00517A89"/>
    <w:rsid w:val="005250F2"/>
    <w:rsid w:val="005716E2"/>
    <w:rsid w:val="00581325"/>
    <w:rsid w:val="00584034"/>
    <w:rsid w:val="00586D50"/>
    <w:rsid w:val="00593EEA"/>
    <w:rsid w:val="00597CD3"/>
    <w:rsid w:val="005A5EEE"/>
    <w:rsid w:val="005F42EF"/>
    <w:rsid w:val="0061310E"/>
    <w:rsid w:val="006375C7"/>
    <w:rsid w:val="00654E8F"/>
    <w:rsid w:val="00660D05"/>
    <w:rsid w:val="006820B1"/>
    <w:rsid w:val="006B7D14"/>
    <w:rsid w:val="00701727"/>
    <w:rsid w:val="0070566C"/>
    <w:rsid w:val="00714C50"/>
    <w:rsid w:val="00725A7D"/>
    <w:rsid w:val="007501BE"/>
    <w:rsid w:val="007679F1"/>
    <w:rsid w:val="00790BB3"/>
    <w:rsid w:val="007C206C"/>
    <w:rsid w:val="007F334E"/>
    <w:rsid w:val="00817DD6"/>
    <w:rsid w:val="00853B45"/>
    <w:rsid w:val="00885156"/>
    <w:rsid w:val="008B6F42"/>
    <w:rsid w:val="00913777"/>
    <w:rsid w:val="009151AA"/>
    <w:rsid w:val="009321B8"/>
    <w:rsid w:val="0093429D"/>
    <w:rsid w:val="00943573"/>
    <w:rsid w:val="00967852"/>
    <w:rsid w:val="00970F7D"/>
    <w:rsid w:val="00994A3D"/>
    <w:rsid w:val="009C2B12"/>
    <w:rsid w:val="00A174D9"/>
    <w:rsid w:val="00A2037E"/>
    <w:rsid w:val="00A61BAD"/>
    <w:rsid w:val="00A6412D"/>
    <w:rsid w:val="00A8018C"/>
    <w:rsid w:val="00AB6715"/>
    <w:rsid w:val="00AC3D5D"/>
    <w:rsid w:val="00B1671E"/>
    <w:rsid w:val="00B24D50"/>
    <w:rsid w:val="00B25EB8"/>
    <w:rsid w:val="00B37F4D"/>
    <w:rsid w:val="00B53AFC"/>
    <w:rsid w:val="00BB488B"/>
    <w:rsid w:val="00BD71D8"/>
    <w:rsid w:val="00C45289"/>
    <w:rsid w:val="00C52A7B"/>
    <w:rsid w:val="00C56BAF"/>
    <w:rsid w:val="00C679AA"/>
    <w:rsid w:val="00C75972"/>
    <w:rsid w:val="00CD066B"/>
    <w:rsid w:val="00CD4B1B"/>
    <w:rsid w:val="00CE34AC"/>
    <w:rsid w:val="00CE4FEE"/>
    <w:rsid w:val="00D35FE1"/>
    <w:rsid w:val="00DB59C3"/>
    <w:rsid w:val="00DC259A"/>
    <w:rsid w:val="00DC33BD"/>
    <w:rsid w:val="00DC4A2A"/>
    <w:rsid w:val="00DC74D8"/>
    <w:rsid w:val="00DE23E8"/>
    <w:rsid w:val="00DF7141"/>
    <w:rsid w:val="00E24B31"/>
    <w:rsid w:val="00E52377"/>
    <w:rsid w:val="00E64E17"/>
    <w:rsid w:val="00E84AAC"/>
    <w:rsid w:val="00E866C9"/>
    <w:rsid w:val="00EA3D3C"/>
    <w:rsid w:val="00EC0E31"/>
    <w:rsid w:val="00F46900"/>
    <w:rsid w:val="00F61D89"/>
    <w:rsid w:val="00FD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0D297"/>
  <w15:docId w15:val="{6A19443A-00DE-4868-9393-E62E038F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0"/>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755">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7876360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konzto\AppData\Local\Temp\Temp1_Frontiers_Word_Templates.zip\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856576-E5C2-4E1E-BD14-6A45B536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82</TotalTime>
  <Pages>5</Pages>
  <Words>1273</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Konz,Tobias Florian,LAUSANNE,Micronutrients</dc:creator>
  <cp:keywords/>
  <dc:description/>
  <cp:lastModifiedBy>Konz,Tobias Florian,LAUSANNE,Metabolic Analysis</cp:lastModifiedBy>
  <cp:revision>6</cp:revision>
  <cp:lastPrinted>2018-05-16T09:05:00Z</cp:lastPrinted>
  <dcterms:created xsi:type="dcterms:W3CDTF">2019-01-07T10:44:00Z</dcterms:created>
  <dcterms:modified xsi:type="dcterms:W3CDTF">2019-01-08T13:52:00Z</dcterms:modified>
</cp:coreProperties>
</file>